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DDD1" w14:textId="77777777" w:rsidR="00F57221" w:rsidRPr="001B696B" w:rsidRDefault="00F57221" w:rsidP="00F57221">
      <w:pPr>
        <w:spacing w:line="480" w:lineRule="auto"/>
        <w:jc w:val="center"/>
        <w:rPr>
          <w:rFonts w:ascii="Times New Roman" w:hAnsi="Times New Roman" w:cs="Times New Roman"/>
          <w:b/>
          <w:bCs/>
        </w:rPr>
      </w:pPr>
      <w:r w:rsidRPr="001B696B">
        <w:rPr>
          <w:rFonts w:ascii="Times New Roman" w:hAnsi="Times New Roman" w:cs="Times New Roman"/>
          <w:b/>
          <w:bCs/>
        </w:rPr>
        <w:t>Abstract</w:t>
      </w:r>
    </w:p>
    <w:p w14:paraId="6D715F1C" w14:textId="77777777" w:rsidR="00F57221" w:rsidRPr="001B696B" w:rsidRDefault="00F57221" w:rsidP="00F57221">
      <w:pPr>
        <w:spacing w:line="480" w:lineRule="auto"/>
        <w:rPr>
          <w:rFonts w:ascii="Times New Roman" w:hAnsi="Times New Roman" w:cs="Times New Roman"/>
        </w:rPr>
      </w:pPr>
      <w:r w:rsidRPr="001B696B">
        <w:rPr>
          <w:rFonts w:ascii="Times New Roman" w:hAnsi="Times New Roman" w:cs="Times New Roman"/>
        </w:rPr>
        <w:t xml:space="preserve">Objective: </w:t>
      </w:r>
      <w:r>
        <w:rPr>
          <w:rFonts w:ascii="Times New Roman" w:hAnsi="Times New Roman" w:cs="Times New Roman"/>
        </w:rPr>
        <w:t xml:space="preserve">Individuals who are deaf or hard of hearing (DHH) may find adherence to their hearing devices difficult due to internal experiences related to their hearing loss such as sadness or frustration. The </w:t>
      </w:r>
      <w:r w:rsidRPr="00820CF7">
        <w:rPr>
          <w:rFonts w:ascii="Times New Roman" w:hAnsi="Times New Roman" w:cs="Times New Roman"/>
        </w:rPr>
        <w:t>Acceptance and Action Questionnaire-Adult Hearing Loss (AAQ-AHL)</w:t>
      </w:r>
      <w:r>
        <w:rPr>
          <w:rFonts w:ascii="Times New Roman" w:hAnsi="Times New Roman" w:cs="Times New Roman"/>
        </w:rPr>
        <w:t xml:space="preserve"> is the only measure available to assess psychological inflexibility as it relates to hearing loss.</w:t>
      </w:r>
      <w:r w:rsidRPr="001B696B">
        <w:rPr>
          <w:rFonts w:ascii="Times New Roman" w:hAnsi="Times New Roman" w:cs="Times New Roman"/>
        </w:rPr>
        <w:t xml:space="preserve"> The purpose of this study was to </w:t>
      </w:r>
      <w:r>
        <w:rPr>
          <w:rFonts w:ascii="Times New Roman" w:hAnsi="Times New Roman" w:cs="Times New Roman"/>
        </w:rPr>
        <w:t xml:space="preserve">confirm the single latent structure of the AAQ-AHL (through confirmatory factory analysis) and test convergent and discriminant validity. </w:t>
      </w:r>
    </w:p>
    <w:p w14:paraId="315A9A40" w14:textId="77777777" w:rsidR="00F57221" w:rsidRPr="001B696B" w:rsidRDefault="00F57221" w:rsidP="00F57221">
      <w:pPr>
        <w:spacing w:line="480" w:lineRule="auto"/>
        <w:rPr>
          <w:rFonts w:ascii="Times New Roman" w:hAnsi="Times New Roman" w:cs="Times New Roman"/>
        </w:rPr>
      </w:pPr>
      <w:r w:rsidRPr="001B696B">
        <w:rPr>
          <w:rFonts w:ascii="Times New Roman" w:hAnsi="Times New Roman" w:cs="Times New Roman"/>
        </w:rPr>
        <w:t xml:space="preserve">Design: </w:t>
      </w:r>
      <w:r>
        <w:rPr>
          <w:rFonts w:ascii="Times New Roman" w:hAnsi="Times New Roman" w:cs="Times New Roman"/>
        </w:rPr>
        <w:t>Cross-sectional</w:t>
      </w:r>
    </w:p>
    <w:p w14:paraId="7BDC646F" w14:textId="77777777" w:rsidR="00F57221" w:rsidRPr="001B696B" w:rsidRDefault="00F57221" w:rsidP="00F57221">
      <w:pPr>
        <w:spacing w:line="480" w:lineRule="auto"/>
        <w:rPr>
          <w:rFonts w:ascii="Times New Roman" w:hAnsi="Times New Roman" w:cs="Times New Roman"/>
        </w:rPr>
      </w:pPr>
      <w:r w:rsidRPr="001B696B">
        <w:rPr>
          <w:rFonts w:ascii="Times New Roman" w:hAnsi="Times New Roman" w:cs="Times New Roman"/>
        </w:rPr>
        <w:t xml:space="preserve">Study Sample: </w:t>
      </w:r>
      <w:r>
        <w:rPr>
          <w:rFonts w:ascii="Times New Roman" w:hAnsi="Times New Roman" w:cs="Times New Roman"/>
        </w:rPr>
        <w:t>P</w:t>
      </w:r>
      <w:r w:rsidRPr="001B696B">
        <w:rPr>
          <w:rFonts w:ascii="Times New Roman" w:hAnsi="Times New Roman" w:cs="Times New Roman"/>
        </w:rPr>
        <w:t xml:space="preserve">articipants </w:t>
      </w:r>
      <w:r>
        <w:rPr>
          <w:rFonts w:ascii="Times New Roman" w:hAnsi="Times New Roman" w:cs="Times New Roman"/>
        </w:rPr>
        <w:t>were 146 adults who had diagnosed hearing loss and used a hearing aid.</w:t>
      </w:r>
      <w:r w:rsidRPr="001B696B">
        <w:rPr>
          <w:rFonts w:ascii="Times New Roman" w:hAnsi="Times New Roman" w:cs="Times New Roman"/>
        </w:rPr>
        <w:t xml:space="preserve"> </w:t>
      </w:r>
    </w:p>
    <w:p w14:paraId="5105F8B3" w14:textId="77777777" w:rsidR="00F57221" w:rsidRPr="001B696B" w:rsidRDefault="00F57221" w:rsidP="00F57221">
      <w:pPr>
        <w:spacing w:line="480" w:lineRule="auto"/>
        <w:rPr>
          <w:rFonts w:ascii="Times New Roman" w:hAnsi="Times New Roman" w:cs="Times New Roman"/>
        </w:rPr>
      </w:pPr>
      <w:r w:rsidRPr="001B696B">
        <w:rPr>
          <w:rFonts w:ascii="Times New Roman" w:hAnsi="Times New Roman" w:cs="Times New Roman"/>
        </w:rPr>
        <w:t xml:space="preserve">Results: </w:t>
      </w:r>
      <w:r>
        <w:rPr>
          <w:rFonts w:ascii="Times New Roman" w:hAnsi="Times New Roman" w:cs="Times New Roman"/>
        </w:rPr>
        <w:t xml:space="preserve">Results revealed the AAQ-AHL has a single latent structure, correlated to other similar constructs (psychological flexibility and hearing aid efficacy), and not correlated to unrelated constructs (hearing loss severity). These results suggest that the AAQ-AHL is a valid instrument to assess psychological flexibility as it relates to hearing aid use. </w:t>
      </w:r>
    </w:p>
    <w:p w14:paraId="6D22C6F6" w14:textId="77777777" w:rsidR="00F57221" w:rsidRPr="00820CF7" w:rsidRDefault="00F57221" w:rsidP="00F57221">
      <w:pPr>
        <w:spacing w:line="480" w:lineRule="auto"/>
        <w:rPr>
          <w:rFonts w:ascii="Times New Roman" w:hAnsi="Times New Roman" w:cs="Times New Roman"/>
        </w:rPr>
      </w:pPr>
      <w:r w:rsidRPr="001B696B">
        <w:rPr>
          <w:rFonts w:ascii="Times New Roman" w:hAnsi="Times New Roman" w:cs="Times New Roman"/>
        </w:rPr>
        <w:t xml:space="preserve">Conclusion: </w:t>
      </w:r>
      <w:r>
        <w:rPr>
          <w:rFonts w:ascii="Times New Roman" w:hAnsi="Times New Roman" w:cs="Times New Roman"/>
        </w:rPr>
        <w:t>Together, the</w:t>
      </w:r>
      <w:r w:rsidRPr="001B696B">
        <w:rPr>
          <w:rFonts w:ascii="Times New Roman" w:hAnsi="Times New Roman" w:cs="Times New Roman"/>
        </w:rPr>
        <w:t xml:space="preserve"> findings </w:t>
      </w:r>
      <w:r>
        <w:rPr>
          <w:rFonts w:ascii="Times New Roman" w:hAnsi="Times New Roman" w:cs="Times New Roman"/>
        </w:rPr>
        <w:t xml:space="preserve">imply the </w:t>
      </w:r>
      <w:r w:rsidRPr="00820CF7">
        <w:rPr>
          <w:rFonts w:ascii="Times New Roman" w:hAnsi="Times New Roman" w:cs="Times New Roman"/>
        </w:rPr>
        <w:t>AAQ-AHL</w:t>
      </w:r>
      <w:r>
        <w:rPr>
          <w:rFonts w:ascii="Times New Roman" w:hAnsi="Times New Roman" w:cs="Times New Roman"/>
        </w:rPr>
        <w:t xml:space="preserve"> has strong psychometric properties and justification to use in a clinical setting. </w:t>
      </w:r>
    </w:p>
    <w:p w14:paraId="6A37C6B2" w14:textId="77777777" w:rsidR="00F57221" w:rsidRDefault="00F57221" w:rsidP="00F57221">
      <w:pPr>
        <w:spacing w:line="480" w:lineRule="auto"/>
        <w:rPr>
          <w:rFonts w:ascii="Times New Roman" w:hAnsi="Times New Roman" w:cs="Times New Roman"/>
        </w:rPr>
      </w:pPr>
    </w:p>
    <w:p w14:paraId="78CE9A44" w14:textId="77777777" w:rsidR="00F57221" w:rsidRPr="001B696B" w:rsidRDefault="00F57221" w:rsidP="00F57221">
      <w:pPr>
        <w:spacing w:line="480" w:lineRule="auto"/>
        <w:rPr>
          <w:rFonts w:ascii="Times New Roman" w:hAnsi="Times New Roman" w:cs="Times New Roman"/>
        </w:rPr>
      </w:pPr>
    </w:p>
    <w:p w14:paraId="2901095B" w14:textId="77777777" w:rsidR="00F57221" w:rsidRPr="008A0872" w:rsidRDefault="00F57221" w:rsidP="00F57221">
      <w:pPr>
        <w:spacing w:line="480" w:lineRule="auto"/>
        <w:rPr>
          <w:rFonts w:ascii="Times New Roman" w:hAnsi="Times New Roman" w:cs="Times New Roman"/>
        </w:rPr>
      </w:pPr>
      <w:r w:rsidRPr="001B696B">
        <w:rPr>
          <w:rFonts w:ascii="Times New Roman" w:hAnsi="Times New Roman" w:cs="Times New Roman"/>
          <w:i/>
        </w:rPr>
        <w:t>Keywords</w:t>
      </w:r>
      <w:r w:rsidRPr="001B696B">
        <w:rPr>
          <w:rFonts w:ascii="Times New Roman" w:hAnsi="Times New Roman" w:cs="Times New Roman"/>
        </w:rPr>
        <w:t xml:space="preserve">: hearing loss, hearing aids, </w:t>
      </w:r>
      <w:r>
        <w:rPr>
          <w:rFonts w:ascii="Times New Roman" w:hAnsi="Times New Roman" w:cs="Times New Roman"/>
        </w:rPr>
        <w:t>AAQ</w:t>
      </w:r>
      <w:r w:rsidRPr="001B696B">
        <w:rPr>
          <w:rFonts w:ascii="Times New Roman" w:hAnsi="Times New Roman" w:cs="Times New Roman"/>
        </w:rPr>
        <w:t xml:space="preserve">, </w:t>
      </w:r>
      <w:r>
        <w:rPr>
          <w:rFonts w:ascii="Times New Roman" w:hAnsi="Times New Roman" w:cs="Times New Roman"/>
        </w:rPr>
        <w:t>adult</w:t>
      </w:r>
      <w:r w:rsidRPr="001B696B">
        <w:rPr>
          <w:rFonts w:ascii="Times New Roman" w:hAnsi="Times New Roman" w:cs="Times New Roman"/>
        </w:rPr>
        <w:t xml:space="preserve">, </w:t>
      </w:r>
      <w:r>
        <w:rPr>
          <w:rFonts w:ascii="Times New Roman" w:hAnsi="Times New Roman" w:cs="Times New Roman"/>
        </w:rPr>
        <w:t>CFA</w:t>
      </w:r>
    </w:p>
    <w:p w14:paraId="27D0BC34" w14:textId="77777777" w:rsidR="00F57221" w:rsidRDefault="00F57221" w:rsidP="00F57221"/>
    <w:p w14:paraId="30F5A58B" w14:textId="77777777" w:rsidR="00F57221" w:rsidRDefault="00F57221" w:rsidP="00376A4A">
      <w:pPr>
        <w:spacing w:line="480" w:lineRule="auto"/>
        <w:jc w:val="center"/>
        <w:rPr>
          <w:rFonts w:ascii="Times New Roman" w:hAnsi="Times New Roman" w:cs="Times New Roman"/>
          <w:b/>
          <w:bCs/>
        </w:rPr>
        <w:sectPr w:rsidR="00F57221" w:rsidSect="006871CD">
          <w:pgSz w:w="12240" w:h="15840"/>
          <w:pgMar w:top="1440" w:right="1440" w:bottom="1440" w:left="1440" w:header="720" w:footer="720" w:gutter="0"/>
          <w:cols w:space="720"/>
          <w:docGrid w:linePitch="360"/>
        </w:sectPr>
      </w:pPr>
    </w:p>
    <w:p w14:paraId="1E730D9A" w14:textId="77777777" w:rsidR="00376A4A" w:rsidRDefault="00376A4A" w:rsidP="00376A4A">
      <w:pPr>
        <w:spacing w:line="480" w:lineRule="auto"/>
        <w:jc w:val="center"/>
      </w:pPr>
      <w:r>
        <w:rPr>
          <w:rFonts w:ascii="Times New Roman" w:hAnsi="Times New Roman" w:cs="Times New Roman"/>
          <w:b/>
          <w:bCs/>
        </w:rPr>
        <w:lastRenderedPageBreak/>
        <w:t>Acceptance and Action Questionnaire</w:t>
      </w:r>
      <w:r w:rsidRPr="00895BFD">
        <w:rPr>
          <w:rFonts w:ascii="Times New Roman" w:hAnsi="Times New Roman" w:cs="Times New Roman"/>
          <w:b/>
          <w:bCs/>
        </w:rPr>
        <w:t>-</w:t>
      </w:r>
      <w:r>
        <w:rPr>
          <w:rFonts w:ascii="Times New Roman" w:hAnsi="Times New Roman" w:cs="Times New Roman"/>
          <w:b/>
          <w:bCs/>
        </w:rPr>
        <w:t>Adult Hearing Loss (AAQ-</w:t>
      </w:r>
      <w:r w:rsidRPr="00895BFD">
        <w:rPr>
          <w:rFonts w:ascii="Times New Roman" w:hAnsi="Times New Roman" w:cs="Times New Roman"/>
          <w:b/>
          <w:bCs/>
        </w:rPr>
        <w:t>AHL</w:t>
      </w:r>
      <w:r>
        <w:rPr>
          <w:rFonts w:ascii="Times New Roman" w:hAnsi="Times New Roman" w:cs="Times New Roman"/>
          <w:b/>
          <w:bCs/>
        </w:rPr>
        <w:t>): Validation with Hearing Aid Users</w:t>
      </w:r>
    </w:p>
    <w:p w14:paraId="3EDD80DF" w14:textId="77777777" w:rsidR="00376A4A" w:rsidRDefault="00376A4A" w:rsidP="00376A4A">
      <w:pPr>
        <w:spacing w:line="480" w:lineRule="auto"/>
        <w:jc w:val="center"/>
      </w:pPr>
    </w:p>
    <w:p w14:paraId="52A5C021" w14:textId="77777777" w:rsidR="00376A4A" w:rsidRPr="007F1E01" w:rsidRDefault="00376A4A" w:rsidP="00376A4A">
      <w:pPr>
        <w:spacing w:line="480" w:lineRule="auto"/>
        <w:jc w:val="center"/>
      </w:pPr>
    </w:p>
    <w:p w14:paraId="3BC89904" w14:textId="77777777" w:rsidR="00376A4A" w:rsidRPr="001B696B" w:rsidRDefault="00376A4A" w:rsidP="00376A4A">
      <w:pPr>
        <w:spacing w:line="480" w:lineRule="auto"/>
        <w:jc w:val="center"/>
        <w:rPr>
          <w:rFonts w:ascii="Times New Roman" w:hAnsi="Times New Roman" w:cs="Times New Roman"/>
        </w:rPr>
      </w:pPr>
    </w:p>
    <w:p w14:paraId="19A2FEEE" w14:textId="77777777" w:rsidR="00376A4A" w:rsidRPr="001B696B" w:rsidRDefault="00376A4A" w:rsidP="00376A4A">
      <w:pPr>
        <w:spacing w:line="480" w:lineRule="auto"/>
        <w:jc w:val="center"/>
        <w:rPr>
          <w:rFonts w:ascii="Times New Roman" w:hAnsi="Times New Roman" w:cs="Times New Roman"/>
          <w:lang w:val="es-ES"/>
        </w:rPr>
      </w:pPr>
      <w:r w:rsidRPr="001B696B">
        <w:rPr>
          <w:rFonts w:ascii="Times New Roman" w:hAnsi="Times New Roman" w:cs="Times New Roman"/>
          <w:lang w:val="es-ES"/>
        </w:rPr>
        <w:t>Guadalupe G. San Miguel</w:t>
      </w:r>
      <w:r w:rsidRPr="002450E8">
        <w:rPr>
          <w:rFonts w:ascii="Times New Roman" w:hAnsi="Times New Roman" w:cs="Times New Roman"/>
          <w:vertAlign w:val="superscript"/>
          <w:lang w:val="es-ES"/>
        </w:rPr>
        <w:t>1</w:t>
      </w:r>
    </w:p>
    <w:p w14:paraId="1D1AA716" w14:textId="77777777" w:rsidR="00376A4A" w:rsidRPr="001B696B" w:rsidRDefault="00376A4A" w:rsidP="00376A4A">
      <w:pPr>
        <w:spacing w:line="480" w:lineRule="auto"/>
        <w:jc w:val="center"/>
        <w:rPr>
          <w:rFonts w:ascii="Times New Roman" w:hAnsi="Times New Roman" w:cs="Times New Roman"/>
          <w:lang w:val="es-ES"/>
        </w:rPr>
      </w:pPr>
      <w:r w:rsidRPr="001B696B">
        <w:rPr>
          <w:rFonts w:ascii="Times New Roman" w:hAnsi="Times New Roman" w:cs="Times New Roman"/>
          <w:lang w:val="es-ES"/>
        </w:rPr>
        <w:t>Karen Muñoz</w:t>
      </w:r>
      <w:r w:rsidRPr="002450E8">
        <w:rPr>
          <w:rFonts w:ascii="Times New Roman" w:hAnsi="Times New Roman" w:cs="Times New Roman"/>
          <w:vertAlign w:val="superscript"/>
          <w:lang w:val="es-ES"/>
        </w:rPr>
        <w:t>1</w:t>
      </w:r>
    </w:p>
    <w:p w14:paraId="2288BA6E" w14:textId="77777777" w:rsidR="00376A4A" w:rsidRPr="001B696B" w:rsidRDefault="00376A4A" w:rsidP="00376A4A">
      <w:pPr>
        <w:spacing w:line="480" w:lineRule="auto"/>
        <w:jc w:val="center"/>
        <w:rPr>
          <w:rFonts w:ascii="Times New Roman" w:hAnsi="Times New Roman" w:cs="Times New Roman"/>
        </w:rPr>
      </w:pPr>
      <w:r w:rsidRPr="001B696B">
        <w:rPr>
          <w:rFonts w:ascii="Times New Roman" w:hAnsi="Times New Roman" w:cs="Times New Roman"/>
        </w:rPr>
        <w:t xml:space="preserve">Tyson </w:t>
      </w:r>
      <w:r>
        <w:rPr>
          <w:rFonts w:ascii="Times New Roman" w:hAnsi="Times New Roman" w:cs="Times New Roman"/>
        </w:rPr>
        <w:t xml:space="preserve">S. </w:t>
      </w:r>
      <w:r w:rsidRPr="001B696B">
        <w:rPr>
          <w:rFonts w:ascii="Times New Roman" w:hAnsi="Times New Roman" w:cs="Times New Roman"/>
        </w:rPr>
        <w:t>Barrett</w:t>
      </w:r>
      <w:r w:rsidRPr="001B696B">
        <w:rPr>
          <w:rFonts w:ascii="Times New Roman" w:hAnsi="Times New Roman" w:cs="Times New Roman"/>
          <w:vertAlign w:val="superscript"/>
        </w:rPr>
        <w:t>1</w:t>
      </w:r>
    </w:p>
    <w:p w14:paraId="7264D3B7" w14:textId="77777777" w:rsidR="00376A4A" w:rsidRPr="001B696B" w:rsidRDefault="00376A4A" w:rsidP="00376A4A">
      <w:pPr>
        <w:spacing w:line="480" w:lineRule="auto"/>
        <w:jc w:val="center"/>
        <w:rPr>
          <w:rFonts w:ascii="Times New Roman" w:hAnsi="Times New Roman" w:cs="Times New Roman"/>
        </w:rPr>
      </w:pPr>
      <w:r w:rsidRPr="001B696B">
        <w:rPr>
          <w:rFonts w:ascii="Times New Roman" w:hAnsi="Times New Roman" w:cs="Times New Roman"/>
        </w:rPr>
        <w:t>Michael P. Twohig</w:t>
      </w:r>
      <w:r w:rsidRPr="001B696B">
        <w:rPr>
          <w:rFonts w:ascii="Times New Roman" w:hAnsi="Times New Roman" w:cs="Times New Roman"/>
          <w:vertAlign w:val="superscript"/>
        </w:rPr>
        <w:t>1</w:t>
      </w:r>
    </w:p>
    <w:p w14:paraId="211B17CE" w14:textId="77777777" w:rsidR="00376A4A" w:rsidRPr="001B696B" w:rsidRDefault="00376A4A" w:rsidP="00376A4A">
      <w:pPr>
        <w:spacing w:line="480" w:lineRule="auto"/>
        <w:jc w:val="center"/>
        <w:rPr>
          <w:rFonts w:ascii="Times New Roman" w:hAnsi="Times New Roman" w:cs="Times New Roman"/>
        </w:rPr>
      </w:pPr>
    </w:p>
    <w:p w14:paraId="276D0B49" w14:textId="77777777" w:rsidR="00376A4A" w:rsidRPr="001B696B" w:rsidRDefault="00376A4A" w:rsidP="00376A4A">
      <w:pPr>
        <w:spacing w:line="480" w:lineRule="auto"/>
        <w:jc w:val="center"/>
        <w:rPr>
          <w:rFonts w:ascii="Times New Roman" w:hAnsi="Times New Roman" w:cs="Times New Roman"/>
        </w:rPr>
      </w:pPr>
      <w:r w:rsidRPr="001B696B">
        <w:rPr>
          <w:rFonts w:ascii="Times New Roman" w:hAnsi="Times New Roman" w:cs="Times New Roman"/>
          <w:vertAlign w:val="superscript"/>
        </w:rPr>
        <w:t>1</w:t>
      </w:r>
      <w:r w:rsidRPr="001B696B">
        <w:rPr>
          <w:rFonts w:ascii="Times New Roman" w:hAnsi="Times New Roman" w:cs="Times New Roman"/>
        </w:rPr>
        <w:t>Utah State University</w:t>
      </w:r>
    </w:p>
    <w:p w14:paraId="1D56B402" w14:textId="77777777" w:rsidR="00376A4A" w:rsidRDefault="00376A4A" w:rsidP="00376A4A">
      <w:pPr>
        <w:spacing w:line="480" w:lineRule="auto"/>
        <w:jc w:val="center"/>
        <w:rPr>
          <w:rFonts w:ascii="Times New Roman" w:hAnsi="Times New Roman" w:cs="Times New Roman"/>
        </w:rPr>
      </w:pPr>
    </w:p>
    <w:p w14:paraId="224464F4" w14:textId="77777777" w:rsidR="00376A4A" w:rsidRDefault="00376A4A" w:rsidP="00376A4A">
      <w:pPr>
        <w:spacing w:line="480" w:lineRule="auto"/>
        <w:jc w:val="center"/>
        <w:rPr>
          <w:rFonts w:ascii="Times New Roman" w:hAnsi="Times New Roman" w:cs="Times New Roman"/>
        </w:rPr>
      </w:pPr>
    </w:p>
    <w:p w14:paraId="34E1AF45" w14:textId="77777777" w:rsidR="00376A4A" w:rsidRPr="001B696B" w:rsidRDefault="00376A4A" w:rsidP="00376A4A">
      <w:pPr>
        <w:spacing w:line="480" w:lineRule="auto"/>
        <w:jc w:val="center"/>
        <w:rPr>
          <w:rFonts w:ascii="Times New Roman" w:hAnsi="Times New Roman" w:cs="Times New Roman"/>
        </w:rPr>
      </w:pPr>
    </w:p>
    <w:p w14:paraId="510DC09C" w14:textId="77777777" w:rsidR="00376A4A" w:rsidRPr="001B696B" w:rsidRDefault="00376A4A" w:rsidP="00376A4A">
      <w:pPr>
        <w:rPr>
          <w:rFonts w:ascii="Times New Roman" w:hAnsi="Times New Roman" w:cs="Times New Roman"/>
        </w:rPr>
      </w:pPr>
      <w:r w:rsidRPr="001B696B">
        <w:rPr>
          <w:rFonts w:ascii="Times New Roman" w:hAnsi="Times New Roman" w:cs="Times New Roman"/>
        </w:rPr>
        <w:t>Corresponding author:</w:t>
      </w:r>
    </w:p>
    <w:p w14:paraId="17A2F2A5" w14:textId="77777777" w:rsidR="00376A4A" w:rsidRPr="001B696B" w:rsidRDefault="00376A4A" w:rsidP="00376A4A">
      <w:pPr>
        <w:rPr>
          <w:rFonts w:ascii="Times New Roman" w:hAnsi="Times New Roman" w:cs="Times New Roman"/>
        </w:rPr>
      </w:pPr>
      <w:r w:rsidRPr="001B696B">
        <w:rPr>
          <w:rFonts w:ascii="Times New Roman" w:hAnsi="Times New Roman" w:cs="Times New Roman"/>
        </w:rPr>
        <w:t>Guadalupe G. San Miguel</w:t>
      </w:r>
    </w:p>
    <w:p w14:paraId="614372D7" w14:textId="77777777" w:rsidR="00376A4A" w:rsidRPr="001B696B" w:rsidRDefault="00376A4A" w:rsidP="00376A4A">
      <w:pPr>
        <w:rPr>
          <w:rFonts w:ascii="Times New Roman" w:hAnsi="Times New Roman" w:cs="Times New Roman"/>
        </w:rPr>
      </w:pPr>
      <w:r w:rsidRPr="001B696B">
        <w:rPr>
          <w:rFonts w:ascii="Times New Roman" w:hAnsi="Times New Roman" w:cs="Times New Roman"/>
        </w:rPr>
        <w:t>Department of Psychology</w:t>
      </w:r>
    </w:p>
    <w:p w14:paraId="73998635" w14:textId="77777777" w:rsidR="00376A4A" w:rsidRPr="001B696B" w:rsidRDefault="00376A4A" w:rsidP="00376A4A">
      <w:pPr>
        <w:rPr>
          <w:rFonts w:ascii="Times New Roman" w:hAnsi="Times New Roman" w:cs="Times New Roman"/>
        </w:rPr>
      </w:pPr>
      <w:r w:rsidRPr="001B696B">
        <w:rPr>
          <w:rFonts w:ascii="Times New Roman" w:hAnsi="Times New Roman" w:cs="Times New Roman"/>
        </w:rPr>
        <w:t>Utah State University</w:t>
      </w:r>
    </w:p>
    <w:p w14:paraId="63BE92DE" w14:textId="77777777" w:rsidR="00376A4A" w:rsidRPr="001B696B" w:rsidRDefault="00376A4A" w:rsidP="00376A4A">
      <w:pPr>
        <w:rPr>
          <w:rFonts w:ascii="Times New Roman" w:hAnsi="Times New Roman" w:cs="Times New Roman"/>
          <w:color w:val="FFFFFF"/>
        </w:rPr>
      </w:pPr>
      <w:r w:rsidRPr="001B696B">
        <w:rPr>
          <w:rFonts w:ascii="Times New Roman" w:hAnsi="Times New Roman" w:cs="Times New Roman"/>
        </w:rPr>
        <w:t xml:space="preserve">2810 Old Main </w:t>
      </w:r>
      <w:r w:rsidRPr="001B696B">
        <w:rPr>
          <w:rFonts w:ascii="Times New Roman" w:hAnsi="Times New Roman" w:cs="Times New Roman"/>
          <w:color w:val="FFFFFF"/>
        </w:rPr>
        <w:t>Hill,</w:t>
      </w:r>
    </w:p>
    <w:p w14:paraId="211532FB" w14:textId="77777777" w:rsidR="00376A4A" w:rsidRPr="001B696B" w:rsidRDefault="00376A4A" w:rsidP="00376A4A">
      <w:pPr>
        <w:rPr>
          <w:rFonts w:ascii="Times New Roman" w:hAnsi="Times New Roman" w:cs="Times New Roman"/>
        </w:rPr>
      </w:pPr>
      <w:r w:rsidRPr="001B696B">
        <w:rPr>
          <w:rFonts w:ascii="Times New Roman" w:hAnsi="Times New Roman" w:cs="Times New Roman"/>
        </w:rPr>
        <w:t>Logan, UT, 84322</w:t>
      </w:r>
    </w:p>
    <w:p w14:paraId="455182FA" w14:textId="77777777" w:rsidR="00376A4A" w:rsidRDefault="00376A4A" w:rsidP="00376A4A">
      <w:pPr>
        <w:spacing w:line="480" w:lineRule="auto"/>
        <w:rPr>
          <w:rFonts w:ascii="Times New Roman" w:hAnsi="Times New Roman" w:cs="Times New Roman"/>
        </w:rPr>
      </w:pPr>
      <w:r w:rsidRPr="00C74A9A">
        <w:rPr>
          <w:rFonts w:ascii="Times New Roman" w:hAnsi="Times New Roman" w:cs="Times New Roman"/>
        </w:rPr>
        <w:t>gabe.sanmiguel@usu.edu</w:t>
      </w:r>
    </w:p>
    <w:p w14:paraId="631A88B6" w14:textId="00E202CB" w:rsidR="00376A4A" w:rsidRPr="001B696B" w:rsidRDefault="00376A4A" w:rsidP="00376A4A">
      <w:pPr>
        <w:spacing w:line="480" w:lineRule="auto"/>
        <w:rPr>
          <w:rFonts w:ascii="Times New Roman" w:hAnsi="Times New Roman" w:cs="Times New Roman"/>
        </w:rPr>
      </w:pPr>
      <w:r w:rsidRPr="001B696B">
        <w:rPr>
          <w:rFonts w:ascii="Times New Roman" w:hAnsi="Times New Roman" w:cs="Times New Roman"/>
        </w:rPr>
        <w:t xml:space="preserve">Word count: </w:t>
      </w:r>
      <w:r>
        <w:rPr>
          <w:rFonts w:ascii="Times New Roman" w:hAnsi="Times New Roman" w:cs="Times New Roman"/>
        </w:rPr>
        <w:t>5,</w:t>
      </w:r>
      <w:r w:rsidR="00F025E0">
        <w:rPr>
          <w:rFonts w:ascii="Times New Roman" w:hAnsi="Times New Roman" w:cs="Times New Roman"/>
        </w:rPr>
        <w:t>406</w:t>
      </w:r>
    </w:p>
    <w:p w14:paraId="0BFB8A6F" w14:textId="77777777" w:rsidR="00376A4A" w:rsidRPr="001B696B" w:rsidRDefault="00376A4A" w:rsidP="00376A4A">
      <w:pPr>
        <w:spacing w:line="480" w:lineRule="auto"/>
        <w:jc w:val="center"/>
        <w:rPr>
          <w:rFonts w:ascii="Times New Roman" w:hAnsi="Times New Roman" w:cs="Times New Roman"/>
          <w:b/>
          <w:bCs/>
        </w:rPr>
      </w:pPr>
    </w:p>
    <w:p w14:paraId="4BFA6F68" w14:textId="77777777" w:rsidR="00376A4A" w:rsidRPr="001B696B" w:rsidRDefault="00376A4A" w:rsidP="00376A4A">
      <w:pPr>
        <w:spacing w:line="480" w:lineRule="auto"/>
        <w:jc w:val="center"/>
        <w:rPr>
          <w:rFonts w:ascii="Times New Roman" w:hAnsi="Times New Roman" w:cs="Times New Roman"/>
          <w:b/>
          <w:bCs/>
        </w:rPr>
      </w:pPr>
    </w:p>
    <w:p w14:paraId="6190D3A1" w14:textId="77777777" w:rsidR="00376A4A" w:rsidRDefault="00376A4A" w:rsidP="00376A4A">
      <w:pPr>
        <w:spacing w:line="480" w:lineRule="auto"/>
        <w:jc w:val="center"/>
        <w:rPr>
          <w:rFonts w:ascii="Times New Roman" w:hAnsi="Times New Roman" w:cs="Times New Roman"/>
          <w:b/>
          <w:bCs/>
        </w:rPr>
      </w:pPr>
    </w:p>
    <w:p w14:paraId="2AD73E05" w14:textId="77777777" w:rsidR="00376A4A" w:rsidRDefault="00376A4A" w:rsidP="00387341">
      <w:pPr>
        <w:tabs>
          <w:tab w:val="num" w:pos="0"/>
        </w:tabs>
        <w:spacing w:line="480" w:lineRule="auto"/>
        <w:textAlignment w:val="baseline"/>
        <w:rPr>
          <w:rFonts w:ascii="Times New Roman" w:hAnsi="Times New Roman" w:cs="Times New Roman"/>
        </w:rPr>
      </w:pPr>
    </w:p>
    <w:p w14:paraId="0AC57BF8" w14:textId="734447B3" w:rsidR="00C871C2" w:rsidRPr="006E1F3F" w:rsidRDefault="00C871C2" w:rsidP="006E1F3F">
      <w:pPr>
        <w:tabs>
          <w:tab w:val="num" w:pos="0"/>
        </w:tabs>
        <w:spacing w:line="480" w:lineRule="auto"/>
        <w:jc w:val="center"/>
        <w:textAlignment w:val="baseline"/>
        <w:rPr>
          <w:rFonts w:ascii="Times New Roman" w:hAnsi="Times New Roman" w:cs="Times New Roman"/>
          <w:b/>
          <w:bCs/>
        </w:rPr>
      </w:pPr>
      <w:r w:rsidRPr="006E1F3F">
        <w:rPr>
          <w:rFonts w:ascii="Times New Roman" w:hAnsi="Times New Roman" w:cs="Times New Roman"/>
          <w:b/>
          <w:bCs/>
        </w:rPr>
        <w:lastRenderedPageBreak/>
        <w:t>Introduction</w:t>
      </w:r>
    </w:p>
    <w:p w14:paraId="0222F743" w14:textId="30540927" w:rsidR="00B4295F" w:rsidRPr="00895BFD" w:rsidRDefault="002D3E3C" w:rsidP="00387341">
      <w:pPr>
        <w:tabs>
          <w:tab w:val="num" w:pos="0"/>
        </w:tabs>
        <w:spacing w:line="480" w:lineRule="auto"/>
        <w:textAlignment w:val="baseline"/>
        <w:rPr>
          <w:rFonts w:ascii="Times New Roman" w:hAnsi="Times New Roman" w:cs="Times New Roman"/>
        </w:rPr>
      </w:pPr>
      <w:r>
        <w:rPr>
          <w:rFonts w:ascii="Times New Roman" w:hAnsi="Times New Roman" w:cs="Times New Roman"/>
        </w:rPr>
        <w:tab/>
      </w:r>
      <w:r w:rsidR="00B4295F" w:rsidRPr="00895BFD">
        <w:rPr>
          <w:rFonts w:ascii="Times New Roman" w:hAnsi="Times New Roman" w:cs="Times New Roman"/>
        </w:rPr>
        <w:t xml:space="preserve">Hearing loss </w:t>
      </w:r>
      <w:r w:rsidR="00B4295F">
        <w:rPr>
          <w:rFonts w:ascii="Times New Roman" w:hAnsi="Times New Roman" w:cs="Times New Roman"/>
        </w:rPr>
        <w:t>a</w:t>
      </w:r>
      <w:r w:rsidR="00B4295F" w:rsidRPr="00895BFD">
        <w:rPr>
          <w:rFonts w:ascii="Times New Roman" w:hAnsi="Times New Roman" w:cs="Times New Roman"/>
        </w:rPr>
        <w:t xml:space="preserve">ffects close to 432 million adults </w:t>
      </w:r>
      <w:r w:rsidR="00B4295F" w:rsidRPr="00895BFD">
        <w:rPr>
          <w:rFonts w:ascii="Times New Roman" w:hAnsi="Times New Roman" w:cs="Times New Roman"/>
          <w:noProof/>
        </w:rPr>
        <w:t>(World Health Organization, 2021)</w:t>
      </w:r>
      <w:r w:rsidR="00AA0E5B">
        <w:rPr>
          <w:rFonts w:ascii="Times New Roman" w:hAnsi="Times New Roman" w:cs="Times New Roman"/>
          <w:noProof/>
        </w:rPr>
        <w:t>,</w:t>
      </w:r>
      <w:r w:rsidR="00B4295F">
        <w:rPr>
          <w:rFonts w:ascii="Times New Roman" w:hAnsi="Times New Roman" w:cs="Times New Roman"/>
        </w:rPr>
        <w:t xml:space="preserve"> and</w:t>
      </w:r>
      <w:r w:rsidR="00B4295F" w:rsidRPr="00895BFD">
        <w:rPr>
          <w:rFonts w:ascii="Times New Roman" w:hAnsi="Times New Roman" w:cs="Times New Roman"/>
        </w:rPr>
        <w:t xml:space="preserve"> </w:t>
      </w:r>
      <w:r w:rsidR="007B0E74">
        <w:rPr>
          <w:rFonts w:ascii="Times New Roman" w:hAnsi="Times New Roman" w:cs="Times New Roman"/>
        </w:rPr>
        <w:t>its</w:t>
      </w:r>
      <w:r w:rsidR="00B4295F">
        <w:rPr>
          <w:rFonts w:ascii="Times New Roman" w:hAnsi="Times New Roman" w:cs="Times New Roman"/>
        </w:rPr>
        <w:t xml:space="preserve"> impact on functioning varies</w:t>
      </w:r>
      <w:r w:rsidR="00B4295F" w:rsidRPr="00895BFD">
        <w:rPr>
          <w:rFonts w:ascii="Times New Roman" w:hAnsi="Times New Roman" w:cs="Times New Roman"/>
        </w:rPr>
        <w:t xml:space="preserve">. </w:t>
      </w:r>
      <w:r w:rsidR="00B4295F">
        <w:rPr>
          <w:rFonts w:ascii="Times New Roman" w:hAnsi="Times New Roman" w:cs="Times New Roman"/>
        </w:rPr>
        <w:t xml:space="preserve">For example, as adults age, social interactions are diminished </w:t>
      </w:r>
      <w:r w:rsidR="00B4295F">
        <w:rPr>
          <w:rFonts w:ascii="Times New Roman" w:hAnsi="Times New Roman" w:cs="Times New Roman"/>
          <w:noProof/>
        </w:rPr>
        <w:t>(Resnick, Fries, &amp; Verbrugge, 1997)</w:t>
      </w:r>
      <w:r w:rsidR="00B4295F">
        <w:rPr>
          <w:rFonts w:ascii="Times New Roman" w:hAnsi="Times New Roman" w:cs="Times New Roman"/>
        </w:rPr>
        <w:t xml:space="preserve">, reducing the number of </w:t>
      </w:r>
      <w:r w:rsidR="00B4295F" w:rsidRPr="00895BFD">
        <w:rPr>
          <w:rFonts w:ascii="Times New Roman" w:hAnsi="Times New Roman" w:cs="Times New Roman"/>
        </w:rPr>
        <w:t xml:space="preserve">relationships with </w:t>
      </w:r>
      <w:r w:rsidR="00B4295F">
        <w:rPr>
          <w:rFonts w:ascii="Times New Roman" w:hAnsi="Times New Roman" w:cs="Times New Roman"/>
        </w:rPr>
        <w:t>others. H</w:t>
      </w:r>
      <w:r w:rsidR="00B4295F" w:rsidRPr="00895BFD">
        <w:rPr>
          <w:rFonts w:ascii="Times New Roman" w:hAnsi="Times New Roman" w:cs="Times New Roman"/>
        </w:rPr>
        <w:t xml:space="preserve">earing </w:t>
      </w:r>
      <w:r w:rsidR="00B4295F">
        <w:rPr>
          <w:rFonts w:ascii="Times New Roman" w:hAnsi="Times New Roman" w:cs="Times New Roman"/>
        </w:rPr>
        <w:t>ability</w:t>
      </w:r>
      <w:r w:rsidR="00B4295F" w:rsidRPr="00895BFD">
        <w:rPr>
          <w:rFonts w:ascii="Times New Roman" w:hAnsi="Times New Roman" w:cs="Times New Roman"/>
        </w:rPr>
        <w:t xml:space="preserve"> </w:t>
      </w:r>
      <w:r w:rsidR="00B4295F">
        <w:rPr>
          <w:rFonts w:ascii="Times New Roman" w:hAnsi="Times New Roman" w:cs="Times New Roman"/>
        </w:rPr>
        <w:t xml:space="preserve">can further </w:t>
      </w:r>
      <w:r w:rsidR="00B4295F" w:rsidRPr="00895BFD">
        <w:rPr>
          <w:rFonts w:ascii="Times New Roman" w:hAnsi="Times New Roman" w:cs="Times New Roman"/>
        </w:rPr>
        <w:t>influence network size</w:t>
      </w:r>
      <w:r w:rsidR="00B4295F">
        <w:rPr>
          <w:rFonts w:ascii="Times New Roman" w:hAnsi="Times New Roman" w:cs="Times New Roman"/>
        </w:rPr>
        <w:t xml:space="preserve"> given</w:t>
      </w:r>
      <w:r w:rsidR="00B4295F" w:rsidRPr="00895BFD">
        <w:rPr>
          <w:rFonts w:ascii="Times New Roman" w:hAnsi="Times New Roman" w:cs="Times New Roman"/>
        </w:rPr>
        <w:t xml:space="preserve"> the importance of hearing for developing new relationships </w:t>
      </w:r>
      <w:r w:rsidR="00B4295F" w:rsidRPr="00895BFD">
        <w:rPr>
          <w:rFonts w:ascii="Times New Roman" w:hAnsi="Times New Roman" w:cs="Times New Roman"/>
          <w:noProof/>
        </w:rPr>
        <w:t>(Broese van Groenou, Hoogendijk, &amp; van Tilburg, 2013)</w:t>
      </w:r>
      <w:r w:rsidR="00B4295F" w:rsidRPr="00895BFD">
        <w:rPr>
          <w:rFonts w:ascii="Times New Roman" w:hAnsi="Times New Roman" w:cs="Times New Roman"/>
        </w:rPr>
        <w:t xml:space="preserve">. Beyond limited socialization, hearing loss brings about social and emotional loneliness along with other psychosocial outcomes among older adults </w:t>
      </w:r>
      <w:r w:rsidR="00B4295F">
        <w:rPr>
          <w:rFonts w:ascii="Times New Roman" w:hAnsi="Times New Roman" w:cs="Times New Roman"/>
          <w:noProof/>
        </w:rPr>
        <w:t>(e.g., depression; Kramer, Kapteyn, Kuik, &amp; Deeg, 2002; Pronk, Deeg, &amp; Kramer, 2013)</w:t>
      </w:r>
      <w:r w:rsidR="00B4295F" w:rsidRPr="00895BFD">
        <w:rPr>
          <w:rFonts w:ascii="Times New Roman" w:hAnsi="Times New Roman" w:cs="Times New Roman"/>
        </w:rPr>
        <w:t xml:space="preserve">. </w:t>
      </w:r>
    </w:p>
    <w:p w14:paraId="12747F90" w14:textId="4521D979" w:rsidR="00B4295F" w:rsidRDefault="00B4295F" w:rsidP="00387341">
      <w:pPr>
        <w:tabs>
          <w:tab w:val="num" w:pos="0"/>
        </w:tabs>
        <w:spacing w:line="480" w:lineRule="auto"/>
        <w:textAlignment w:val="baseline"/>
        <w:rPr>
          <w:rFonts w:ascii="Times New Roman" w:hAnsi="Times New Roman" w:cs="Times New Roman"/>
        </w:rPr>
      </w:pPr>
      <w:r w:rsidRPr="00895BFD">
        <w:rPr>
          <w:rFonts w:ascii="Times New Roman" w:hAnsi="Times New Roman" w:cs="Times New Roman"/>
        </w:rPr>
        <w:tab/>
        <w:t xml:space="preserve"> </w:t>
      </w:r>
      <w:r w:rsidRPr="00DF334B">
        <w:rPr>
          <w:rFonts w:ascii="Times New Roman" w:hAnsi="Times New Roman" w:cs="Times New Roman"/>
        </w:rPr>
        <w:t>Use of</w:t>
      </w:r>
      <w:r>
        <w:rPr>
          <w:rFonts w:ascii="Times New Roman" w:hAnsi="Times New Roman" w:cs="Times New Roman"/>
        </w:rPr>
        <w:t xml:space="preserve"> hearing devices </w:t>
      </w:r>
      <w:r w:rsidRPr="00895BFD">
        <w:rPr>
          <w:rFonts w:ascii="Times New Roman" w:hAnsi="Times New Roman" w:cs="Times New Roman"/>
        </w:rPr>
        <w:t xml:space="preserve">is considered a primary intervention </w:t>
      </w:r>
      <w:r w:rsidRPr="00895BFD">
        <w:rPr>
          <w:rFonts w:ascii="Times New Roman" w:hAnsi="Times New Roman" w:cs="Times New Roman"/>
          <w:noProof/>
        </w:rPr>
        <w:t>(Laplante-Lévesque, Hickson, &amp; Worrall, 2010)</w:t>
      </w:r>
      <w:r w:rsidR="00AA0E5B">
        <w:rPr>
          <w:rFonts w:ascii="Times New Roman" w:hAnsi="Times New Roman" w:cs="Times New Roman"/>
        </w:rPr>
        <w:t>. A</w:t>
      </w:r>
      <w:r w:rsidR="00597983">
        <w:rPr>
          <w:rFonts w:ascii="Times New Roman" w:hAnsi="Times New Roman" w:cs="Times New Roman"/>
        </w:rPr>
        <w:t>nd a</w:t>
      </w:r>
      <w:r w:rsidRPr="00895BFD">
        <w:rPr>
          <w:rFonts w:ascii="Times New Roman" w:hAnsi="Times New Roman" w:cs="Times New Roman"/>
        </w:rPr>
        <w:t xml:space="preserve">lthough hearing aids have </w:t>
      </w:r>
      <w:r w:rsidR="009F7727" w:rsidRPr="00895BFD">
        <w:rPr>
          <w:rFonts w:ascii="Times New Roman" w:hAnsi="Times New Roman" w:cs="Times New Roman"/>
        </w:rPr>
        <w:t>benefi</w:t>
      </w:r>
      <w:r w:rsidR="009F7727">
        <w:rPr>
          <w:rFonts w:ascii="Times New Roman" w:hAnsi="Times New Roman" w:cs="Times New Roman"/>
        </w:rPr>
        <w:t>ts</w:t>
      </w:r>
      <w:r w:rsidR="009F7727" w:rsidRPr="00895BFD">
        <w:rPr>
          <w:rFonts w:ascii="Times New Roman" w:hAnsi="Times New Roman" w:cs="Times New Roman"/>
        </w:rPr>
        <w:t xml:space="preserve"> </w:t>
      </w:r>
      <w:r w:rsidRPr="00895BFD">
        <w:rPr>
          <w:rFonts w:ascii="Times New Roman" w:hAnsi="Times New Roman" w:cs="Times New Roman"/>
        </w:rPr>
        <w:t xml:space="preserve">beyond </w:t>
      </w:r>
      <w:r w:rsidRPr="005F2EB0">
        <w:rPr>
          <w:rFonts w:ascii="Times New Roman" w:hAnsi="Times New Roman" w:cs="Times New Roman"/>
        </w:rPr>
        <w:t>amplifying</w:t>
      </w:r>
      <w:r w:rsidRPr="005F2EB0" w:rsidDel="005F2EB0">
        <w:rPr>
          <w:rFonts w:ascii="Times New Roman" w:hAnsi="Times New Roman" w:cs="Times New Roman"/>
        </w:rPr>
        <w:t xml:space="preserve"> </w:t>
      </w:r>
      <w:r w:rsidRPr="00895BFD">
        <w:rPr>
          <w:rFonts w:ascii="Times New Roman" w:hAnsi="Times New Roman" w:cs="Times New Roman"/>
        </w:rPr>
        <w:t xml:space="preserve">sound </w:t>
      </w:r>
      <w:r>
        <w:rPr>
          <w:rFonts w:ascii="Times New Roman" w:hAnsi="Times New Roman" w:cs="Times New Roman"/>
          <w:noProof/>
        </w:rPr>
        <w:t>(e.g., improved quality of life; Chisolm et al., 2007)</w:t>
      </w:r>
      <w:r w:rsidRPr="00895BFD">
        <w:rPr>
          <w:rFonts w:ascii="Times New Roman" w:hAnsi="Times New Roman" w:cs="Times New Roman"/>
        </w:rPr>
        <w:t xml:space="preserve">, uptake </w:t>
      </w:r>
      <w:r>
        <w:rPr>
          <w:rFonts w:ascii="Times New Roman" w:hAnsi="Times New Roman" w:cs="Times New Roman"/>
        </w:rPr>
        <w:t>of</w:t>
      </w:r>
      <w:r w:rsidRPr="00895BFD">
        <w:rPr>
          <w:rFonts w:ascii="Times New Roman" w:hAnsi="Times New Roman" w:cs="Times New Roman"/>
        </w:rPr>
        <w:t xml:space="preserve"> these devices is low </w:t>
      </w:r>
      <w:r>
        <w:rPr>
          <w:rFonts w:ascii="Times New Roman" w:hAnsi="Times New Roman" w:cs="Times New Roman"/>
        </w:rPr>
        <w:t>– 4.3% among 50-year old’s and 22.1% among those that are at least 80 years of age</w:t>
      </w:r>
      <w:r w:rsidRPr="00895BFD">
        <w:rPr>
          <w:rFonts w:ascii="Times New Roman" w:hAnsi="Times New Roman" w:cs="Times New Roman"/>
        </w:rPr>
        <w:t xml:space="preserve"> </w:t>
      </w:r>
      <w:r w:rsidRPr="00895BFD">
        <w:rPr>
          <w:rFonts w:ascii="Times New Roman" w:hAnsi="Times New Roman" w:cs="Times New Roman"/>
          <w:noProof/>
        </w:rPr>
        <w:t>(Chien &amp; Lin, 2012)</w:t>
      </w:r>
      <w:r w:rsidRPr="00895BFD">
        <w:rPr>
          <w:rFonts w:ascii="Times New Roman" w:hAnsi="Times New Roman" w:cs="Times New Roman"/>
        </w:rPr>
        <w:t>.</w:t>
      </w:r>
      <w:r>
        <w:rPr>
          <w:rFonts w:ascii="Times New Roman" w:hAnsi="Times New Roman" w:cs="Times New Roman"/>
        </w:rPr>
        <w:t xml:space="preserve"> The reasons for low uptake are varied and factors that have been identified include </w:t>
      </w:r>
      <w:r w:rsidR="00560C9F">
        <w:rPr>
          <w:rFonts w:ascii="Times New Roman" w:hAnsi="Times New Roman" w:cs="Times New Roman"/>
        </w:rPr>
        <w:t xml:space="preserve">negative </w:t>
      </w:r>
      <w:r>
        <w:rPr>
          <w:rFonts w:ascii="Times New Roman" w:hAnsi="Times New Roman" w:cs="Times New Roman"/>
        </w:rPr>
        <w:t xml:space="preserve">attitudes towards hearing loss, difficulties associated with the hearing loss, </w:t>
      </w:r>
      <w:r w:rsidR="00072C78">
        <w:rPr>
          <w:rFonts w:ascii="Times New Roman" w:hAnsi="Times New Roman" w:cs="Times New Roman"/>
        </w:rPr>
        <w:t xml:space="preserve">low </w:t>
      </w:r>
      <w:r>
        <w:rPr>
          <w:rFonts w:ascii="Times New Roman" w:hAnsi="Times New Roman" w:cs="Times New Roman"/>
        </w:rPr>
        <w:t xml:space="preserve">hearing </w:t>
      </w:r>
      <w:r w:rsidR="00007D8A">
        <w:rPr>
          <w:rFonts w:ascii="Times New Roman" w:hAnsi="Times New Roman" w:cs="Times New Roman"/>
        </w:rPr>
        <w:t>loss severity</w:t>
      </w:r>
      <w:r>
        <w:rPr>
          <w:rFonts w:ascii="Times New Roman" w:hAnsi="Times New Roman" w:cs="Times New Roman"/>
        </w:rPr>
        <w:t xml:space="preserve">, </w:t>
      </w:r>
      <w:r w:rsidR="00795822">
        <w:rPr>
          <w:rFonts w:ascii="Times New Roman" w:hAnsi="Times New Roman" w:cs="Times New Roman"/>
        </w:rPr>
        <w:t xml:space="preserve">low self-perceived hearing aid benefits, low </w:t>
      </w:r>
      <w:r w:rsidR="00007D8A">
        <w:rPr>
          <w:rFonts w:ascii="Times New Roman" w:hAnsi="Times New Roman" w:cs="Times New Roman"/>
        </w:rPr>
        <w:t xml:space="preserve">hearing aid </w:t>
      </w:r>
      <w:r w:rsidR="00795822">
        <w:rPr>
          <w:rFonts w:ascii="Times New Roman" w:hAnsi="Times New Roman" w:cs="Times New Roman"/>
        </w:rPr>
        <w:t xml:space="preserve">satisfaction, </w:t>
      </w:r>
      <w:r>
        <w:rPr>
          <w:rFonts w:ascii="Times New Roman" w:hAnsi="Times New Roman" w:cs="Times New Roman"/>
        </w:rPr>
        <w:t xml:space="preserve">and little support from significant others </w:t>
      </w:r>
      <w:r>
        <w:rPr>
          <w:rFonts w:ascii="Times New Roman" w:hAnsi="Times New Roman" w:cs="Times New Roman"/>
          <w:noProof/>
        </w:rPr>
        <w:t xml:space="preserve">(Meyer, Hickson, Lovelock, Lampert, &amp; Khan, 2014; </w:t>
      </w:r>
      <w:r w:rsidR="00007D8A">
        <w:rPr>
          <w:rFonts w:ascii="Times New Roman" w:hAnsi="Times New Roman" w:cs="Times New Roman"/>
          <w:noProof/>
        </w:rPr>
        <w:t xml:space="preserve">Ng &amp; Loke, 2015; </w:t>
      </w:r>
      <w:r>
        <w:rPr>
          <w:rFonts w:ascii="Times New Roman" w:hAnsi="Times New Roman" w:cs="Times New Roman"/>
          <w:noProof/>
        </w:rPr>
        <w:t>Vestergaard Knudsen, Öberg, Nielsen, Naylor, &amp; Kramer, 2010)</w:t>
      </w:r>
      <w:r>
        <w:rPr>
          <w:rFonts w:ascii="Times New Roman" w:hAnsi="Times New Roman" w:cs="Times New Roman"/>
        </w:rPr>
        <w:t xml:space="preserve">. Conversely, some factors that contribute to deaf or </w:t>
      </w:r>
      <w:r w:rsidR="00FC2FE3">
        <w:rPr>
          <w:rFonts w:ascii="Times New Roman" w:hAnsi="Times New Roman" w:cs="Times New Roman"/>
        </w:rPr>
        <w:t xml:space="preserve">hard </w:t>
      </w:r>
      <w:r>
        <w:rPr>
          <w:rFonts w:ascii="Times New Roman" w:hAnsi="Times New Roman" w:cs="Times New Roman"/>
        </w:rPr>
        <w:t xml:space="preserve">of hearing (DHH) individuals seeking help for their hearing impairment include their perception of hearing aids to be beneficial, </w:t>
      </w:r>
      <w:r w:rsidR="008C06D1">
        <w:rPr>
          <w:rFonts w:ascii="Times New Roman" w:hAnsi="Times New Roman" w:cs="Times New Roman"/>
        </w:rPr>
        <w:t xml:space="preserve">self-reported </w:t>
      </w:r>
      <w:r>
        <w:rPr>
          <w:rFonts w:ascii="Times New Roman" w:hAnsi="Times New Roman" w:cs="Times New Roman"/>
        </w:rPr>
        <w:t xml:space="preserve">hearing </w:t>
      </w:r>
      <w:r w:rsidR="003E2350">
        <w:rPr>
          <w:rFonts w:ascii="Times New Roman" w:hAnsi="Times New Roman" w:cs="Times New Roman"/>
        </w:rPr>
        <w:t>difficulties</w:t>
      </w:r>
      <w:r>
        <w:rPr>
          <w:rFonts w:ascii="Times New Roman" w:hAnsi="Times New Roman" w:cs="Times New Roman"/>
        </w:rPr>
        <w:t>, and</w:t>
      </w:r>
      <w:r w:rsidR="003F50BF">
        <w:rPr>
          <w:rFonts w:ascii="Times New Roman" w:hAnsi="Times New Roman" w:cs="Times New Roman"/>
        </w:rPr>
        <w:t xml:space="preserve"> </w:t>
      </w:r>
      <w:r w:rsidR="008C06D1">
        <w:rPr>
          <w:rFonts w:ascii="Times New Roman" w:hAnsi="Times New Roman" w:cs="Times New Roman"/>
        </w:rPr>
        <w:t>high</w:t>
      </w:r>
      <w:r>
        <w:rPr>
          <w:rFonts w:ascii="Times New Roman" w:hAnsi="Times New Roman" w:cs="Times New Roman"/>
        </w:rPr>
        <w:t xml:space="preserve"> self-efficacy related to hearing health </w:t>
      </w:r>
      <w:r>
        <w:rPr>
          <w:rFonts w:ascii="Times New Roman" w:hAnsi="Times New Roman" w:cs="Times New Roman"/>
          <w:noProof/>
        </w:rPr>
        <w:t>(Meyer et al., 2014; Nixon, Sarant, Tomlin, &amp; Dowell, 2021; Saunders, Frederick, Silverman, Nielsen, &amp; Laplante-Lévesque, 2016)</w:t>
      </w:r>
      <w:r>
        <w:rPr>
          <w:rFonts w:ascii="Times New Roman" w:hAnsi="Times New Roman" w:cs="Times New Roman"/>
        </w:rPr>
        <w:t>. A further investigation into attitudes towards hearing loss</w:t>
      </w:r>
      <w:r w:rsidRPr="00895BFD">
        <w:rPr>
          <w:rFonts w:ascii="Times New Roman" w:hAnsi="Times New Roman" w:cs="Times New Roman"/>
        </w:rPr>
        <w:t xml:space="preserve"> </w:t>
      </w:r>
      <w:r>
        <w:rPr>
          <w:rFonts w:ascii="Times New Roman" w:hAnsi="Times New Roman" w:cs="Times New Roman"/>
        </w:rPr>
        <w:t xml:space="preserve">found that </w:t>
      </w:r>
      <w:r>
        <w:rPr>
          <w:rFonts w:ascii="Times New Roman" w:hAnsi="Times New Roman" w:cs="Times New Roman"/>
        </w:rPr>
        <w:lastRenderedPageBreak/>
        <w:t>a</w:t>
      </w:r>
      <w:r w:rsidRPr="00895BFD">
        <w:rPr>
          <w:rFonts w:ascii="Times New Roman" w:hAnsi="Times New Roman" w:cs="Times New Roman"/>
        </w:rPr>
        <w:t>cceptance</w:t>
      </w:r>
      <w:r>
        <w:rPr>
          <w:rFonts w:ascii="Times New Roman" w:hAnsi="Times New Roman" w:cs="Times New Roman"/>
        </w:rPr>
        <w:t xml:space="preserve"> of hearing loss –</w:t>
      </w:r>
      <w:r w:rsidRPr="00895BFD">
        <w:rPr>
          <w:rFonts w:ascii="Times New Roman" w:hAnsi="Times New Roman" w:cs="Times New Roman"/>
        </w:rPr>
        <w:t xml:space="preserve"> among people </w:t>
      </w:r>
      <w:r>
        <w:rPr>
          <w:rFonts w:ascii="Times New Roman" w:hAnsi="Times New Roman" w:cs="Times New Roman"/>
        </w:rPr>
        <w:t xml:space="preserve">who are </w:t>
      </w:r>
      <w:r w:rsidRPr="00895BFD">
        <w:rPr>
          <w:rFonts w:ascii="Times New Roman" w:hAnsi="Times New Roman" w:cs="Times New Roman"/>
        </w:rPr>
        <w:t>DHH</w:t>
      </w:r>
      <w:r>
        <w:rPr>
          <w:rFonts w:ascii="Times New Roman" w:hAnsi="Times New Roman" w:cs="Times New Roman"/>
        </w:rPr>
        <w:t xml:space="preserve"> –</w:t>
      </w:r>
      <w:r w:rsidRPr="00895BFD">
        <w:rPr>
          <w:rFonts w:ascii="Times New Roman" w:hAnsi="Times New Roman" w:cs="Times New Roman"/>
        </w:rPr>
        <w:t xml:space="preserve"> </w:t>
      </w:r>
      <w:r>
        <w:rPr>
          <w:rFonts w:ascii="Times New Roman" w:hAnsi="Times New Roman" w:cs="Times New Roman"/>
        </w:rPr>
        <w:t>is</w:t>
      </w:r>
      <w:r w:rsidRPr="00895BFD">
        <w:rPr>
          <w:rFonts w:ascii="Times New Roman" w:hAnsi="Times New Roman" w:cs="Times New Roman"/>
        </w:rPr>
        <w:t xml:space="preserve"> a contributing factor to hearing aid uptake </w:t>
      </w:r>
      <w:r>
        <w:rPr>
          <w:rFonts w:ascii="Times New Roman" w:hAnsi="Times New Roman" w:cs="Times New Roman"/>
          <w:noProof/>
        </w:rPr>
        <w:t>(Vestergaard Knudsen et al., 2010)</w:t>
      </w:r>
      <w:r w:rsidRPr="00895BFD">
        <w:rPr>
          <w:rFonts w:ascii="Times New Roman" w:hAnsi="Times New Roman" w:cs="Times New Roman"/>
        </w:rPr>
        <w:t>. Barker and colleagues</w:t>
      </w:r>
      <w:r>
        <w:rPr>
          <w:rFonts w:ascii="Times New Roman" w:hAnsi="Times New Roman" w:cs="Times New Roman"/>
        </w:rPr>
        <w:t>’</w:t>
      </w:r>
      <w:r w:rsidRPr="00895BFD">
        <w:rPr>
          <w:rFonts w:ascii="Times New Roman" w:hAnsi="Times New Roman" w:cs="Times New Roman"/>
        </w:rPr>
        <w:t xml:space="preserve"> </w:t>
      </w:r>
      <w:r w:rsidRPr="00895BFD">
        <w:rPr>
          <w:rFonts w:ascii="Times New Roman" w:hAnsi="Times New Roman" w:cs="Times New Roman"/>
          <w:noProof/>
        </w:rPr>
        <w:t>(2017)</w:t>
      </w:r>
      <w:r w:rsidRPr="00895BFD">
        <w:rPr>
          <w:rFonts w:ascii="Times New Roman" w:hAnsi="Times New Roman" w:cs="Times New Roman"/>
        </w:rPr>
        <w:t xml:space="preserve"> </w:t>
      </w:r>
      <w:r>
        <w:rPr>
          <w:rFonts w:ascii="Times New Roman" w:hAnsi="Times New Roman" w:cs="Times New Roman"/>
        </w:rPr>
        <w:t xml:space="preserve">meta-synthesis argues </w:t>
      </w:r>
      <w:r w:rsidRPr="00895BFD">
        <w:rPr>
          <w:rFonts w:ascii="Times New Roman" w:hAnsi="Times New Roman" w:cs="Times New Roman"/>
        </w:rPr>
        <w:t xml:space="preserve">unwillingness to accept hearing loss </w:t>
      </w:r>
      <w:r>
        <w:rPr>
          <w:rFonts w:ascii="Times New Roman" w:hAnsi="Times New Roman" w:cs="Times New Roman"/>
        </w:rPr>
        <w:t xml:space="preserve">is a hindrance to </w:t>
      </w:r>
      <w:r w:rsidRPr="00895BFD">
        <w:rPr>
          <w:rFonts w:ascii="Times New Roman" w:hAnsi="Times New Roman" w:cs="Times New Roman"/>
        </w:rPr>
        <w:t>hearing aid uptake</w:t>
      </w:r>
      <w:r>
        <w:rPr>
          <w:rFonts w:ascii="Times New Roman" w:hAnsi="Times New Roman" w:cs="Times New Roman"/>
        </w:rPr>
        <w:t xml:space="preserve"> and</w:t>
      </w:r>
      <w:r w:rsidRPr="00895BFD">
        <w:rPr>
          <w:rFonts w:ascii="Times New Roman" w:hAnsi="Times New Roman" w:cs="Times New Roman"/>
        </w:rPr>
        <w:t xml:space="preserve"> negatively impact</w:t>
      </w:r>
      <w:r>
        <w:rPr>
          <w:rFonts w:ascii="Times New Roman" w:hAnsi="Times New Roman" w:cs="Times New Roman"/>
        </w:rPr>
        <w:t>s hearing aid adherence</w:t>
      </w:r>
      <w:r w:rsidRPr="00895BFD">
        <w:rPr>
          <w:rFonts w:ascii="Times New Roman" w:hAnsi="Times New Roman" w:cs="Times New Roman"/>
        </w:rPr>
        <w:t xml:space="preserve">. </w:t>
      </w:r>
      <w:r>
        <w:rPr>
          <w:rFonts w:ascii="Times New Roman" w:hAnsi="Times New Roman" w:cs="Times New Roman"/>
        </w:rPr>
        <w:t xml:space="preserve">Even when individuals accept their hearing loss and are willing to pursue intervention with amplification, adherence with hearing aid use can be problematic due to </w:t>
      </w:r>
      <w:r w:rsidR="00AA0E5B">
        <w:rPr>
          <w:rFonts w:ascii="Times New Roman" w:hAnsi="Times New Roman" w:cs="Times New Roman"/>
        </w:rPr>
        <w:t>several</w:t>
      </w:r>
      <w:r>
        <w:rPr>
          <w:rFonts w:ascii="Times New Roman" w:hAnsi="Times New Roman" w:cs="Times New Roman"/>
        </w:rPr>
        <w:t xml:space="preserve"> factors </w:t>
      </w:r>
      <w:r>
        <w:rPr>
          <w:rFonts w:ascii="Times New Roman" w:hAnsi="Times New Roman" w:cs="Times New Roman"/>
          <w:noProof/>
        </w:rPr>
        <w:t xml:space="preserve">(e.g., </w:t>
      </w:r>
      <w:r w:rsidR="00CF1BE0">
        <w:rPr>
          <w:rFonts w:ascii="Times New Roman" w:hAnsi="Times New Roman" w:cs="Times New Roman"/>
          <w:noProof/>
        </w:rPr>
        <w:t xml:space="preserve">negative </w:t>
      </w:r>
      <w:r>
        <w:rPr>
          <w:rFonts w:ascii="Times New Roman" w:hAnsi="Times New Roman" w:cs="Times New Roman"/>
          <w:noProof/>
        </w:rPr>
        <w:t>attitude towards hearing aids; Vestergaard Knudsen et al., 2010)</w:t>
      </w:r>
      <w:r>
        <w:rPr>
          <w:rFonts w:ascii="Times New Roman" w:hAnsi="Times New Roman" w:cs="Times New Roman"/>
        </w:rPr>
        <w:t>.</w:t>
      </w:r>
    </w:p>
    <w:p w14:paraId="1A4E6FF7" w14:textId="3EA0C46F" w:rsidR="00B4295F" w:rsidRDefault="00B4295F" w:rsidP="00387341">
      <w:pPr>
        <w:tabs>
          <w:tab w:val="num" w:pos="0"/>
        </w:tabs>
        <w:spacing w:line="480" w:lineRule="auto"/>
        <w:textAlignment w:val="baseline"/>
        <w:rPr>
          <w:rFonts w:ascii="Times New Roman" w:hAnsi="Times New Roman" w:cs="Times New Roman"/>
        </w:rPr>
      </w:pPr>
      <w:r>
        <w:rPr>
          <w:rFonts w:ascii="Times New Roman" w:hAnsi="Times New Roman" w:cs="Times New Roman"/>
        </w:rPr>
        <w:tab/>
        <w:t xml:space="preserve">A factor that is often not assessed in clinical practice is the contribution of internal barriers (e.g., thoughts, emotions) that hinder hearing aid uptake and adherence. In fact, one study found that audiologists </w:t>
      </w:r>
      <w:r w:rsidR="00A53C18">
        <w:rPr>
          <w:rFonts w:ascii="Times New Roman" w:hAnsi="Times New Roman" w:cs="Times New Roman"/>
        </w:rPr>
        <w:t>did not always address</w:t>
      </w:r>
      <w:r>
        <w:rPr>
          <w:rFonts w:ascii="Times New Roman" w:hAnsi="Times New Roman" w:cs="Times New Roman"/>
        </w:rPr>
        <w:t xml:space="preserve"> clients</w:t>
      </w:r>
      <w:r w:rsidR="00A53C18">
        <w:rPr>
          <w:rFonts w:ascii="Times New Roman" w:hAnsi="Times New Roman" w:cs="Times New Roman"/>
        </w:rPr>
        <w:t>’</w:t>
      </w:r>
      <w:r>
        <w:rPr>
          <w:rFonts w:ascii="Times New Roman" w:hAnsi="Times New Roman" w:cs="Times New Roman"/>
        </w:rPr>
        <w:t xml:space="preserve"> psychosocial concerns about hearing aids </w:t>
      </w:r>
      <w:r w:rsidR="00725771">
        <w:rPr>
          <w:rFonts w:ascii="Times New Roman" w:hAnsi="Times New Roman" w:cs="Times New Roman"/>
        </w:rPr>
        <w:t xml:space="preserve">and would, instead, </w:t>
      </w:r>
      <w:r>
        <w:rPr>
          <w:rFonts w:ascii="Times New Roman" w:hAnsi="Times New Roman" w:cs="Times New Roman"/>
        </w:rPr>
        <w:t>contin</w:t>
      </w:r>
      <w:r w:rsidR="00725771">
        <w:rPr>
          <w:rFonts w:ascii="Times New Roman" w:hAnsi="Times New Roman" w:cs="Times New Roman"/>
        </w:rPr>
        <w:t>ue</w:t>
      </w:r>
      <w:r>
        <w:rPr>
          <w:rFonts w:ascii="Times New Roman" w:hAnsi="Times New Roman" w:cs="Times New Roman"/>
        </w:rPr>
        <w:t xml:space="preserve"> informational discussion on hearing aids </w:t>
      </w:r>
      <w:r>
        <w:rPr>
          <w:rFonts w:ascii="Times New Roman" w:hAnsi="Times New Roman" w:cs="Times New Roman"/>
          <w:noProof/>
        </w:rPr>
        <w:t>(Ekberg, Grenness, &amp; Hickson, 2014)</w:t>
      </w:r>
      <w:r>
        <w:rPr>
          <w:rFonts w:ascii="Times New Roman" w:hAnsi="Times New Roman" w:cs="Times New Roman"/>
        </w:rPr>
        <w:t xml:space="preserve">. Some of the internal barriers reported by individuals who use hearing aids include ageism, vanity, and negative self-perceptions (e.g., feeling disabled) as stigmas they have experienced </w:t>
      </w:r>
      <w:r>
        <w:rPr>
          <w:rFonts w:ascii="Times New Roman" w:hAnsi="Times New Roman" w:cs="Times New Roman"/>
          <w:noProof/>
        </w:rPr>
        <w:t>(Wallhagen, 2010)</w:t>
      </w:r>
      <w:r>
        <w:rPr>
          <w:rFonts w:ascii="Times New Roman" w:hAnsi="Times New Roman" w:cs="Times New Roman"/>
        </w:rPr>
        <w:t xml:space="preserve">. Internal barriers such as these can interfere with wearing hearing aids and impede </w:t>
      </w:r>
      <w:r w:rsidR="008051CC">
        <w:rPr>
          <w:rFonts w:ascii="Times New Roman" w:hAnsi="Times New Roman" w:cs="Times New Roman"/>
        </w:rPr>
        <w:t xml:space="preserve">a person’s </w:t>
      </w:r>
      <w:r>
        <w:rPr>
          <w:rFonts w:ascii="Times New Roman" w:hAnsi="Times New Roman" w:cs="Times New Roman"/>
        </w:rPr>
        <w:t>ability to receive the positive benefits of amplification. More specifically, thoughts, feelings, sensations, or emotions related to hearing loss and engagement in hearing healthcare intervention can prove to be problematic for</w:t>
      </w:r>
      <w:r w:rsidRPr="00895BFD">
        <w:rPr>
          <w:rFonts w:ascii="Times New Roman" w:hAnsi="Times New Roman" w:cs="Times New Roman"/>
        </w:rPr>
        <w:t xml:space="preserve"> individual</w:t>
      </w:r>
      <w:r>
        <w:rPr>
          <w:rFonts w:ascii="Times New Roman" w:hAnsi="Times New Roman" w:cs="Times New Roman"/>
        </w:rPr>
        <w:t>s who are DHH and interfere with their ability to effectively engage in the intervention process.</w:t>
      </w:r>
    </w:p>
    <w:p w14:paraId="4E2A0722" w14:textId="7EDA408B" w:rsidR="00B4295F" w:rsidRPr="00895BFD" w:rsidRDefault="00B4295F" w:rsidP="00387341">
      <w:pPr>
        <w:tabs>
          <w:tab w:val="num" w:pos="0"/>
        </w:tabs>
        <w:spacing w:line="480" w:lineRule="auto"/>
        <w:textAlignment w:val="baseline"/>
        <w:rPr>
          <w:rFonts w:ascii="Times New Roman" w:hAnsi="Times New Roman" w:cs="Times New Roman"/>
        </w:rPr>
      </w:pPr>
      <w:r>
        <w:rPr>
          <w:rFonts w:ascii="Times New Roman" w:hAnsi="Times New Roman" w:cs="Times New Roman"/>
        </w:rPr>
        <w:tab/>
      </w:r>
      <w:r w:rsidR="00557DDF">
        <w:rPr>
          <w:rFonts w:ascii="Times New Roman" w:hAnsi="Times New Roman" w:cs="Times New Roman"/>
        </w:rPr>
        <w:t xml:space="preserve">The influence of a person’s </w:t>
      </w:r>
      <w:r>
        <w:rPr>
          <w:rFonts w:ascii="Times New Roman" w:hAnsi="Times New Roman" w:cs="Times New Roman"/>
        </w:rPr>
        <w:t>th</w:t>
      </w:r>
      <w:r w:rsidR="00557DDF">
        <w:rPr>
          <w:rFonts w:ascii="Times New Roman" w:hAnsi="Times New Roman" w:cs="Times New Roman"/>
        </w:rPr>
        <w:t>oughts</w:t>
      </w:r>
      <w:r>
        <w:rPr>
          <w:rFonts w:ascii="Times New Roman" w:hAnsi="Times New Roman" w:cs="Times New Roman"/>
        </w:rPr>
        <w:t xml:space="preserve"> and feel</w:t>
      </w:r>
      <w:r w:rsidR="00557DDF">
        <w:rPr>
          <w:rFonts w:ascii="Times New Roman" w:hAnsi="Times New Roman" w:cs="Times New Roman"/>
        </w:rPr>
        <w:t>ing</w:t>
      </w:r>
      <w:r w:rsidR="007A5B41">
        <w:rPr>
          <w:rFonts w:ascii="Times New Roman" w:hAnsi="Times New Roman" w:cs="Times New Roman"/>
        </w:rPr>
        <w:t>s</w:t>
      </w:r>
      <w:r>
        <w:rPr>
          <w:rFonts w:ascii="Times New Roman" w:hAnsi="Times New Roman" w:cs="Times New Roman"/>
        </w:rPr>
        <w:t xml:space="preserve"> </w:t>
      </w:r>
      <w:r w:rsidR="007A5B41">
        <w:rPr>
          <w:rFonts w:ascii="Times New Roman" w:hAnsi="Times New Roman" w:cs="Times New Roman"/>
        </w:rPr>
        <w:t xml:space="preserve">on </w:t>
      </w:r>
      <w:r>
        <w:rPr>
          <w:rFonts w:ascii="Times New Roman" w:hAnsi="Times New Roman" w:cs="Times New Roman"/>
        </w:rPr>
        <w:t>their behavior and mental processes</w:t>
      </w:r>
      <w:r w:rsidR="00614D40">
        <w:rPr>
          <w:rFonts w:ascii="Times New Roman" w:hAnsi="Times New Roman" w:cs="Times New Roman"/>
        </w:rPr>
        <w:t xml:space="preserve"> </w:t>
      </w:r>
      <w:r w:rsidR="00557DDF">
        <w:rPr>
          <w:rFonts w:ascii="Times New Roman" w:hAnsi="Times New Roman" w:cs="Times New Roman"/>
        </w:rPr>
        <w:t xml:space="preserve">are </w:t>
      </w:r>
      <w:r>
        <w:rPr>
          <w:rFonts w:ascii="Times New Roman" w:hAnsi="Times New Roman" w:cs="Times New Roman"/>
        </w:rPr>
        <w:t xml:space="preserve">areas </w:t>
      </w:r>
      <w:r w:rsidR="00557DDF">
        <w:rPr>
          <w:rFonts w:ascii="Times New Roman" w:hAnsi="Times New Roman" w:cs="Times New Roman"/>
        </w:rPr>
        <w:t xml:space="preserve">commonly </w:t>
      </w:r>
      <w:r>
        <w:rPr>
          <w:rFonts w:ascii="Times New Roman" w:hAnsi="Times New Roman" w:cs="Times New Roman"/>
        </w:rPr>
        <w:t xml:space="preserve">studied and addressed in </w:t>
      </w:r>
      <w:r w:rsidR="00790A3C">
        <w:rPr>
          <w:rFonts w:ascii="Times New Roman" w:hAnsi="Times New Roman" w:cs="Times New Roman"/>
        </w:rPr>
        <w:t>psychology and</w:t>
      </w:r>
      <w:r w:rsidR="00614D40">
        <w:rPr>
          <w:rFonts w:ascii="Times New Roman" w:hAnsi="Times New Roman" w:cs="Times New Roman"/>
        </w:rPr>
        <w:t xml:space="preserve"> </w:t>
      </w:r>
      <w:r>
        <w:rPr>
          <w:rFonts w:ascii="Times New Roman" w:hAnsi="Times New Roman" w:cs="Times New Roman"/>
        </w:rPr>
        <w:t>are</w:t>
      </w:r>
      <w:r w:rsidR="00614D40">
        <w:rPr>
          <w:rFonts w:ascii="Times New Roman" w:hAnsi="Times New Roman" w:cs="Times New Roman"/>
        </w:rPr>
        <w:t xml:space="preserve"> </w:t>
      </w:r>
      <w:r>
        <w:rPr>
          <w:rFonts w:ascii="Times New Roman" w:hAnsi="Times New Roman" w:cs="Times New Roman"/>
        </w:rPr>
        <w:t xml:space="preserve">applicable to the work of audiologists. Psychological flexibility is a key process of change that has been found to influence a myriad of psychological issues. </w:t>
      </w:r>
      <w:r w:rsidRPr="00895BFD">
        <w:rPr>
          <w:rFonts w:ascii="Times New Roman" w:hAnsi="Times New Roman" w:cs="Times New Roman"/>
        </w:rPr>
        <w:t xml:space="preserve">Psychological flexibility </w:t>
      </w:r>
      <w:r>
        <w:rPr>
          <w:rFonts w:ascii="Times New Roman" w:hAnsi="Times New Roman" w:cs="Times New Roman"/>
        </w:rPr>
        <w:t xml:space="preserve">can be </w:t>
      </w:r>
      <w:r w:rsidRPr="00895BFD">
        <w:rPr>
          <w:rFonts w:ascii="Times New Roman" w:hAnsi="Times New Roman" w:cs="Times New Roman"/>
        </w:rPr>
        <w:t xml:space="preserve">described as </w:t>
      </w:r>
      <w:r>
        <w:rPr>
          <w:rFonts w:ascii="Times New Roman" w:hAnsi="Times New Roman" w:cs="Times New Roman"/>
        </w:rPr>
        <w:t xml:space="preserve">the ability to see internal experiences for what they are and allow them to be present, while moving in meaningful </w:t>
      </w:r>
      <w:r>
        <w:rPr>
          <w:rFonts w:ascii="Times New Roman" w:hAnsi="Times New Roman" w:cs="Times New Roman"/>
        </w:rPr>
        <w:lastRenderedPageBreak/>
        <w:t>life directions</w:t>
      </w:r>
      <w:r w:rsidR="00B86C9A">
        <w:rPr>
          <w:rFonts w:ascii="Times New Roman" w:hAnsi="Times New Roman" w:cs="Times New Roman"/>
        </w:rPr>
        <w:t xml:space="preserve"> (</w:t>
      </w:r>
      <w:r w:rsidR="00B86C9A" w:rsidRPr="00B86C9A">
        <w:rPr>
          <w:rFonts w:ascii="Times New Roman" w:hAnsi="Times New Roman" w:cs="Times New Roman"/>
        </w:rPr>
        <w:t>Hayes</w:t>
      </w:r>
      <w:r w:rsidR="00B86C9A">
        <w:rPr>
          <w:rFonts w:ascii="Times New Roman" w:hAnsi="Times New Roman" w:cs="Times New Roman"/>
        </w:rPr>
        <w:t xml:space="preserve"> &amp; </w:t>
      </w:r>
      <w:r w:rsidR="00B86C9A" w:rsidRPr="00B86C9A">
        <w:rPr>
          <w:rFonts w:ascii="Times New Roman" w:hAnsi="Times New Roman" w:cs="Times New Roman"/>
        </w:rPr>
        <w:t>Strosahl,</w:t>
      </w:r>
      <w:r w:rsidR="00B86C9A">
        <w:rPr>
          <w:rFonts w:ascii="Times New Roman" w:hAnsi="Times New Roman" w:cs="Times New Roman"/>
        </w:rPr>
        <w:t xml:space="preserve"> </w:t>
      </w:r>
      <w:r w:rsidR="00B86C9A" w:rsidRPr="00B86C9A">
        <w:rPr>
          <w:rFonts w:ascii="Times New Roman" w:hAnsi="Times New Roman" w:cs="Times New Roman"/>
        </w:rPr>
        <w:t>2005)</w:t>
      </w:r>
      <w:r>
        <w:rPr>
          <w:rFonts w:ascii="Times New Roman" w:hAnsi="Times New Roman" w:cs="Times New Roman"/>
        </w:rPr>
        <w:t>. When individuals struggle with their ability to respond adaptively to difficult thoughts and emotions, this is called psychological inflexibility. For instance,</w:t>
      </w:r>
      <w:r w:rsidRPr="00895BFD">
        <w:rPr>
          <w:rFonts w:ascii="Times New Roman" w:hAnsi="Times New Roman" w:cs="Times New Roman"/>
        </w:rPr>
        <w:t xml:space="preserve"> a person who is unwilling to </w:t>
      </w:r>
      <w:r>
        <w:rPr>
          <w:rFonts w:ascii="Times New Roman" w:hAnsi="Times New Roman" w:cs="Times New Roman"/>
        </w:rPr>
        <w:t>be present with</w:t>
      </w:r>
      <w:r w:rsidRPr="00895BFD">
        <w:rPr>
          <w:rFonts w:ascii="Times New Roman" w:hAnsi="Times New Roman" w:cs="Times New Roman"/>
        </w:rPr>
        <w:t xml:space="preserve"> their</w:t>
      </w:r>
      <w:r>
        <w:rPr>
          <w:rFonts w:ascii="Times New Roman" w:hAnsi="Times New Roman" w:cs="Times New Roman"/>
        </w:rPr>
        <w:t xml:space="preserve"> own</w:t>
      </w:r>
      <w:r w:rsidRPr="00895BFD">
        <w:rPr>
          <w:rFonts w:ascii="Times New Roman" w:hAnsi="Times New Roman" w:cs="Times New Roman"/>
        </w:rPr>
        <w:t xml:space="preserve"> </w:t>
      </w:r>
      <w:r>
        <w:rPr>
          <w:rFonts w:ascii="Times New Roman" w:hAnsi="Times New Roman" w:cs="Times New Roman"/>
        </w:rPr>
        <w:t xml:space="preserve">inner experiences </w:t>
      </w:r>
      <w:r w:rsidRPr="00895BFD">
        <w:rPr>
          <w:rFonts w:ascii="Times New Roman" w:hAnsi="Times New Roman" w:cs="Times New Roman"/>
        </w:rPr>
        <w:t xml:space="preserve">would likely modify their behavior </w:t>
      </w:r>
      <w:r w:rsidR="00790A3C" w:rsidRPr="00895BFD">
        <w:rPr>
          <w:rFonts w:ascii="Times New Roman" w:hAnsi="Times New Roman" w:cs="Times New Roman"/>
        </w:rPr>
        <w:t>to</w:t>
      </w:r>
      <w:r w:rsidRPr="00895BFD">
        <w:rPr>
          <w:rFonts w:ascii="Times New Roman" w:hAnsi="Times New Roman" w:cs="Times New Roman"/>
        </w:rPr>
        <w:t xml:space="preserve"> avoid said </w:t>
      </w:r>
      <w:r>
        <w:rPr>
          <w:rFonts w:ascii="Times New Roman" w:hAnsi="Times New Roman" w:cs="Times New Roman"/>
        </w:rPr>
        <w:t>inner experiences</w:t>
      </w:r>
      <w:r w:rsidRPr="00895BFD">
        <w:rPr>
          <w:rFonts w:ascii="Times New Roman" w:hAnsi="Times New Roman" w:cs="Times New Roman"/>
        </w:rPr>
        <w:t xml:space="preserve"> and </w:t>
      </w:r>
      <w:r>
        <w:rPr>
          <w:rFonts w:ascii="Times New Roman" w:hAnsi="Times New Roman" w:cs="Times New Roman"/>
        </w:rPr>
        <w:t>develop unhealthy habits in the process</w:t>
      </w:r>
      <w:r w:rsidR="00BD789B">
        <w:rPr>
          <w:rFonts w:ascii="Times New Roman" w:hAnsi="Times New Roman" w:cs="Times New Roman"/>
        </w:rPr>
        <w:t>. T</w:t>
      </w:r>
      <w:r>
        <w:rPr>
          <w:rFonts w:ascii="Times New Roman" w:hAnsi="Times New Roman" w:cs="Times New Roman"/>
        </w:rPr>
        <w:t xml:space="preserve">his can result in increased avoidance and anxiety. Understanding psychological inflexibility among people who are DHH can aid in targeting potential internal barriers to increase acceptance, hearing aid uptake, and adherence. </w:t>
      </w:r>
    </w:p>
    <w:p w14:paraId="382F5CF6" w14:textId="36486770" w:rsidR="00330CF1" w:rsidRDefault="00B4295F" w:rsidP="000E1082">
      <w:pPr>
        <w:tabs>
          <w:tab w:val="num" w:pos="0"/>
        </w:tabs>
        <w:spacing w:line="480" w:lineRule="auto"/>
        <w:textAlignment w:val="baseline"/>
        <w:rPr>
          <w:rFonts w:ascii="Times New Roman" w:hAnsi="Times New Roman" w:cs="Times New Roman"/>
        </w:rPr>
      </w:pPr>
      <w:r w:rsidRPr="00895BFD">
        <w:rPr>
          <w:rFonts w:ascii="Times New Roman" w:hAnsi="Times New Roman" w:cs="Times New Roman"/>
        </w:rPr>
        <w:tab/>
      </w:r>
      <w:r w:rsidRPr="00D01956">
        <w:rPr>
          <w:rFonts w:ascii="Times New Roman" w:hAnsi="Times New Roman" w:cs="Times New Roman"/>
        </w:rPr>
        <w:t>Albeit</w:t>
      </w:r>
      <w:r>
        <w:rPr>
          <w:rFonts w:ascii="Times New Roman" w:hAnsi="Times New Roman" w:cs="Times New Roman"/>
        </w:rPr>
        <w:t xml:space="preserve"> novel, </w:t>
      </w:r>
      <w:r w:rsidR="007B6E34">
        <w:rPr>
          <w:rFonts w:ascii="Times New Roman" w:hAnsi="Times New Roman" w:cs="Times New Roman"/>
        </w:rPr>
        <w:t xml:space="preserve">two studies have shown psychological inflexibility </w:t>
      </w:r>
      <w:r w:rsidR="007748BE">
        <w:rPr>
          <w:rFonts w:ascii="Times New Roman" w:hAnsi="Times New Roman" w:cs="Times New Roman"/>
        </w:rPr>
        <w:t xml:space="preserve">to </w:t>
      </w:r>
      <w:r w:rsidR="007B6E34">
        <w:rPr>
          <w:rFonts w:ascii="Times New Roman" w:hAnsi="Times New Roman" w:cs="Times New Roman"/>
        </w:rPr>
        <w:t>predict different aspects of well-being</w:t>
      </w:r>
      <w:r w:rsidR="00B63B64">
        <w:rPr>
          <w:rFonts w:ascii="Times New Roman" w:hAnsi="Times New Roman" w:cs="Times New Roman"/>
        </w:rPr>
        <w:t xml:space="preserve"> (e.g., psychological distress, functional impairment)</w:t>
      </w:r>
      <w:r w:rsidR="00684DF2">
        <w:rPr>
          <w:rFonts w:ascii="Times New Roman" w:hAnsi="Times New Roman" w:cs="Times New Roman"/>
        </w:rPr>
        <w:t xml:space="preserve"> among DHH</w:t>
      </w:r>
      <w:r w:rsidR="00B63B64">
        <w:rPr>
          <w:rFonts w:ascii="Times New Roman" w:hAnsi="Times New Roman" w:cs="Times New Roman"/>
        </w:rPr>
        <w:t xml:space="preserve"> </w:t>
      </w:r>
      <w:r w:rsidR="004523EC">
        <w:rPr>
          <w:rFonts w:ascii="Times New Roman" w:hAnsi="Times New Roman" w:cs="Times New Roman"/>
        </w:rPr>
        <w:t xml:space="preserve">adults </w:t>
      </w:r>
      <w:r w:rsidR="00B63B64">
        <w:rPr>
          <w:rFonts w:ascii="Times New Roman" w:hAnsi="Times New Roman" w:cs="Times New Roman"/>
        </w:rPr>
        <w:t>(</w:t>
      </w:r>
      <w:r w:rsidR="00C51E17">
        <w:rPr>
          <w:rFonts w:ascii="Times New Roman" w:hAnsi="Times New Roman" w:cs="Times New Roman"/>
        </w:rPr>
        <w:t xml:space="preserve">Muñoz et al., 2021; </w:t>
      </w:r>
      <w:r w:rsidR="007B6E34">
        <w:rPr>
          <w:rFonts w:ascii="Times New Roman" w:hAnsi="Times New Roman" w:cs="Times New Roman"/>
        </w:rPr>
        <w:t>Whicker</w:t>
      </w:r>
      <w:r w:rsidR="00C51E17">
        <w:rPr>
          <w:rFonts w:ascii="Times New Roman" w:hAnsi="Times New Roman" w:cs="Times New Roman"/>
        </w:rPr>
        <w:t xml:space="preserve"> et al.</w:t>
      </w:r>
      <w:r w:rsidR="007B6E34">
        <w:rPr>
          <w:rFonts w:ascii="Times New Roman" w:hAnsi="Times New Roman" w:cs="Times New Roman"/>
        </w:rPr>
        <w:t>, 2020)</w:t>
      </w:r>
      <w:r w:rsidR="00CD4E31">
        <w:rPr>
          <w:rFonts w:ascii="Times New Roman" w:hAnsi="Times New Roman" w:cs="Times New Roman"/>
        </w:rPr>
        <w:t xml:space="preserve">. </w:t>
      </w:r>
      <w:r w:rsidR="005C2781">
        <w:rPr>
          <w:rFonts w:ascii="Times New Roman" w:hAnsi="Times New Roman" w:cs="Times New Roman"/>
        </w:rPr>
        <w:t>Additionally</w:t>
      </w:r>
      <w:r w:rsidR="00CD4E31">
        <w:rPr>
          <w:rFonts w:ascii="Times New Roman" w:hAnsi="Times New Roman" w:cs="Times New Roman"/>
        </w:rPr>
        <w:t xml:space="preserve">, </w:t>
      </w:r>
      <w:r>
        <w:rPr>
          <w:rFonts w:ascii="Times New Roman" w:hAnsi="Times New Roman" w:cs="Times New Roman"/>
        </w:rPr>
        <w:t>the ability to be flexible with one’s internal experiences has</w:t>
      </w:r>
      <w:r w:rsidR="00632D4C">
        <w:rPr>
          <w:rFonts w:ascii="Times New Roman" w:hAnsi="Times New Roman" w:cs="Times New Roman"/>
        </w:rPr>
        <w:t xml:space="preserve"> been</w:t>
      </w:r>
      <w:r>
        <w:rPr>
          <w:rFonts w:ascii="Times New Roman" w:hAnsi="Times New Roman" w:cs="Times New Roman"/>
        </w:rPr>
        <w:t xml:space="preserve"> shown to play a vital role in health</w:t>
      </w:r>
      <w:r w:rsidR="00B31109">
        <w:rPr>
          <w:rFonts w:ascii="Times New Roman" w:hAnsi="Times New Roman" w:cs="Times New Roman"/>
        </w:rPr>
        <w:t xml:space="preserve">-related </w:t>
      </w:r>
      <w:r>
        <w:rPr>
          <w:rFonts w:ascii="Times New Roman" w:hAnsi="Times New Roman" w:cs="Times New Roman"/>
        </w:rPr>
        <w:t xml:space="preserve">behavioral outcomes. Those who are flexible and accepting of their individual inner experiences, for example, are more likely to adhere to their specific health related self-management behaviors </w:t>
      </w:r>
      <w:r>
        <w:rPr>
          <w:rFonts w:ascii="Times New Roman" w:hAnsi="Times New Roman" w:cs="Times New Roman"/>
          <w:noProof/>
        </w:rPr>
        <w:t>(DeGaetano, Wolanin, Marks, &amp; Eastin, 2016; Kamody et al., 2018)</w:t>
      </w:r>
      <w:r>
        <w:rPr>
          <w:rFonts w:ascii="Times New Roman" w:hAnsi="Times New Roman" w:cs="Times New Roman"/>
        </w:rPr>
        <w:t>.</w:t>
      </w:r>
      <w:r w:rsidRPr="00895BFD">
        <w:rPr>
          <w:rFonts w:ascii="Times New Roman" w:hAnsi="Times New Roman" w:cs="Times New Roman"/>
        </w:rPr>
        <w:t xml:space="preserve"> </w:t>
      </w:r>
      <w:r>
        <w:rPr>
          <w:rFonts w:ascii="Times New Roman" w:hAnsi="Times New Roman" w:cs="Times New Roman"/>
        </w:rPr>
        <w:t>Psychological inflexibility may be a factor to address for t</w:t>
      </w:r>
      <w:r w:rsidRPr="00895BFD">
        <w:rPr>
          <w:rFonts w:ascii="Times New Roman" w:hAnsi="Times New Roman" w:cs="Times New Roman"/>
        </w:rPr>
        <w:t xml:space="preserve">he lack of acceptance that is prevalent among </w:t>
      </w:r>
      <w:r>
        <w:rPr>
          <w:rFonts w:ascii="Times New Roman" w:hAnsi="Times New Roman" w:cs="Times New Roman"/>
        </w:rPr>
        <w:t xml:space="preserve">people who are </w:t>
      </w:r>
      <w:r w:rsidRPr="00895BFD">
        <w:rPr>
          <w:rFonts w:ascii="Times New Roman" w:hAnsi="Times New Roman" w:cs="Times New Roman"/>
        </w:rPr>
        <w:t xml:space="preserve">DHH </w:t>
      </w:r>
      <w:r>
        <w:rPr>
          <w:rFonts w:ascii="Times New Roman" w:hAnsi="Times New Roman" w:cs="Times New Roman"/>
        </w:rPr>
        <w:t>and</w:t>
      </w:r>
      <w:r w:rsidRPr="00895BFD">
        <w:rPr>
          <w:rFonts w:ascii="Times New Roman" w:hAnsi="Times New Roman" w:cs="Times New Roman"/>
        </w:rPr>
        <w:t xml:space="preserve"> </w:t>
      </w:r>
      <w:r>
        <w:rPr>
          <w:rFonts w:ascii="Times New Roman" w:hAnsi="Times New Roman" w:cs="Times New Roman"/>
        </w:rPr>
        <w:t>are hesitant</w:t>
      </w:r>
      <w:r w:rsidRPr="00895BFD">
        <w:rPr>
          <w:rFonts w:ascii="Times New Roman" w:hAnsi="Times New Roman" w:cs="Times New Roman"/>
        </w:rPr>
        <w:t xml:space="preserve"> to </w:t>
      </w:r>
      <w:r>
        <w:rPr>
          <w:rFonts w:ascii="Times New Roman" w:hAnsi="Times New Roman" w:cs="Times New Roman"/>
        </w:rPr>
        <w:t xml:space="preserve">obtain or </w:t>
      </w:r>
      <w:r w:rsidRPr="00895BFD">
        <w:rPr>
          <w:rFonts w:ascii="Times New Roman" w:hAnsi="Times New Roman" w:cs="Times New Roman"/>
        </w:rPr>
        <w:t>use hearing aids</w:t>
      </w:r>
      <w:r>
        <w:rPr>
          <w:rFonts w:ascii="Times New Roman" w:hAnsi="Times New Roman" w:cs="Times New Roman"/>
        </w:rPr>
        <w:t>.</w:t>
      </w:r>
      <w:r w:rsidRPr="00895BFD">
        <w:rPr>
          <w:rFonts w:ascii="Times New Roman" w:hAnsi="Times New Roman" w:cs="Times New Roman"/>
        </w:rPr>
        <w:t xml:space="preserve"> </w:t>
      </w:r>
      <w:r>
        <w:rPr>
          <w:rFonts w:ascii="Times New Roman" w:hAnsi="Times New Roman" w:cs="Times New Roman"/>
        </w:rPr>
        <w:t>For instance</w:t>
      </w:r>
      <w:r w:rsidRPr="00895BFD">
        <w:rPr>
          <w:rFonts w:ascii="Times New Roman" w:hAnsi="Times New Roman" w:cs="Times New Roman"/>
        </w:rPr>
        <w:t xml:space="preserve">, if DHH </w:t>
      </w:r>
      <w:r>
        <w:rPr>
          <w:rFonts w:ascii="Times New Roman" w:hAnsi="Times New Roman" w:cs="Times New Roman"/>
        </w:rPr>
        <w:t xml:space="preserve">individuals </w:t>
      </w:r>
      <w:r w:rsidRPr="00895BFD">
        <w:rPr>
          <w:rFonts w:ascii="Times New Roman" w:hAnsi="Times New Roman" w:cs="Times New Roman"/>
        </w:rPr>
        <w:t>are unable to withstand the thoughts, feelings, emotions, or sensations that come with hearing loss</w:t>
      </w:r>
      <w:r>
        <w:rPr>
          <w:rFonts w:ascii="Times New Roman" w:hAnsi="Times New Roman" w:cs="Times New Roman"/>
        </w:rPr>
        <w:t>,</w:t>
      </w:r>
      <w:r w:rsidRPr="00895BFD">
        <w:rPr>
          <w:rFonts w:ascii="Times New Roman" w:hAnsi="Times New Roman" w:cs="Times New Roman"/>
        </w:rPr>
        <w:t xml:space="preserve"> then they would be less likely to </w:t>
      </w:r>
      <w:r>
        <w:rPr>
          <w:rFonts w:ascii="Times New Roman" w:hAnsi="Times New Roman" w:cs="Times New Roman"/>
        </w:rPr>
        <w:t xml:space="preserve">obtain or </w:t>
      </w:r>
      <w:r w:rsidRPr="00895BFD">
        <w:rPr>
          <w:rFonts w:ascii="Times New Roman" w:hAnsi="Times New Roman" w:cs="Times New Roman"/>
        </w:rPr>
        <w:t xml:space="preserve">use a hearing aid. Stigma related to hearing loss </w:t>
      </w:r>
      <w:r>
        <w:rPr>
          <w:rFonts w:ascii="Times New Roman" w:hAnsi="Times New Roman" w:cs="Times New Roman"/>
        </w:rPr>
        <w:t xml:space="preserve">or hearing aids </w:t>
      </w:r>
      <w:r w:rsidRPr="00895BFD">
        <w:rPr>
          <w:rFonts w:ascii="Times New Roman" w:hAnsi="Times New Roman" w:cs="Times New Roman"/>
        </w:rPr>
        <w:t>influencing the decision to use hearing aids</w:t>
      </w:r>
      <w:r>
        <w:rPr>
          <w:rFonts w:ascii="Times New Roman" w:hAnsi="Times New Roman" w:cs="Times New Roman"/>
        </w:rPr>
        <w:t xml:space="preserve"> </w:t>
      </w:r>
      <w:r w:rsidR="00790A3C">
        <w:rPr>
          <w:rFonts w:ascii="Times New Roman" w:hAnsi="Times New Roman" w:cs="Times New Roman"/>
        </w:rPr>
        <w:t xml:space="preserve">– </w:t>
      </w:r>
      <w:r w:rsidR="00790A3C" w:rsidRPr="00895BFD">
        <w:rPr>
          <w:rFonts w:ascii="Times New Roman" w:hAnsi="Times New Roman" w:cs="Times New Roman"/>
        </w:rPr>
        <w:t>and</w:t>
      </w:r>
      <w:r w:rsidRPr="00895BFD">
        <w:rPr>
          <w:rFonts w:ascii="Times New Roman" w:hAnsi="Times New Roman" w:cs="Times New Roman"/>
        </w:rPr>
        <w:t xml:space="preserve">/or accept </w:t>
      </w:r>
      <w:r>
        <w:rPr>
          <w:rFonts w:ascii="Times New Roman" w:hAnsi="Times New Roman" w:cs="Times New Roman"/>
        </w:rPr>
        <w:t>their</w:t>
      </w:r>
      <w:r w:rsidRPr="00895BFD">
        <w:rPr>
          <w:rFonts w:ascii="Times New Roman" w:hAnsi="Times New Roman" w:cs="Times New Roman"/>
        </w:rPr>
        <w:t xml:space="preserve"> hearing loss</w:t>
      </w:r>
      <w:r>
        <w:rPr>
          <w:rFonts w:ascii="Times New Roman" w:hAnsi="Times New Roman" w:cs="Times New Roman"/>
        </w:rPr>
        <w:t xml:space="preserve"> –</w:t>
      </w:r>
      <w:r w:rsidRPr="00895BFD">
        <w:rPr>
          <w:rFonts w:ascii="Times New Roman" w:hAnsi="Times New Roman" w:cs="Times New Roman"/>
        </w:rPr>
        <w:t xml:space="preserve"> is an exemplar of an individual’s inflexibility to </w:t>
      </w:r>
      <w:r>
        <w:rPr>
          <w:rFonts w:ascii="Times New Roman" w:hAnsi="Times New Roman" w:cs="Times New Roman"/>
        </w:rPr>
        <w:t>be present with their</w:t>
      </w:r>
      <w:r w:rsidRPr="00895BFD">
        <w:rPr>
          <w:rFonts w:ascii="Times New Roman" w:hAnsi="Times New Roman" w:cs="Times New Roman"/>
        </w:rPr>
        <w:t xml:space="preserve"> </w:t>
      </w:r>
      <w:r>
        <w:rPr>
          <w:rFonts w:ascii="Times New Roman" w:hAnsi="Times New Roman" w:cs="Times New Roman"/>
        </w:rPr>
        <w:t>inner</w:t>
      </w:r>
      <w:r w:rsidRPr="00895BFD">
        <w:rPr>
          <w:rFonts w:ascii="Times New Roman" w:hAnsi="Times New Roman" w:cs="Times New Roman"/>
        </w:rPr>
        <w:t xml:space="preserve"> experiences </w:t>
      </w:r>
      <w:r>
        <w:rPr>
          <w:rFonts w:ascii="Times New Roman" w:hAnsi="Times New Roman" w:cs="Times New Roman"/>
        </w:rPr>
        <w:t xml:space="preserve">that </w:t>
      </w:r>
      <w:r w:rsidR="00963F4C">
        <w:rPr>
          <w:rFonts w:ascii="Times New Roman" w:hAnsi="Times New Roman" w:cs="Times New Roman"/>
        </w:rPr>
        <w:t xml:space="preserve">may </w:t>
      </w:r>
      <w:r>
        <w:rPr>
          <w:rFonts w:ascii="Times New Roman" w:hAnsi="Times New Roman" w:cs="Times New Roman"/>
        </w:rPr>
        <w:t>shape</w:t>
      </w:r>
      <w:r w:rsidRPr="00895BFD">
        <w:rPr>
          <w:rFonts w:ascii="Times New Roman" w:hAnsi="Times New Roman" w:cs="Times New Roman"/>
        </w:rPr>
        <w:t xml:space="preserve"> poor uptake and acceptance </w:t>
      </w:r>
      <w:r w:rsidRPr="00895BFD">
        <w:rPr>
          <w:rFonts w:ascii="Times New Roman" w:hAnsi="Times New Roman" w:cs="Times New Roman"/>
          <w:noProof/>
        </w:rPr>
        <w:t>(Barker et al., 2017)</w:t>
      </w:r>
      <w:r w:rsidRPr="00895BFD">
        <w:rPr>
          <w:rFonts w:ascii="Times New Roman" w:hAnsi="Times New Roman" w:cs="Times New Roman"/>
        </w:rPr>
        <w:t xml:space="preserve">. </w:t>
      </w:r>
      <w:r w:rsidRPr="00895BFD">
        <w:rPr>
          <w:rFonts w:ascii="Times New Roman" w:hAnsi="Times New Roman" w:cs="Times New Roman"/>
        </w:rPr>
        <w:tab/>
        <w:t xml:space="preserve"> </w:t>
      </w:r>
    </w:p>
    <w:p w14:paraId="136EFE53" w14:textId="51C21E1B" w:rsidR="00B4295F" w:rsidRDefault="00330CF1" w:rsidP="000E1082">
      <w:pPr>
        <w:tabs>
          <w:tab w:val="num" w:pos="0"/>
        </w:tabs>
        <w:spacing w:line="480" w:lineRule="auto"/>
        <w:textAlignment w:val="baseline"/>
        <w:rPr>
          <w:rFonts w:ascii="Times New Roman" w:hAnsi="Times New Roman" w:cs="Times New Roman"/>
        </w:rPr>
      </w:pPr>
      <w:r>
        <w:rPr>
          <w:rFonts w:ascii="Times New Roman" w:hAnsi="Times New Roman" w:cs="Times New Roman"/>
        </w:rPr>
        <w:tab/>
      </w:r>
      <w:r w:rsidR="00B4295F" w:rsidRPr="00D01956">
        <w:rPr>
          <w:rFonts w:ascii="Times New Roman" w:hAnsi="Times New Roman" w:cs="Times New Roman"/>
        </w:rPr>
        <w:t>Measurement</w:t>
      </w:r>
      <w:r w:rsidR="00B4295F" w:rsidRPr="00895BFD">
        <w:rPr>
          <w:rFonts w:ascii="Times New Roman" w:hAnsi="Times New Roman" w:cs="Times New Roman"/>
        </w:rPr>
        <w:t xml:space="preserve"> of psychological inflexibility is often conducted with a validated variant of the Acceptance and Action Questionnaire </w:t>
      </w:r>
      <w:r w:rsidR="00B4295F" w:rsidRPr="00895BFD">
        <w:rPr>
          <w:rFonts w:ascii="Times New Roman" w:hAnsi="Times New Roman" w:cs="Times New Roman"/>
          <w:noProof/>
        </w:rPr>
        <w:t>(e.g., Bond et al., 2011)</w:t>
      </w:r>
      <w:r w:rsidR="00B4295F" w:rsidRPr="00895BFD">
        <w:rPr>
          <w:rFonts w:ascii="Times New Roman" w:hAnsi="Times New Roman" w:cs="Times New Roman"/>
        </w:rPr>
        <w:t xml:space="preserve">. These variants come in the </w:t>
      </w:r>
      <w:r w:rsidR="00B4295F" w:rsidRPr="00895BFD">
        <w:rPr>
          <w:rFonts w:ascii="Times New Roman" w:hAnsi="Times New Roman" w:cs="Times New Roman"/>
        </w:rPr>
        <w:lastRenderedPageBreak/>
        <w:t>form of different languages</w:t>
      </w:r>
      <w:r w:rsidR="00B4295F">
        <w:rPr>
          <w:rFonts w:ascii="Times New Roman" w:hAnsi="Times New Roman" w:cs="Times New Roman"/>
        </w:rPr>
        <w:t xml:space="preserve"> </w:t>
      </w:r>
      <w:r w:rsidR="00B4295F">
        <w:rPr>
          <w:rFonts w:ascii="Times New Roman" w:hAnsi="Times New Roman" w:cs="Times New Roman"/>
          <w:noProof/>
        </w:rPr>
        <w:t>(e.g., Spanish; Mairal, 2004)</w:t>
      </w:r>
      <w:r w:rsidR="00B4295F" w:rsidRPr="00895BFD">
        <w:rPr>
          <w:rFonts w:ascii="Times New Roman" w:hAnsi="Times New Roman" w:cs="Times New Roman"/>
        </w:rPr>
        <w:t xml:space="preserve"> </w:t>
      </w:r>
      <w:r w:rsidR="00B4295F">
        <w:rPr>
          <w:rFonts w:ascii="Times New Roman" w:hAnsi="Times New Roman" w:cs="Times New Roman"/>
        </w:rPr>
        <w:t>or</w:t>
      </w:r>
      <w:r w:rsidR="00B4295F" w:rsidRPr="00895BFD">
        <w:rPr>
          <w:rFonts w:ascii="Times New Roman" w:hAnsi="Times New Roman" w:cs="Times New Roman"/>
        </w:rPr>
        <w:t xml:space="preserve"> </w:t>
      </w:r>
      <w:r w:rsidR="004C1FE1">
        <w:rPr>
          <w:rFonts w:ascii="Times New Roman" w:hAnsi="Times New Roman" w:cs="Times New Roman"/>
        </w:rPr>
        <w:t xml:space="preserve">are </w:t>
      </w:r>
      <w:r w:rsidR="00B4295F" w:rsidRPr="00895BFD">
        <w:rPr>
          <w:rFonts w:ascii="Times New Roman" w:hAnsi="Times New Roman" w:cs="Times New Roman"/>
        </w:rPr>
        <w:t>disorder specific</w:t>
      </w:r>
      <w:r w:rsidR="00B4295F">
        <w:rPr>
          <w:rFonts w:ascii="Times New Roman" w:hAnsi="Times New Roman" w:cs="Times New Roman"/>
        </w:rPr>
        <w:t xml:space="preserve"> </w:t>
      </w:r>
      <w:r w:rsidR="00B4295F">
        <w:rPr>
          <w:rFonts w:ascii="Times New Roman" w:hAnsi="Times New Roman" w:cs="Times New Roman"/>
          <w:noProof/>
        </w:rPr>
        <w:t>(Tinnitus Acceptance Questionnaire; Westin, Hayes, &amp; Andersson, 2008)</w:t>
      </w:r>
      <w:r w:rsidR="00B4295F" w:rsidRPr="00895BFD">
        <w:rPr>
          <w:rFonts w:ascii="Times New Roman" w:hAnsi="Times New Roman" w:cs="Times New Roman"/>
        </w:rPr>
        <w:t xml:space="preserve">. Assessing psychological inflexibility among people who are DHH is in its infancy, but a valid questionnaire has been developed by Ong and colleagues </w:t>
      </w:r>
      <w:r w:rsidR="00B4295F" w:rsidRPr="00895BFD">
        <w:rPr>
          <w:rFonts w:ascii="Times New Roman" w:hAnsi="Times New Roman" w:cs="Times New Roman"/>
          <w:noProof/>
        </w:rPr>
        <w:t>(</w:t>
      </w:r>
      <w:r w:rsidR="003770B2" w:rsidRPr="006E1F3F">
        <w:rPr>
          <w:rFonts w:ascii="Times New Roman" w:hAnsi="Times New Roman" w:cs="Times New Roman"/>
        </w:rPr>
        <w:t>Acceptance and Action Questionnaire-Adult Hearing Loss</w:t>
      </w:r>
      <w:r w:rsidR="003770B2">
        <w:rPr>
          <w:rFonts w:ascii="Times New Roman" w:hAnsi="Times New Roman" w:cs="Times New Roman"/>
        </w:rPr>
        <w:t xml:space="preserve"> [AAQ-AHL]</w:t>
      </w:r>
      <w:r w:rsidR="00FA59B8">
        <w:rPr>
          <w:rFonts w:ascii="Times New Roman" w:hAnsi="Times New Roman" w:cs="Times New Roman"/>
          <w:noProof/>
        </w:rPr>
        <w:t xml:space="preserve">; </w:t>
      </w:r>
      <w:r w:rsidR="00B4295F" w:rsidRPr="00895BFD">
        <w:rPr>
          <w:rFonts w:ascii="Times New Roman" w:hAnsi="Times New Roman" w:cs="Times New Roman"/>
          <w:noProof/>
        </w:rPr>
        <w:t>2019)</w:t>
      </w:r>
      <w:r w:rsidR="008E3124">
        <w:rPr>
          <w:rFonts w:ascii="Times New Roman" w:hAnsi="Times New Roman" w:cs="Times New Roman"/>
        </w:rPr>
        <w:t xml:space="preserve">. </w:t>
      </w:r>
      <w:r w:rsidR="0071561E">
        <w:rPr>
          <w:rFonts w:ascii="Times New Roman" w:hAnsi="Times New Roman" w:cs="Times New Roman"/>
        </w:rPr>
        <w:t>An</w:t>
      </w:r>
      <w:r w:rsidR="008E3124">
        <w:rPr>
          <w:rFonts w:ascii="Times New Roman" w:hAnsi="Times New Roman" w:cs="Times New Roman"/>
        </w:rPr>
        <w:t xml:space="preserve"> </w:t>
      </w:r>
      <w:r w:rsidR="00B4295F">
        <w:rPr>
          <w:rFonts w:ascii="Times New Roman" w:hAnsi="Times New Roman" w:cs="Times New Roman"/>
        </w:rPr>
        <w:t>exploratory factor analysis</w:t>
      </w:r>
      <w:r w:rsidR="008507E1">
        <w:rPr>
          <w:rFonts w:ascii="Times New Roman" w:hAnsi="Times New Roman" w:cs="Times New Roman"/>
        </w:rPr>
        <w:t xml:space="preserve"> was conducted</w:t>
      </w:r>
      <w:r w:rsidR="008E3124">
        <w:rPr>
          <w:rFonts w:ascii="Times New Roman" w:hAnsi="Times New Roman" w:cs="Times New Roman"/>
        </w:rPr>
        <w:t xml:space="preserve"> to</w:t>
      </w:r>
      <w:r w:rsidR="00B4295F">
        <w:rPr>
          <w:rFonts w:ascii="Times New Roman" w:hAnsi="Times New Roman" w:cs="Times New Roman"/>
        </w:rPr>
        <w:t xml:space="preserve"> show a single-factor solution with excellent internal consistency among all 12-items</w:t>
      </w:r>
      <w:r w:rsidR="008507E1">
        <w:rPr>
          <w:rFonts w:ascii="Times New Roman" w:hAnsi="Times New Roman" w:cs="Times New Roman"/>
        </w:rPr>
        <w:t xml:space="preserve"> (Ong et al., 2019)</w:t>
      </w:r>
      <w:r w:rsidR="008E3124">
        <w:rPr>
          <w:rFonts w:ascii="Times New Roman" w:hAnsi="Times New Roman" w:cs="Times New Roman"/>
        </w:rPr>
        <w:t xml:space="preserve">. </w:t>
      </w:r>
      <w:r w:rsidR="008606C5">
        <w:rPr>
          <w:rFonts w:ascii="Times New Roman" w:hAnsi="Times New Roman" w:cs="Times New Roman"/>
        </w:rPr>
        <w:t>The AAQ</w:t>
      </w:r>
      <w:r w:rsidR="008E3124">
        <w:rPr>
          <w:rFonts w:ascii="Times New Roman" w:hAnsi="Times New Roman" w:cs="Times New Roman"/>
        </w:rPr>
        <w:t xml:space="preserve">-AHL </w:t>
      </w:r>
      <w:r w:rsidR="008507E1">
        <w:rPr>
          <w:rFonts w:ascii="Times New Roman" w:hAnsi="Times New Roman" w:cs="Times New Roman"/>
        </w:rPr>
        <w:t xml:space="preserve">also </w:t>
      </w:r>
      <w:r w:rsidR="008E3124">
        <w:rPr>
          <w:rFonts w:ascii="Times New Roman" w:hAnsi="Times New Roman" w:cs="Times New Roman"/>
        </w:rPr>
        <w:t xml:space="preserve">showed excellent </w:t>
      </w:r>
      <w:r w:rsidR="00E360C2">
        <w:rPr>
          <w:rFonts w:ascii="Times New Roman" w:hAnsi="Times New Roman" w:cs="Times New Roman"/>
        </w:rPr>
        <w:t>convergent</w:t>
      </w:r>
      <w:r w:rsidR="008E3124">
        <w:rPr>
          <w:rFonts w:ascii="Times New Roman" w:hAnsi="Times New Roman" w:cs="Times New Roman"/>
        </w:rPr>
        <w:t xml:space="preserve"> and discriminant validity (see Methods for scoring details on the AAQ-AHL)</w:t>
      </w:r>
      <w:r w:rsidR="00B4295F">
        <w:rPr>
          <w:rFonts w:ascii="Times New Roman" w:hAnsi="Times New Roman" w:cs="Times New Roman"/>
        </w:rPr>
        <w:t xml:space="preserve">. </w:t>
      </w:r>
    </w:p>
    <w:p w14:paraId="241F78D7" w14:textId="5BE53FC7" w:rsidR="00B4295F" w:rsidRDefault="00B4295F" w:rsidP="000E1082">
      <w:pPr>
        <w:tabs>
          <w:tab w:val="num" w:pos="0"/>
        </w:tabs>
        <w:spacing w:line="480" w:lineRule="auto"/>
        <w:textAlignment w:val="baseline"/>
        <w:rPr>
          <w:rFonts w:ascii="Times New Roman" w:hAnsi="Times New Roman" w:cs="Times New Roman"/>
        </w:rPr>
      </w:pPr>
      <w:r>
        <w:rPr>
          <w:rFonts w:ascii="Times New Roman" w:hAnsi="Times New Roman" w:cs="Times New Roman"/>
        </w:rPr>
        <w:tab/>
        <w:t>However, Ong and colleagues</w:t>
      </w:r>
      <w:r w:rsidR="009837F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noProof/>
        </w:rPr>
        <w:t>(2019)</w:t>
      </w:r>
      <w:r w:rsidR="009837F4">
        <w:rPr>
          <w:rFonts w:ascii="Times New Roman" w:hAnsi="Times New Roman" w:cs="Times New Roman"/>
          <w:noProof/>
        </w:rPr>
        <w:t xml:space="preserve"> sample</w:t>
      </w:r>
      <w:r>
        <w:rPr>
          <w:rFonts w:ascii="Times New Roman" w:hAnsi="Times New Roman" w:cs="Times New Roman"/>
        </w:rPr>
        <w:t xml:space="preserve"> was composed of mostly older (</w:t>
      </w:r>
      <w:r w:rsidRPr="00CC2485">
        <w:rPr>
          <w:rFonts w:ascii="Times New Roman" w:hAnsi="Times New Roman" w:cs="Times New Roman"/>
          <w:i/>
          <w:iCs/>
        </w:rPr>
        <w:t>M</w:t>
      </w:r>
      <w:r>
        <w:rPr>
          <w:rFonts w:ascii="Times New Roman" w:hAnsi="Times New Roman" w:cs="Times New Roman"/>
        </w:rPr>
        <w:t xml:space="preserve"> = 50.9), white (91.7%), at least college educated (83.7%) adults with a diagnosed permanent hearing loss. Exploring this with individuals who are DHH and use hearing aids could help determine usability within a clinical setting. Additionally, the original AAQ-AHL showed significant correlations to psychological factors, such as emotional wellbeing, but did not test </w:t>
      </w:r>
      <w:r w:rsidR="00261BAA">
        <w:rPr>
          <w:rFonts w:ascii="Times New Roman" w:hAnsi="Times New Roman" w:cs="Times New Roman"/>
        </w:rPr>
        <w:t>convergent</w:t>
      </w:r>
      <w:r>
        <w:rPr>
          <w:rFonts w:ascii="Times New Roman" w:hAnsi="Times New Roman" w:cs="Times New Roman"/>
        </w:rPr>
        <w:t xml:space="preserve"> validity with other psychological inflexibility measures </w:t>
      </w:r>
      <w:r>
        <w:rPr>
          <w:rFonts w:ascii="Times New Roman" w:hAnsi="Times New Roman" w:cs="Times New Roman"/>
          <w:noProof/>
        </w:rPr>
        <w:t>(Ong et al., 2019)</w:t>
      </w:r>
      <w:r>
        <w:rPr>
          <w:rFonts w:ascii="Times New Roman" w:hAnsi="Times New Roman" w:cs="Times New Roman"/>
        </w:rPr>
        <w:t xml:space="preserve">. Testing the degree to which the AAQ-AHL measures psychological inflexibility would assist in determining the questionnaires overall accuracy. Finally, building from the exploratory factor analysis results conducted by Ong and </w:t>
      </w:r>
      <w:r w:rsidR="00B17D7A">
        <w:rPr>
          <w:rFonts w:ascii="Times New Roman" w:hAnsi="Times New Roman" w:cs="Times New Roman"/>
        </w:rPr>
        <w:t xml:space="preserve">others </w:t>
      </w:r>
      <w:r>
        <w:rPr>
          <w:rFonts w:ascii="Times New Roman" w:hAnsi="Times New Roman" w:cs="Times New Roman"/>
          <w:noProof/>
        </w:rPr>
        <w:t>(2019)</w:t>
      </w:r>
      <w:r>
        <w:rPr>
          <w:rFonts w:ascii="Times New Roman" w:hAnsi="Times New Roman" w:cs="Times New Roman"/>
        </w:rPr>
        <w:t xml:space="preserve"> – by confirming a single latent factor – would bolster the validity and reliability of the measure. </w:t>
      </w:r>
    </w:p>
    <w:p w14:paraId="666B9CE8" w14:textId="4D759306" w:rsidR="00B4295F" w:rsidRPr="00895BFD" w:rsidRDefault="00B4295F" w:rsidP="0071016D">
      <w:pPr>
        <w:spacing w:line="480" w:lineRule="auto"/>
        <w:rPr>
          <w:rFonts w:ascii="Times New Roman" w:hAnsi="Times New Roman" w:cs="Times New Roman"/>
          <w:b/>
          <w:bCs/>
        </w:rPr>
      </w:pPr>
      <w:r>
        <w:rPr>
          <w:rFonts w:ascii="Times New Roman" w:hAnsi="Times New Roman" w:cs="Times New Roman"/>
        </w:rPr>
        <w:tab/>
        <w:t xml:space="preserve">Thus, the aim of this study, was to evaluate the factor structure, </w:t>
      </w:r>
      <w:r w:rsidR="00261BAA">
        <w:rPr>
          <w:rFonts w:ascii="Times New Roman" w:hAnsi="Times New Roman" w:cs="Times New Roman"/>
        </w:rPr>
        <w:t>convergent</w:t>
      </w:r>
      <w:r>
        <w:rPr>
          <w:rFonts w:ascii="Times New Roman" w:hAnsi="Times New Roman" w:cs="Times New Roman"/>
        </w:rPr>
        <w:t xml:space="preserve"> validity, and </w:t>
      </w:r>
      <w:r w:rsidR="00E542C8" w:rsidRPr="00E542C8">
        <w:rPr>
          <w:rFonts w:ascii="Times New Roman" w:hAnsi="Times New Roman" w:cs="Times New Roman"/>
        </w:rPr>
        <w:t>discriminant</w:t>
      </w:r>
      <w:r w:rsidR="00E542C8">
        <w:rPr>
          <w:rFonts w:ascii="Times New Roman" w:hAnsi="Times New Roman" w:cs="Times New Roman"/>
        </w:rPr>
        <w:t xml:space="preserve"> </w:t>
      </w:r>
      <w:r>
        <w:rPr>
          <w:rFonts w:ascii="Times New Roman" w:hAnsi="Times New Roman" w:cs="Times New Roman"/>
        </w:rPr>
        <w:t>validity among adults who use hearing aids to further validate the AAQ-AHL. Through confirmatory factor analysis (CFA), it was predicted that the AAQ-AHL is constructed of one latent variable. Secondly,</w:t>
      </w:r>
      <w:r w:rsidR="009E2183">
        <w:rPr>
          <w:rFonts w:ascii="Times New Roman" w:hAnsi="Times New Roman" w:cs="Times New Roman"/>
        </w:rPr>
        <w:t xml:space="preserve"> it was predicted that</w:t>
      </w:r>
      <w:r>
        <w:rPr>
          <w:rFonts w:ascii="Times New Roman" w:hAnsi="Times New Roman" w:cs="Times New Roman"/>
        </w:rPr>
        <w:t xml:space="preserve"> the AAQ-AHL will have significant correlations with other related measures of psychological inflexibility and hearing aid efficacy to </w:t>
      </w:r>
      <w:r>
        <w:rPr>
          <w:rFonts w:ascii="Times New Roman" w:hAnsi="Times New Roman" w:cs="Times New Roman"/>
        </w:rPr>
        <w:lastRenderedPageBreak/>
        <w:t xml:space="preserve">determine </w:t>
      </w:r>
      <w:r w:rsidR="00261BAA">
        <w:rPr>
          <w:rFonts w:ascii="Times New Roman" w:hAnsi="Times New Roman" w:cs="Times New Roman"/>
        </w:rPr>
        <w:t>convergent</w:t>
      </w:r>
      <w:r>
        <w:rPr>
          <w:rFonts w:ascii="Times New Roman" w:hAnsi="Times New Roman" w:cs="Times New Roman"/>
        </w:rPr>
        <w:t xml:space="preserve"> validity. Finally, </w:t>
      </w:r>
      <w:r w:rsidR="009E2183">
        <w:rPr>
          <w:rFonts w:ascii="Times New Roman" w:hAnsi="Times New Roman" w:cs="Times New Roman"/>
        </w:rPr>
        <w:t xml:space="preserve">it was predicted, </w:t>
      </w:r>
      <w:r>
        <w:rPr>
          <w:rFonts w:ascii="Times New Roman" w:hAnsi="Times New Roman" w:cs="Times New Roman"/>
        </w:rPr>
        <w:t xml:space="preserve">for discriminant validity, the AAQ-AHL will not have significant correlations with gender and hearing loss severity. </w:t>
      </w:r>
    </w:p>
    <w:p w14:paraId="496F5117" w14:textId="77777777" w:rsidR="00B4295F" w:rsidRPr="00895BFD" w:rsidRDefault="00B4295F" w:rsidP="0071016D">
      <w:pPr>
        <w:spacing w:line="480" w:lineRule="auto"/>
        <w:jc w:val="center"/>
        <w:rPr>
          <w:rFonts w:ascii="Times New Roman" w:hAnsi="Times New Roman" w:cs="Times New Roman"/>
          <w:b/>
          <w:bCs/>
        </w:rPr>
      </w:pPr>
      <w:r w:rsidRPr="00895BFD">
        <w:rPr>
          <w:rFonts w:ascii="Times New Roman" w:hAnsi="Times New Roman" w:cs="Times New Roman"/>
          <w:b/>
          <w:bCs/>
        </w:rPr>
        <w:t>Methods</w:t>
      </w:r>
    </w:p>
    <w:p w14:paraId="4E86ACE8" w14:textId="77777777" w:rsidR="00B4295F" w:rsidRPr="00895BFD" w:rsidRDefault="00B4295F" w:rsidP="0071016D">
      <w:pPr>
        <w:spacing w:line="480" w:lineRule="auto"/>
        <w:rPr>
          <w:rFonts w:ascii="Times New Roman" w:hAnsi="Times New Roman" w:cs="Times New Roman"/>
          <w:b/>
          <w:bCs/>
          <w:i/>
          <w:iCs/>
        </w:rPr>
      </w:pPr>
      <w:r>
        <w:rPr>
          <w:rFonts w:ascii="Times New Roman" w:hAnsi="Times New Roman" w:cs="Times New Roman"/>
          <w:b/>
          <w:bCs/>
          <w:i/>
          <w:iCs/>
        </w:rPr>
        <w:t xml:space="preserve">Participants and </w:t>
      </w:r>
      <w:r w:rsidRPr="00895BFD">
        <w:rPr>
          <w:rFonts w:ascii="Times New Roman" w:hAnsi="Times New Roman" w:cs="Times New Roman"/>
          <w:b/>
          <w:bCs/>
          <w:i/>
          <w:iCs/>
        </w:rPr>
        <w:t>Procedures</w:t>
      </w:r>
    </w:p>
    <w:p w14:paraId="1FA41A0C" w14:textId="3A4603DB" w:rsidR="00B4295F" w:rsidRPr="00895BFD" w:rsidRDefault="00B4295F" w:rsidP="0071016D">
      <w:pPr>
        <w:spacing w:line="480" w:lineRule="auto"/>
        <w:rPr>
          <w:rFonts w:ascii="Times New Roman" w:hAnsi="Times New Roman" w:cs="Times New Roman"/>
        </w:rPr>
      </w:pPr>
      <w:r w:rsidRPr="00895BFD">
        <w:rPr>
          <w:rFonts w:ascii="Times New Roman" w:hAnsi="Times New Roman" w:cs="Times New Roman"/>
          <w:b/>
          <w:bCs/>
          <w:i/>
          <w:iCs/>
        </w:rPr>
        <w:tab/>
      </w:r>
      <w:r w:rsidRPr="00895BFD">
        <w:rPr>
          <w:rFonts w:ascii="Times New Roman" w:hAnsi="Times New Roman" w:cs="Times New Roman"/>
        </w:rPr>
        <w:t xml:space="preserve">Study procedures were approved by the Utah State University institutional review board. Cross-sectional data from the current study were collected between November 2020 through May 2021. Participants were recruited throughout the </w:t>
      </w:r>
      <w:r>
        <w:rPr>
          <w:rFonts w:ascii="Times New Roman" w:hAnsi="Times New Roman" w:cs="Times New Roman"/>
        </w:rPr>
        <w:t>United States</w:t>
      </w:r>
      <w:r w:rsidRPr="00895BFD">
        <w:rPr>
          <w:rFonts w:ascii="Times New Roman" w:hAnsi="Times New Roman" w:cs="Times New Roman"/>
        </w:rPr>
        <w:t xml:space="preserve"> by contacting city chapters </w:t>
      </w:r>
      <w:r>
        <w:rPr>
          <w:rFonts w:ascii="Times New Roman" w:hAnsi="Times New Roman" w:cs="Times New Roman"/>
        </w:rPr>
        <w:t>of</w:t>
      </w:r>
      <w:r w:rsidRPr="00895BFD">
        <w:rPr>
          <w:rFonts w:ascii="Times New Roman" w:hAnsi="Times New Roman" w:cs="Times New Roman"/>
        </w:rPr>
        <w:t xml:space="preserve"> the Hearing Loss Association of America via Facebook. In addition, digital flyers were posted on other hearing aid and </w:t>
      </w:r>
      <w:r w:rsidR="00FC2FE3">
        <w:rPr>
          <w:rFonts w:ascii="Times New Roman" w:hAnsi="Times New Roman" w:cs="Times New Roman"/>
        </w:rPr>
        <w:t>DHH</w:t>
      </w:r>
      <w:r w:rsidRPr="00895BFD">
        <w:rPr>
          <w:rFonts w:ascii="Times New Roman" w:hAnsi="Times New Roman" w:cs="Times New Roman"/>
        </w:rPr>
        <w:t xml:space="preserve"> community pages on Facebook and Reddit. Interested participants were guided to a public link that first prompted them with the study consent, screening questions, and finally the study questionnaires. </w:t>
      </w:r>
      <w:r>
        <w:rPr>
          <w:rFonts w:ascii="Times New Roman" w:hAnsi="Times New Roman" w:cs="Times New Roman"/>
        </w:rPr>
        <w:t xml:space="preserve">To be eligible, </w:t>
      </w:r>
      <w:r w:rsidRPr="00895BFD">
        <w:rPr>
          <w:rFonts w:ascii="Times New Roman" w:hAnsi="Times New Roman" w:cs="Times New Roman"/>
        </w:rPr>
        <w:t xml:space="preserve">participants </w:t>
      </w:r>
      <w:r>
        <w:rPr>
          <w:rFonts w:ascii="Times New Roman" w:hAnsi="Times New Roman" w:cs="Times New Roman"/>
        </w:rPr>
        <w:t xml:space="preserve">self-reported </w:t>
      </w:r>
      <w:r w:rsidRPr="00895BFD">
        <w:rPr>
          <w:rFonts w:ascii="Times New Roman" w:hAnsi="Times New Roman" w:cs="Times New Roman"/>
        </w:rPr>
        <w:t>(a)</w:t>
      </w:r>
      <w:r>
        <w:rPr>
          <w:rFonts w:ascii="Times New Roman" w:hAnsi="Times New Roman" w:cs="Times New Roman"/>
        </w:rPr>
        <w:t xml:space="preserve"> being 18 years or older, (b) being </w:t>
      </w:r>
      <w:r w:rsidRPr="00895BFD">
        <w:rPr>
          <w:rFonts w:ascii="Times New Roman" w:hAnsi="Times New Roman" w:cs="Times New Roman"/>
        </w:rPr>
        <w:t>diagnosed with hearing loss through formal testing</w:t>
      </w:r>
      <w:r>
        <w:rPr>
          <w:rFonts w:ascii="Times New Roman" w:hAnsi="Times New Roman" w:cs="Times New Roman"/>
        </w:rPr>
        <w:t>,</w:t>
      </w:r>
      <w:r w:rsidRPr="00895BFD">
        <w:rPr>
          <w:rFonts w:ascii="Times New Roman" w:hAnsi="Times New Roman" w:cs="Times New Roman"/>
        </w:rPr>
        <w:t xml:space="preserve"> and (</w:t>
      </w:r>
      <w:r>
        <w:rPr>
          <w:rFonts w:ascii="Times New Roman" w:hAnsi="Times New Roman" w:cs="Times New Roman"/>
        </w:rPr>
        <w:t>c</w:t>
      </w:r>
      <w:r w:rsidRPr="00895BFD">
        <w:rPr>
          <w:rFonts w:ascii="Times New Roman" w:hAnsi="Times New Roman" w:cs="Times New Roman"/>
        </w:rPr>
        <w:t xml:space="preserve">) </w:t>
      </w:r>
      <w:r>
        <w:rPr>
          <w:rFonts w:ascii="Times New Roman" w:hAnsi="Times New Roman" w:cs="Times New Roman"/>
        </w:rPr>
        <w:t xml:space="preserve">that they </w:t>
      </w:r>
      <w:r w:rsidRPr="00895BFD">
        <w:rPr>
          <w:rFonts w:ascii="Times New Roman" w:hAnsi="Times New Roman" w:cs="Times New Roman"/>
        </w:rPr>
        <w:t xml:space="preserve">use a hearing aid. </w:t>
      </w:r>
      <w:r>
        <w:rPr>
          <w:rFonts w:ascii="Times New Roman" w:hAnsi="Times New Roman" w:cs="Times New Roman"/>
        </w:rPr>
        <w:t xml:space="preserve">After completion of the online study instruments, participants had the option </w:t>
      </w:r>
      <w:r w:rsidRPr="00895BFD">
        <w:rPr>
          <w:rFonts w:ascii="Times New Roman" w:hAnsi="Times New Roman" w:cs="Times New Roman"/>
        </w:rPr>
        <w:t>to participate in a raffle for one of ten $20 Amazon electronic gift cards</w:t>
      </w:r>
      <w:r>
        <w:rPr>
          <w:rFonts w:ascii="Times New Roman" w:hAnsi="Times New Roman" w:cs="Times New Roman"/>
        </w:rPr>
        <w:t xml:space="preserve">. </w:t>
      </w:r>
      <w:r w:rsidRPr="00895BFD">
        <w:rPr>
          <w:rFonts w:ascii="Times New Roman" w:hAnsi="Times New Roman" w:cs="Times New Roman"/>
        </w:rPr>
        <w:t>Winners of the raffle were compensated once data collect</w:t>
      </w:r>
      <w:r>
        <w:rPr>
          <w:rFonts w:ascii="Times New Roman" w:hAnsi="Times New Roman" w:cs="Times New Roman"/>
        </w:rPr>
        <w:t>ion</w:t>
      </w:r>
      <w:r w:rsidRPr="00895BFD">
        <w:rPr>
          <w:rFonts w:ascii="Times New Roman" w:hAnsi="Times New Roman" w:cs="Times New Roman"/>
        </w:rPr>
        <w:t xml:space="preserve"> was completed. </w:t>
      </w:r>
    </w:p>
    <w:p w14:paraId="7588090F" w14:textId="77777777" w:rsidR="00B4295F" w:rsidRPr="00895BFD" w:rsidRDefault="00B4295F" w:rsidP="0071016D">
      <w:pPr>
        <w:spacing w:line="480" w:lineRule="auto"/>
        <w:rPr>
          <w:rFonts w:ascii="Times New Roman" w:hAnsi="Times New Roman" w:cs="Times New Roman"/>
          <w:b/>
          <w:bCs/>
          <w:i/>
          <w:iCs/>
        </w:rPr>
      </w:pPr>
      <w:r w:rsidRPr="00895BFD">
        <w:rPr>
          <w:rFonts w:ascii="Times New Roman" w:hAnsi="Times New Roman" w:cs="Times New Roman"/>
          <w:b/>
          <w:bCs/>
          <w:i/>
          <w:iCs/>
        </w:rPr>
        <w:t>Measures</w:t>
      </w:r>
    </w:p>
    <w:p w14:paraId="7ED08852" w14:textId="2A3A5785" w:rsidR="00B4295F" w:rsidRPr="00895BFD" w:rsidRDefault="00B4295F" w:rsidP="00932811">
      <w:pPr>
        <w:spacing w:line="480" w:lineRule="auto"/>
        <w:ind w:firstLine="720"/>
        <w:rPr>
          <w:rFonts w:ascii="Times New Roman" w:hAnsi="Times New Roman" w:cs="Times New Roman"/>
        </w:rPr>
      </w:pPr>
      <w:r w:rsidRPr="00895BFD">
        <w:rPr>
          <w:rFonts w:ascii="Times New Roman" w:hAnsi="Times New Roman" w:cs="Times New Roman"/>
          <w:i/>
          <w:iCs/>
        </w:rPr>
        <w:t>Acceptance and Action Questionnaire-Adult Hearing Loss</w:t>
      </w:r>
      <w:r w:rsidRPr="00895BFD">
        <w:rPr>
          <w:rFonts w:ascii="Times New Roman" w:hAnsi="Times New Roman" w:cs="Times New Roman"/>
        </w:rPr>
        <w:t xml:space="preserve"> </w:t>
      </w:r>
      <w:r>
        <w:rPr>
          <w:rFonts w:ascii="Times New Roman" w:hAnsi="Times New Roman" w:cs="Times New Roman"/>
          <w:noProof/>
        </w:rPr>
        <w:t>(AAQ-AHL; Ong et al., 2019)</w:t>
      </w:r>
      <w:r w:rsidRPr="00895BFD">
        <w:rPr>
          <w:rFonts w:ascii="Times New Roman" w:hAnsi="Times New Roman" w:cs="Times New Roman"/>
        </w:rPr>
        <w:t xml:space="preserve"> measures psychological inflexibility as it relates to hearing loss for adults</w:t>
      </w:r>
      <w:r>
        <w:rPr>
          <w:rFonts w:ascii="Times New Roman" w:hAnsi="Times New Roman" w:cs="Times New Roman"/>
        </w:rPr>
        <w:t xml:space="preserve"> (e.g., “f</w:t>
      </w:r>
      <w:r w:rsidRPr="00312DED">
        <w:rPr>
          <w:rFonts w:ascii="Times New Roman" w:hAnsi="Times New Roman" w:cs="Times New Roman"/>
        </w:rPr>
        <w:t>rustration with hearing loss does not interfere with my goals</w:t>
      </w:r>
      <w:r>
        <w:rPr>
          <w:rFonts w:ascii="Times New Roman" w:hAnsi="Times New Roman" w:cs="Times New Roman"/>
        </w:rPr>
        <w:t>”)</w:t>
      </w:r>
      <w:r w:rsidRPr="00895BFD">
        <w:rPr>
          <w:rFonts w:ascii="Times New Roman" w:hAnsi="Times New Roman" w:cs="Times New Roman"/>
        </w:rPr>
        <w:t xml:space="preserve">. </w:t>
      </w:r>
      <w:r>
        <w:rPr>
          <w:rFonts w:ascii="Times New Roman" w:hAnsi="Times New Roman" w:cs="Times New Roman"/>
        </w:rPr>
        <w:t xml:space="preserve">The 12-item questionnaire uses </w:t>
      </w:r>
      <w:r w:rsidRPr="00895BFD">
        <w:rPr>
          <w:rFonts w:ascii="Times New Roman" w:hAnsi="Times New Roman" w:cs="Times New Roman"/>
        </w:rPr>
        <w:t xml:space="preserve">a 7-point </w:t>
      </w:r>
      <w:r>
        <w:rPr>
          <w:rFonts w:ascii="Times New Roman" w:hAnsi="Times New Roman" w:cs="Times New Roman"/>
        </w:rPr>
        <w:t xml:space="preserve">rating </w:t>
      </w:r>
      <w:r w:rsidRPr="00895BFD">
        <w:rPr>
          <w:rFonts w:ascii="Times New Roman" w:hAnsi="Times New Roman" w:cs="Times New Roman"/>
        </w:rPr>
        <w:t xml:space="preserve">scale ranging from 0 </w:t>
      </w:r>
      <w:r w:rsidRPr="00895BFD">
        <w:rPr>
          <w:rFonts w:ascii="Times New Roman" w:hAnsi="Times New Roman" w:cs="Times New Roman"/>
          <w:i/>
          <w:iCs/>
        </w:rPr>
        <w:t>never true</w:t>
      </w:r>
      <w:r w:rsidRPr="00895BFD">
        <w:rPr>
          <w:rFonts w:ascii="Times New Roman" w:hAnsi="Times New Roman" w:cs="Times New Roman"/>
        </w:rPr>
        <w:t xml:space="preserve"> through 6 </w:t>
      </w:r>
      <w:r w:rsidRPr="00895BFD">
        <w:rPr>
          <w:rFonts w:ascii="Times New Roman" w:hAnsi="Times New Roman" w:cs="Times New Roman"/>
          <w:i/>
          <w:iCs/>
        </w:rPr>
        <w:t>always true</w:t>
      </w:r>
      <w:r w:rsidRPr="00895BFD">
        <w:rPr>
          <w:rFonts w:ascii="Times New Roman" w:hAnsi="Times New Roman" w:cs="Times New Roman"/>
        </w:rPr>
        <w:t>. Scores are calculated from the sum of all items with</w:t>
      </w:r>
      <w:r>
        <w:rPr>
          <w:rFonts w:ascii="Times New Roman" w:hAnsi="Times New Roman" w:cs="Times New Roman"/>
        </w:rPr>
        <w:t xml:space="preserve"> reverse scoring for</w:t>
      </w:r>
      <w:r w:rsidRPr="00895BFD">
        <w:rPr>
          <w:rFonts w:ascii="Times New Roman" w:hAnsi="Times New Roman" w:cs="Times New Roman"/>
        </w:rPr>
        <w:t xml:space="preserve"> items 1, 2, 5, and 6 (</w:t>
      </w:r>
      <w:r>
        <w:rPr>
          <w:rFonts w:ascii="Times New Roman" w:hAnsi="Times New Roman" w:cs="Times New Roman"/>
        </w:rPr>
        <w:t>i.e.</w:t>
      </w:r>
      <w:r w:rsidRPr="00895BFD">
        <w:rPr>
          <w:rFonts w:ascii="Times New Roman" w:hAnsi="Times New Roman" w:cs="Times New Roman"/>
        </w:rPr>
        <w:t>, item score of 0 should be assigned a 6). Higher scores indicate greater psychological inflexibility</w:t>
      </w:r>
      <w:r>
        <w:rPr>
          <w:rFonts w:ascii="Times New Roman" w:hAnsi="Times New Roman" w:cs="Times New Roman"/>
        </w:rPr>
        <w:t xml:space="preserve"> towards internal experiences related to </w:t>
      </w:r>
      <w:r>
        <w:rPr>
          <w:rFonts w:ascii="Times New Roman" w:hAnsi="Times New Roman" w:cs="Times New Roman"/>
        </w:rPr>
        <w:lastRenderedPageBreak/>
        <w:t>hearing loss</w:t>
      </w:r>
      <w:r w:rsidRPr="00895BFD">
        <w:rPr>
          <w:rFonts w:ascii="Times New Roman" w:hAnsi="Times New Roman" w:cs="Times New Roman"/>
        </w:rPr>
        <w:t xml:space="preserve">. </w:t>
      </w:r>
      <w:r>
        <w:rPr>
          <w:rFonts w:ascii="Times New Roman" w:hAnsi="Times New Roman" w:cs="Times New Roman"/>
        </w:rPr>
        <w:t>Internal r</w:t>
      </w:r>
      <w:r w:rsidRPr="00895BFD">
        <w:rPr>
          <w:rFonts w:ascii="Times New Roman" w:hAnsi="Times New Roman" w:cs="Times New Roman"/>
        </w:rPr>
        <w:t>eliability for this measure among the sample was high (</w:t>
      </w:r>
      <w:r w:rsidRPr="00895BFD">
        <w:rPr>
          <w:rFonts w:ascii="Times New Roman" w:eastAsia="Times New Roman" w:hAnsi="Times New Roman" w:cs="Times New Roman"/>
          <w:sz w:val="21"/>
          <w:szCs w:val="21"/>
          <w:shd w:val="clear" w:color="auto" w:fill="FFFFFF"/>
        </w:rPr>
        <w:t>α</w:t>
      </w:r>
      <w:r w:rsidRPr="00895BFD">
        <w:rPr>
          <w:rFonts w:ascii="Times New Roman" w:eastAsia="Times New Roman" w:hAnsi="Times New Roman" w:cs="Times New Roman"/>
        </w:rPr>
        <w:t xml:space="preserve"> = 0.86). </w:t>
      </w:r>
      <w:r w:rsidR="00FF5DD2">
        <w:rPr>
          <w:rFonts w:ascii="Times New Roman" w:eastAsia="Times New Roman" w:hAnsi="Times New Roman" w:cs="Times New Roman"/>
        </w:rPr>
        <w:t>See supplementary document 1 for a copy of the measure.</w:t>
      </w:r>
    </w:p>
    <w:p w14:paraId="210AA601" w14:textId="77777777" w:rsidR="00B4295F" w:rsidRPr="00895BFD" w:rsidRDefault="00B4295F" w:rsidP="00932811">
      <w:pPr>
        <w:spacing w:line="480" w:lineRule="auto"/>
        <w:ind w:firstLine="720"/>
        <w:rPr>
          <w:rFonts w:ascii="Times New Roman" w:hAnsi="Times New Roman" w:cs="Times New Roman"/>
        </w:rPr>
      </w:pPr>
      <w:r w:rsidRPr="00895BFD">
        <w:rPr>
          <w:rFonts w:ascii="Times New Roman" w:hAnsi="Times New Roman" w:cs="Times New Roman"/>
          <w:i/>
          <w:iCs/>
        </w:rPr>
        <w:t>Acceptance and Action Questionnaire-II</w:t>
      </w:r>
      <w:r w:rsidRPr="00895BFD">
        <w:rPr>
          <w:rFonts w:ascii="Times New Roman" w:hAnsi="Times New Roman" w:cs="Times New Roman"/>
        </w:rPr>
        <w:t xml:space="preserve"> </w:t>
      </w:r>
      <w:r w:rsidRPr="00895BFD">
        <w:rPr>
          <w:rFonts w:ascii="Times New Roman" w:hAnsi="Times New Roman" w:cs="Times New Roman"/>
          <w:noProof/>
        </w:rPr>
        <w:t>(AAQ-II; Bond et al., 2011)</w:t>
      </w:r>
      <w:r w:rsidRPr="00895BFD">
        <w:rPr>
          <w:rFonts w:ascii="Times New Roman" w:hAnsi="Times New Roman" w:cs="Times New Roman"/>
        </w:rPr>
        <w:t xml:space="preserve"> is a 7-item measure designed to measure psychological inflexibility</w:t>
      </w:r>
      <w:r>
        <w:rPr>
          <w:rFonts w:ascii="Times New Roman" w:hAnsi="Times New Roman" w:cs="Times New Roman"/>
        </w:rPr>
        <w:t xml:space="preserve"> (e.g., “</w:t>
      </w:r>
      <w:r w:rsidRPr="00932811">
        <w:rPr>
          <w:rFonts w:ascii="Times New Roman" w:hAnsi="Times New Roman" w:cs="Times New Roman"/>
        </w:rPr>
        <w:t>My painful experiences and memories make it difficult for me to live a life that I would value</w:t>
      </w:r>
      <w:r>
        <w:rPr>
          <w:rFonts w:ascii="Times New Roman" w:hAnsi="Times New Roman" w:cs="Times New Roman"/>
        </w:rPr>
        <w:t>”)</w:t>
      </w:r>
      <w:r w:rsidRPr="00932811">
        <w:rPr>
          <w:rFonts w:ascii="Times New Roman" w:hAnsi="Times New Roman" w:cs="Times New Roman"/>
        </w:rPr>
        <w:t>.</w:t>
      </w:r>
      <w:r w:rsidRPr="00895BFD">
        <w:rPr>
          <w:rFonts w:ascii="Times New Roman" w:hAnsi="Times New Roman" w:cs="Times New Roman"/>
        </w:rPr>
        <w:t xml:space="preserve"> Items are rated on a 7-point scale ranging from 1 </w:t>
      </w:r>
      <w:r w:rsidRPr="00895BFD">
        <w:rPr>
          <w:rFonts w:ascii="Times New Roman" w:hAnsi="Times New Roman" w:cs="Times New Roman"/>
          <w:i/>
          <w:iCs/>
        </w:rPr>
        <w:t>never true</w:t>
      </w:r>
      <w:r w:rsidRPr="00895BFD">
        <w:rPr>
          <w:rFonts w:ascii="Times New Roman" w:hAnsi="Times New Roman" w:cs="Times New Roman"/>
        </w:rPr>
        <w:t xml:space="preserve"> to 7 </w:t>
      </w:r>
      <w:r w:rsidRPr="00895BFD">
        <w:rPr>
          <w:rFonts w:ascii="Times New Roman" w:hAnsi="Times New Roman" w:cs="Times New Roman"/>
          <w:i/>
          <w:iCs/>
        </w:rPr>
        <w:t>always true</w:t>
      </w:r>
      <w:r w:rsidRPr="00895BFD">
        <w:rPr>
          <w:rFonts w:ascii="Times New Roman" w:hAnsi="Times New Roman" w:cs="Times New Roman"/>
        </w:rPr>
        <w:t xml:space="preserve">. Higher scores indicate greater psychological inflexibility. </w:t>
      </w:r>
      <w:r>
        <w:rPr>
          <w:rFonts w:ascii="Times New Roman" w:hAnsi="Times New Roman" w:cs="Times New Roman"/>
        </w:rPr>
        <w:t>Internal r</w:t>
      </w:r>
      <w:r w:rsidRPr="00895BFD">
        <w:rPr>
          <w:rFonts w:ascii="Times New Roman" w:hAnsi="Times New Roman" w:cs="Times New Roman"/>
        </w:rPr>
        <w:t>eliability for this measure among the sample was high (</w:t>
      </w:r>
      <w:r w:rsidRPr="00895BFD">
        <w:rPr>
          <w:rFonts w:ascii="Times New Roman" w:eastAsia="Times New Roman" w:hAnsi="Times New Roman" w:cs="Times New Roman"/>
          <w:sz w:val="21"/>
          <w:szCs w:val="21"/>
          <w:shd w:val="clear" w:color="auto" w:fill="FFFFFF"/>
        </w:rPr>
        <w:t>α</w:t>
      </w:r>
      <w:r w:rsidRPr="00895BFD">
        <w:rPr>
          <w:rFonts w:ascii="Times New Roman" w:eastAsia="Times New Roman" w:hAnsi="Times New Roman" w:cs="Times New Roman"/>
        </w:rPr>
        <w:t xml:space="preserve"> = 0.89).</w:t>
      </w:r>
    </w:p>
    <w:p w14:paraId="308F43B7" w14:textId="77777777" w:rsidR="00B4295F" w:rsidRPr="00895BFD" w:rsidRDefault="00B4295F" w:rsidP="0071016D">
      <w:pPr>
        <w:spacing w:line="480" w:lineRule="auto"/>
        <w:ind w:firstLine="720"/>
        <w:rPr>
          <w:rFonts w:ascii="Times New Roman" w:hAnsi="Times New Roman" w:cs="Times New Roman"/>
        </w:rPr>
      </w:pPr>
      <w:r w:rsidRPr="00895BFD">
        <w:rPr>
          <w:rFonts w:ascii="Times New Roman" w:hAnsi="Times New Roman" w:cs="Times New Roman"/>
          <w:i/>
          <w:iCs/>
        </w:rPr>
        <w:t>Measure of Audiologic Rehabilitation Self-Efficacy for Hearing Aids</w:t>
      </w:r>
      <w:r w:rsidRPr="00895BFD">
        <w:rPr>
          <w:rFonts w:ascii="Times New Roman" w:hAnsi="Times New Roman" w:cs="Times New Roman"/>
        </w:rPr>
        <w:t xml:space="preserve"> </w:t>
      </w:r>
      <w:r w:rsidRPr="00895BFD">
        <w:rPr>
          <w:rFonts w:ascii="Times New Roman" w:hAnsi="Times New Roman" w:cs="Times New Roman"/>
          <w:noProof/>
        </w:rPr>
        <w:t>(MARS-HA; West &amp; Smith, 2007)</w:t>
      </w:r>
      <w:r w:rsidRPr="00895BFD">
        <w:rPr>
          <w:rFonts w:ascii="Times New Roman" w:hAnsi="Times New Roman" w:cs="Times New Roman"/>
        </w:rPr>
        <w:t xml:space="preserve"> is a 24-item, self-report questionnaire designed to evaluate hearing aid self-efficacy. The MARS-HA includes 4 subscales: aided listening, basic handling, adjustment, and advanced hearing. Each item is rated on a </w:t>
      </w:r>
      <w:r>
        <w:rPr>
          <w:rFonts w:ascii="Times New Roman" w:hAnsi="Times New Roman" w:cs="Times New Roman"/>
        </w:rPr>
        <w:t xml:space="preserve">scale from </w:t>
      </w:r>
      <w:r w:rsidRPr="00895BFD">
        <w:rPr>
          <w:rFonts w:ascii="Times New Roman" w:hAnsi="Times New Roman" w:cs="Times New Roman"/>
        </w:rPr>
        <w:t>0</w:t>
      </w:r>
      <w:r>
        <w:rPr>
          <w:rFonts w:ascii="Times New Roman" w:hAnsi="Times New Roman" w:cs="Times New Roman"/>
        </w:rPr>
        <w:t xml:space="preserve"> to </w:t>
      </w:r>
      <w:r w:rsidRPr="00895BFD">
        <w:rPr>
          <w:rFonts w:ascii="Times New Roman" w:hAnsi="Times New Roman" w:cs="Times New Roman"/>
        </w:rPr>
        <w:t xml:space="preserve">100, 10-unit interval scale. Zero on the scale represents </w:t>
      </w:r>
      <w:r w:rsidRPr="00895BFD">
        <w:rPr>
          <w:rFonts w:ascii="Times New Roman" w:hAnsi="Times New Roman" w:cs="Times New Roman"/>
          <w:i/>
          <w:iCs/>
        </w:rPr>
        <w:t>no certainty in one’s capability</w:t>
      </w:r>
      <w:r w:rsidRPr="00895BFD">
        <w:rPr>
          <w:rFonts w:ascii="Times New Roman" w:hAnsi="Times New Roman" w:cs="Times New Roman"/>
        </w:rPr>
        <w:t xml:space="preserve"> and 100 represents </w:t>
      </w:r>
      <w:r w:rsidRPr="00895BFD">
        <w:rPr>
          <w:rFonts w:ascii="Times New Roman" w:hAnsi="Times New Roman" w:cs="Times New Roman"/>
          <w:i/>
          <w:iCs/>
        </w:rPr>
        <w:t>complete certainty</w:t>
      </w:r>
      <w:r w:rsidRPr="00895BFD">
        <w:rPr>
          <w:rFonts w:ascii="Times New Roman" w:hAnsi="Times New Roman" w:cs="Times New Roman"/>
        </w:rPr>
        <w:t xml:space="preserve">. </w:t>
      </w:r>
      <w:r>
        <w:rPr>
          <w:rFonts w:ascii="Times New Roman" w:hAnsi="Times New Roman" w:cs="Times New Roman"/>
        </w:rPr>
        <w:t>Internal r</w:t>
      </w:r>
      <w:r w:rsidRPr="00895BFD">
        <w:rPr>
          <w:rFonts w:ascii="Times New Roman" w:hAnsi="Times New Roman" w:cs="Times New Roman"/>
        </w:rPr>
        <w:t>eliability for this measure among the sample was high (</w:t>
      </w:r>
      <w:r w:rsidRPr="00895BFD">
        <w:rPr>
          <w:rFonts w:ascii="Times New Roman" w:eastAsia="Times New Roman" w:hAnsi="Times New Roman" w:cs="Times New Roman"/>
          <w:sz w:val="21"/>
          <w:szCs w:val="21"/>
          <w:shd w:val="clear" w:color="auto" w:fill="FFFFFF"/>
        </w:rPr>
        <w:t>α</w:t>
      </w:r>
      <w:r w:rsidRPr="00895BFD">
        <w:rPr>
          <w:rFonts w:ascii="Times New Roman" w:eastAsia="Times New Roman" w:hAnsi="Times New Roman" w:cs="Times New Roman"/>
        </w:rPr>
        <w:t xml:space="preserve"> = 0.90).</w:t>
      </w:r>
    </w:p>
    <w:p w14:paraId="032584AC" w14:textId="77777777" w:rsidR="00B4295F" w:rsidRPr="00895BFD" w:rsidRDefault="00B4295F" w:rsidP="0071016D">
      <w:pPr>
        <w:spacing w:line="480" w:lineRule="auto"/>
        <w:ind w:firstLine="720"/>
        <w:rPr>
          <w:rFonts w:ascii="Times New Roman" w:eastAsia="Times New Roman" w:hAnsi="Times New Roman" w:cs="Times New Roman"/>
        </w:rPr>
      </w:pPr>
      <w:r w:rsidRPr="00895BFD">
        <w:rPr>
          <w:rFonts w:ascii="Times New Roman" w:hAnsi="Times New Roman" w:cs="Times New Roman"/>
          <w:i/>
          <w:iCs/>
        </w:rPr>
        <w:t>International Outcome Inventory for Hearing Aids</w:t>
      </w:r>
      <w:r w:rsidRPr="00895BFD">
        <w:rPr>
          <w:rFonts w:ascii="Times New Roman" w:hAnsi="Times New Roman" w:cs="Times New Roman"/>
        </w:rPr>
        <w:t xml:space="preserve"> </w:t>
      </w:r>
      <w:r w:rsidRPr="00895BFD">
        <w:rPr>
          <w:rFonts w:ascii="Times New Roman" w:hAnsi="Times New Roman" w:cs="Times New Roman"/>
          <w:noProof/>
        </w:rPr>
        <w:t>(IOI-HA; R. Cox et al., 2000; R. M. Cox &amp; Alexander, 2002)</w:t>
      </w:r>
      <w:r w:rsidRPr="00895BFD">
        <w:rPr>
          <w:rFonts w:ascii="Times New Roman" w:hAnsi="Times New Roman" w:cs="Times New Roman"/>
        </w:rPr>
        <w:t xml:space="preserve"> is a 7-item, self-report questionnaire. Each item on the measure is designed to assess different aspects of effectiveness of hearing aid treatments</w:t>
      </w:r>
      <w:r>
        <w:rPr>
          <w:rFonts w:ascii="Times New Roman" w:hAnsi="Times New Roman" w:cs="Times New Roman"/>
        </w:rPr>
        <w:t xml:space="preserve"> (e.g., “</w:t>
      </w:r>
      <w:r w:rsidRPr="00EE0F97">
        <w:rPr>
          <w:rFonts w:ascii="Times New Roman" w:hAnsi="Times New Roman" w:cs="Times New Roman"/>
        </w:rPr>
        <w:t>Over the past two weeks, with your present hearing aid(s), how much have your hearing difficulties affected the things you can do?</w:t>
      </w:r>
      <w:r>
        <w:rPr>
          <w:rFonts w:ascii="Times New Roman" w:hAnsi="Times New Roman" w:cs="Times New Roman"/>
        </w:rPr>
        <w:t>”)</w:t>
      </w:r>
      <w:r w:rsidRPr="00895BFD">
        <w:rPr>
          <w:rFonts w:ascii="Times New Roman" w:hAnsi="Times New Roman" w:cs="Times New Roman"/>
        </w:rPr>
        <w:t xml:space="preserve">. </w:t>
      </w:r>
      <w:r>
        <w:rPr>
          <w:rFonts w:ascii="Times New Roman" w:hAnsi="Times New Roman" w:cs="Times New Roman"/>
        </w:rPr>
        <w:t>Participants can select one of five r</w:t>
      </w:r>
      <w:r w:rsidRPr="00895BFD">
        <w:rPr>
          <w:rFonts w:ascii="Times New Roman" w:hAnsi="Times New Roman" w:cs="Times New Roman"/>
        </w:rPr>
        <w:t>esponses for each item</w:t>
      </w:r>
      <w:r>
        <w:rPr>
          <w:rFonts w:ascii="Times New Roman" w:hAnsi="Times New Roman" w:cs="Times New Roman"/>
        </w:rPr>
        <w:t xml:space="preserve"> with each item having a unique set of responses, but all responses do</w:t>
      </w:r>
      <w:r w:rsidRPr="00895BFD">
        <w:rPr>
          <w:rFonts w:ascii="Times New Roman" w:hAnsi="Times New Roman" w:cs="Times New Roman"/>
        </w:rPr>
        <w:t xml:space="preserve"> range from worst outcome on the left </w:t>
      </w:r>
      <w:r>
        <w:rPr>
          <w:rFonts w:ascii="Times New Roman" w:hAnsi="Times New Roman" w:cs="Times New Roman"/>
        </w:rPr>
        <w:t>to</w:t>
      </w:r>
      <w:r w:rsidRPr="00895BFD">
        <w:rPr>
          <w:rFonts w:ascii="Times New Roman" w:hAnsi="Times New Roman" w:cs="Times New Roman"/>
        </w:rPr>
        <w:t xml:space="preserve"> best outcome on the right. </w:t>
      </w:r>
      <w:r>
        <w:rPr>
          <w:rFonts w:ascii="Times New Roman" w:hAnsi="Times New Roman" w:cs="Times New Roman"/>
        </w:rPr>
        <w:t>Internal r</w:t>
      </w:r>
      <w:r w:rsidRPr="00895BFD">
        <w:rPr>
          <w:rFonts w:ascii="Times New Roman" w:hAnsi="Times New Roman" w:cs="Times New Roman"/>
        </w:rPr>
        <w:t>eliability for this questionnaire among the sample was high (</w:t>
      </w:r>
      <w:r w:rsidRPr="00895BFD">
        <w:rPr>
          <w:rFonts w:ascii="Times New Roman" w:eastAsia="Times New Roman" w:hAnsi="Times New Roman" w:cs="Times New Roman"/>
          <w:sz w:val="21"/>
          <w:szCs w:val="21"/>
          <w:shd w:val="clear" w:color="auto" w:fill="FFFFFF"/>
        </w:rPr>
        <w:t>α</w:t>
      </w:r>
      <w:r w:rsidRPr="00895BFD">
        <w:rPr>
          <w:rFonts w:ascii="Times New Roman" w:eastAsia="Times New Roman" w:hAnsi="Times New Roman" w:cs="Times New Roman"/>
        </w:rPr>
        <w:t xml:space="preserve"> = 0.86).</w:t>
      </w:r>
    </w:p>
    <w:p w14:paraId="515F6F02" w14:textId="77777777" w:rsidR="00B4295F" w:rsidRPr="00895BFD" w:rsidRDefault="00B4295F" w:rsidP="00C71865">
      <w:pPr>
        <w:spacing w:line="480" w:lineRule="auto"/>
        <w:ind w:firstLine="720"/>
        <w:rPr>
          <w:rFonts w:ascii="Times New Roman" w:hAnsi="Times New Roman" w:cs="Times New Roman"/>
        </w:rPr>
      </w:pPr>
      <w:r w:rsidRPr="00895BFD">
        <w:rPr>
          <w:rFonts w:ascii="Times New Roman" w:hAnsi="Times New Roman" w:cs="Times New Roman"/>
          <w:i/>
          <w:iCs/>
        </w:rPr>
        <w:t xml:space="preserve">Multidimensional Psychological Flexibility </w:t>
      </w:r>
      <w:r>
        <w:rPr>
          <w:rFonts w:ascii="Times New Roman" w:hAnsi="Times New Roman" w:cs="Times New Roman"/>
          <w:i/>
          <w:iCs/>
        </w:rPr>
        <w:t>Inventory</w:t>
      </w:r>
      <w:r w:rsidRPr="00895BFD">
        <w:rPr>
          <w:rFonts w:ascii="Times New Roman" w:hAnsi="Times New Roman" w:cs="Times New Roman"/>
          <w:i/>
          <w:iCs/>
        </w:rPr>
        <w:t>-Inflexibility</w:t>
      </w:r>
      <w:r w:rsidRPr="00895BFD">
        <w:rPr>
          <w:rFonts w:ascii="Times New Roman" w:hAnsi="Times New Roman" w:cs="Times New Roman"/>
        </w:rPr>
        <w:t xml:space="preserve"> </w:t>
      </w:r>
      <w:r w:rsidRPr="00895BFD">
        <w:rPr>
          <w:rFonts w:ascii="Times New Roman" w:hAnsi="Times New Roman" w:cs="Times New Roman"/>
          <w:noProof/>
        </w:rPr>
        <w:t>(MPFI-Inflexibility; Rolffs, Rogge, &amp; Wilson, 2018)</w:t>
      </w:r>
      <w:r w:rsidRPr="00895BFD">
        <w:rPr>
          <w:rFonts w:ascii="Times New Roman" w:hAnsi="Times New Roman" w:cs="Times New Roman"/>
        </w:rPr>
        <w:t xml:space="preserve"> original 60-item version is a self-report measure designed to </w:t>
      </w:r>
      <w:r w:rsidRPr="00895BFD">
        <w:rPr>
          <w:rFonts w:ascii="Times New Roman" w:hAnsi="Times New Roman" w:cs="Times New Roman"/>
        </w:rPr>
        <w:lastRenderedPageBreak/>
        <w:t>evaluate psychological flexibility and inflexibility. The current study use</w:t>
      </w:r>
      <w:r>
        <w:rPr>
          <w:rFonts w:ascii="Times New Roman" w:hAnsi="Times New Roman" w:cs="Times New Roman"/>
        </w:rPr>
        <w:t>d</w:t>
      </w:r>
      <w:r w:rsidRPr="00895BFD">
        <w:rPr>
          <w:rFonts w:ascii="Times New Roman" w:hAnsi="Times New Roman" w:cs="Times New Roman"/>
        </w:rPr>
        <w:t xml:space="preserve"> the 30-item version to measure only psychological inflexibility that are composed of 6 subscales (experiential avoidance, lack of contact with the present moment, self as content, fusion, lack of contact with values, and inaction). Each item is rated on a 6-point scale ranging from 1 </w:t>
      </w:r>
      <w:r w:rsidRPr="00895BFD">
        <w:rPr>
          <w:rFonts w:ascii="Times New Roman" w:hAnsi="Times New Roman" w:cs="Times New Roman"/>
          <w:i/>
          <w:iCs/>
        </w:rPr>
        <w:t>never true</w:t>
      </w:r>
      <w:r w:rsidRPr="00895BFD">
        <w:rPr>
          <w:rFonts w:ascii="Times New Roman" w:hAnsi="Times New Roman" w:cs="Times New Roman"/>
        </w:rPr>
        <w:t xml:space="preserve"> to 6 </w:t>
      </w:r>
      <w:r w:rsidRPr="00895BFD">
        <w:rPr>
          <w:rFonts w:ascii="Times New Roman" w:hAnsi="Times New Roman" w:cs="Times New Roman"/>
          <w:i/>
          <w:iCs/>
        </w:rPr>
        <w:t>always true</w:t>
      </w:r>
      <w:r w:rsidRPr="00895BFD">
        <w:rPr>
          <w:rFonts w:ascii="Times New Roman" w:hAnsi="Times New Roman" w:cs="Times New Roman"/>
        </w:rPr>
        <w:t xml:space="preserve">. </w:t>
      </w:r>
      <w:r>
        <w:rPr>
          <w:rFonts w:ascii="Times New Roman" w:hAnsi="Times New Roman" w:cs="Times New Roman"/>
        </w:rPr>
        <w:t>Internal r</w:t>
      </w:r>
      <w:r w:rsidRPr="00895BFD">
        <w:rPr>
          <w:rFonts w:ascii="Times New Roman" w:hAnsi="Times New Roman" w:cs="Times New Roman"/>
        </w:rPr>
        <w:t>eliability for this measure among this sample was very high (</w:t>
      </w:r>
      <w:r w:rsidRPr="00895BFD">
        <w:rPr>
          <w:rFonts w:ascii="Times New Roman" w:eastAsia="Times New Roman" w:hAnsi="Times New Roman" w:cs="Times New Roman"/>
          <w:sz w:val="21"/>
          <w:szCs w:val="21"/>
          <w:shd w:val="clear" w:color="auto" w:fill="FFFFFF"/>
        </w:rPr>
        <w:t>α</w:t>
      </w:r>
      <w:r w:rsidRPr="00895BFD">
        <w:rPr>
          <w:rFonts w:ascii="Times New Roman" w:eastAsia="Times New Roman" w:hAnsi="Times New Roman" w:cs="Times New Roman"/>
        </w:rPr>
        <w:t xml:space="preserve"> = 0.95). </w:t>
      </w:r>
    </w:p>
    <w:p w14:paraId="5532863B" w14:textId="77777777" w:rsidR="00B4295F" w:rsidRPr="00895BFD" w:rsidRDefault="00B4295F" w:rsidP="008F0208">
      <w:pPr>
        <w:spacing w:line="480" w:lineRule="auto"/>
        <w:rPr>
          <w:rFonts w:ascii="Times New Roman" w:eastAsia="Times New Roman" w:hAnsi="Times New Roman" w:cs="Times New Roman"/>
          <w:i/>
          <w:iCs/>
        </w:rPr>
      </w:pPr>
      <w:r w:rsidRPr="00895BFD">
        <w:rPr>
          <w:rFonts w:ascii="Times New Roman" w:eastAsia="Times New Roman" w:hAnsi="Times New Roman" w:cs="Times New Roman"/>
          <w:b/>
          <w:bCs/>
          <w:i/>
          <w:iCs/>
        </w:rPr>
        <w:t>Analysis</w:t>
      </w:r>
    </w:p>
    <w:p w14:paraId="0E54627F" w14:textId="2B0EB9A2" w:rsidR="00B4295F" w:rsidRDefault="00B4295F" w:rsidP="008F0208">
      <w:pPr>
        <w:spacing w:line="480" w:lineRule="auto"/>
        <w:rPr>
          <w:rFonts w:ascii="Times New Roman" w:hAnsi="Times New Roman" w:cs="Times New Roman"/>
        </w:rPr>
      </w:pPr>
      <w:r>
        <w:rPr>
          <w:rFonts w:ascii="Times New Roman" w:hAnsi="Times New Roman" w:cs="Times New Roman"/>
        </w:rPr>
        <w:tab/>
        <w:t xml:space="preserve">All analyses were conducted in the R statistical environment </w:t>
      </w:r>
      <w:r>
        <w:rPr>
          <w:rFonts w:ascii="Times New Roman" w:hAnsi="Times New Roman" w:cs="Times New Roman"/>
          <w:noProof/>
        </w:rPr>
        <w:t>(R Core Team, 2020)</w:t>
      </w:r>
      <w:r>
        <w:rPr>
          <w:rFonts w:ascii="Times New Roman" w:hAnsi="Times New Roman" w:cs="Times New Roman"/>
        </w:rPr>
        <w:t xml:space="preserve">. Confirmatory factor analysis (CFA) in conjunction with convergent and </w:t>
      </w:r>
      <w:r w:rsidR="006A7602">
        <w:rPr>
          <w:rFonts w:ascii="Times New Roman" w:hAnsi="Times New Roman" w:cs="Times New Roman"/>
        </w:rPr>
        <w:t>discriminant</w:t>
      </w:r>
      <w:r>
        <w:rPr>
          <w:rFonts w:ascii="Times New Roman" w:hAnsi="Times New Roman" w:cs="Times New Roman"/>
        </w:rPr>
        <w:t xml:space="preserve"> validity analyses were conducted using the ‘lavaan’ package </w:t>
      </w:r>
      <w:r>
        <w:rPr>
          <w:rFonts w:ascii="Times New Roman" w:hAnsi="Times New Roman" w:cs="Times New Roman"/>
          <w:noProof/>
        </w:rPr>
        <w:t>(Rosseel, 2012)</w:t>
      </w:r>
      <w:r>
        <w:rPr>
          <w:rFonts w:ascii="Times New Roman" w:hAnsi="Times New Roman" w:cs="Times New Roman"/>
        </w:rPr>
        <w:t xml:space="preserve">. </w:t>
      </w:r>
    </w:p>
    <w:p w14:paraId="56536C8A" w14:textId="77777777" w:rsidR="00B4295F" w:rsidRDefault="00B4295F" w:rsidP="008F0208">
      <w:pPr>
        <w:spacing w:line="480" w:lineRule="auto"/>
        <w:rPr>
          <w:rFonts w:ascii="Times New Roman" w:eastAsiaTheme="minorEastAsia" w:hAnsi="Times New Roman" w:cs="Times New Roman"/>
        </w:rPr>
      </w:pPr>
      <w:r>
        <w:rPr>
          <w:rFonts w:ascii="Times New Roman" w:hAnsi="Times New Roman" w:cs="Times New Roman"/>
        </w:rPr>
        <w:tab/>
        <w:t xml:space="preserve">Descriptive statistics were calculated for the sample, including the distribution of gender, race, hearing status, communication modality, education, and income. The core analyses were CFA models. The CFA modeling tested the fit of a unidimensional model for the 12-item AAQ-AHL measure proposed by Ong et al. </w:t>
      </w:r>
      <w:r>
        <w:rPr>
          <w:rFonts w:ascii="Times New Roman" w:hAnsi="Times New Roman" w:cs="Times New Roman"/>
          <w:noProof/>
        </w:rPr>
        <w:t>(2019)</w:t>
      </w:r>
      <w:r>
        <w:rPr>
          <w:rFonts w:ascii="Times New Roman" w:hAnsi="Times New Roman" w:cs="Times New Roman"/>
        </w:rPr>
        <w:t>, with varying loadings but no correlated residuals among the items. Based on model fit, a</w:t>
      </w:r>
      <w:r w:rsidRPr="00CE4BF8">
        <w:rPr>
          <w:rFonts w:ascii="Times New Roman" w:hAnsi="Times New Roman" w:cs="Times New Roman"/>
        </w:rPr>
        <w:t xml:space="preserve"> second model was produced</w:t>
      </w:r>
      <w:r>
        <w:rPr>
          <w:rFonts w:ascii="Times New Roman" w:hAnsi="Times New Roman" w:cs="Times New Roman"/>
        </w:rPr>
        <w:t>, again</w:t>
      </w:r>
      <w:r w:rsidRPr="00CE4BF8">
        <w:rPr>
          <w:rFonts w:ascii="Times New Roman" w:hAnsi="Times New Roman" w:cs="Times New Roman"/>
        </w:rPr>
        <w:t xml:space="preserve"> with all 12 items loaded onto a single latent factor</w:t>
      </w:r>
      <w:r>
        <w:rPr>
          <w:rFonts w:ascii="Times New Roman" w:hAnsi="Times New Roman" w:cs="Times New Roman"/>
        </w:rPr>
        <w:t>, but also included</w:t>
      </w:r>
      <w:r w:rsidRPr="00CE4BF8">
        <w:rPr>
          <w:rFonts w:ascii="Times New Roman" w:hAnsi="Times New Roman" w:cs="Times New Roman"/>
        </w:rPr>
        <w:t xml:space="preserve"> </w:t>
      </w:r>
      <w:r>
        <w:rPr>
          <w:rFonts w:ascii="Times New Roman" w:hAnsi="Times New Roman" w:cs="Times New Roman"/>
        </w:rPr>
        <w:t>correlated residuals</w:t>
      </w:r>
      <w:r w:rsidRPr="00CE4BF8">
        <w:rPr>
          <w:rFonts w:ascii="Times New Roman" w:hAnsi="Times New Roman" w:cs="Times New Roman"/>
        </w:rPr>
        <w:t xml:space="preserve"> between items 1, 2, 5, and 6</w:t>
      </w:r>
      <w:r>
        <w:rPr>
          <w:rFonts w:ascii="Times New Roman" w:hAnsi="Times New Roman" w:cs="Times New Roman"/>
        </w:rPr>
        <w:t>, as indicated by modification indices and item features</w:t>
      </w:r>
      <w:r w:rsidRPr="00CE4BF8">
        <w:rPr>
          <w:rFonts w:ascii="Times New Roman" w:hAnsi="Times New Roman" w:cs="Times New Roman"/>
        </w:rPr>
        <w:t>.</w:t>
      </w:r>
      <w:r>
        <w:rPr>
          <w:rFonts w:ascii="Times New Roman" w:hAnsi="Times New Roman" w:cs="Times New Roman"/>
        </w:rPr>
        <w:t xml:space="preserve"> Estimation was done using robust maximum likelihood to adjust for the non-normality of some of the items. Goodness-of-fit was assessed via relative/normed chi-square value (</w:t>
      </w:r>
      <m:oMath>
        <m:sSup>
          <m:sSupPr>
            <m:ctrlPr>
              <w:rPr>
                <w:rFonts w:ascii="Cambria Math" w:hAnsi="Cambria Math" w:cs="Times New Roman"/>
                <w:i/>
                <w:iCs/>
              </w:rPr>
            </m:ctrlPr>
          </m:sSupPr>
          <m:e>
            <m:r>
              <w:rPr>
                <w:rFonts w:ascii="Cambria Math" w:hAnsi="Cambria Math" w:cs="Times New Roman"/>
              </w:rPr>
              <m:t>χ</m:t>
            </m:r>
          </m:e>
          <m:sup>
            <m:r>
              <w:rPr>
                <w:rFonts w:ascii="Cambria Math" w:hAnsi="Cambria Math" w:cs="Times New Roman"/>
              </w:rPr>
              <m:t>2</m:t>
            </m:r>
          </m:sup>
        </m:sSup>
      </m:oMath>
      <w:r>
        <w:rPr>
          <w:rFonts w:ascii="Times New Roman" w:hAnsi="Times New Roman" w:cs="Times New Roman"/>
        </w:rPr>
        <w:t xml:space="preserve">/df; </w:t>
      </w:r>
      <m:oMath>
        <m:r>
          <w:rPr>
            <w:rFonts w:ascii="Cambria Math" w:hAnsi="Cambria Math" w:cs="Times New Roman"/>
          </w:rPr>
          <m:t>≤</m:t>
        </m:r>
      </m:oMath>
      <w:r>
        <w:rPr>
          <w:rFonts w:ascii="Times New Roman" w:eastAsiaTheme="minorEastAsia" w:hAnsi="Times New Roman" w:cs="Times New Roman"/>
        </w:rPr>
        <w:t xml:space="preserve"> </w:t>
      </w:r>
      <w:r>
        <w:rPr>
          <w:rFonts w:ascii="Times New Roman" w:hAnsi="Times New Roman" w:cs="Times New Roman"/>
        </w:rPr>
        <w:t xml:space="preserve">5 regarded as acceptable), root mean square error of approximation (RMSEA; </w:t>
      </w:r>
      <m:oMath>
        <m:r>
          <w:rPr>
            <w:rFonts w:ascii="Cambria Math" w:hAnsi="Cambria Math" w:cs="Times New Roman"/>
          </w:rPr>
          <m:t>≤</m:t>
        </m:r>
      </m:oMath>
      <w:r>
        <w:rPr>
          <w:rFonts w:ascii="Times New Roman" w:eastAsiaTheme="minorEastAsia" w:hAnsi="Times New Roman" w:cs="Times New Roman"/>
        </w:rPr>
        <w:t xml:space="preserve"> .08 is regarded as an acceptable fit) and it’s corresponding confidence interval, standardized root mean square residual (SRMR, </w:t>
      </w:r>
      <m:oMath>
        <m:r>
          <w:rPr>
            <w:rFonts w:ascii="Cambria Math" w:hAnsi="Cambria Math" w:cs="Times New Roman"/>
          </w:rPr>
          <m:t>≤</m:t>
        </m:r>
      </m:oMath>
      <w:r>
        <w:rPr>
          <w:rFonts w:ascii="Times New Roman" w:eastAsiaTheme="minorEastAsia" w:hAnsi="Times New Roman" w:cs="Times New Roman"/>
        </w:rPr>
        <w:t xml:space="preserve"> .08 is regarded as acceptable), and comparative fit index </w:t>
      </w:r>
      <w:r>
        <w:rPr>
          <w:rFonts w:ascii="Times New Roman" w:eastAsiaTheme="minorEastAsia" w:hAnsi="Times New Roman" w:cs="Times New Roman"/>
          <w:noProof/>
        </w:rPr>
        <w:t>(CFI; ≤ .95 is representitive of good fit; Hooper, Coughlan, &amp; Mullen, 2008)</w:t>
      </w:r>
      <w:r>
        <w:rPr>
          <w:rFonts w:ascii="Times New Roman" w:eastAsiaTheme="minorEastAsia" w:hAnsi="Times New Roman" w:cs="Times New Roman"/>
        </w:rPr>
        <w:t xml:space="preserve">. </w:t>
      </w:r>
    </w:p>
    <w:p w14:paraId="5977D222" w14:textId="32963542" w:rsidR="00B4295F" w:rsidRDefault="00B4295F" w:rsidP="008F0208">
      <w:pPr>
        <w:spacing w:line="480" w:lineRule="auto"/>
        <w:ind w:firstLine="720"/>
        <w:rPr>
          <w:rFonts w:ascii="Times New Roman" w:eastAsiaTheme="minorEastAsia" w:hAnsi="Times New Roman" w:cs="Times New Roman"/>
        </w:rPr>
      </w:pPr>
      <w:r>
        <w:rPr>
          <w:rFonts w:ascii="Times New Roman" w:eastAsiaTheme="minorEastAsia" w:hAnsi="Times New Roman" w:cs="Times New Roman"/>
        </w:rPr>
        <w:lastRenderedPageBreak/>
        <w:t xml:space="preserve">Using the structure of this final model of the latent factor, we determined </w:t>
      </w:r>
      <w:r w:rsidRPr="00E0002E">
        <w:rPr>
          <w:rFonts w:ascii="Times New Roman" w:eastAsiaTheme="minorEastAsia" w:hAnsi="Times New Roman" w:cs="Times New Roman"/>
        </w:rPr>
        <w:t xml:space="preserve">the degree to which the AAQ-AHL measures psychological inflexibility in relation to hearing loss </w:t>
      </w:r>
      <w:r>
        <w:rPr>
          <w:rFonts w:ascii="Times New Roman" w:eastAsiaTheme="minorEastAsia" w:hAnsi="Times New Roman" w:cs="Times New Roman"/>
        </w:rPr>
        <w:t>by assessing convergent validity</w:t>
      </w:r>
      <w:r w:rsidRPr="00E0002E">
        <w:rPr>
          <w:rFonts w:ascii="Times New Roman" w:eastAsiaTheme="minorEastAsia" w:hAnsi="Times New Roman" w:cs="Times New Roman"/>
        </w:rPr>
        <w:t xml:space="preserve">. </w:t>
      </w:r>
      <w:r>
        <w:rPr>
          <w:rFonts w:ascii="Times New Roman" w:eastAsiaTheme="minorEastAsia" w:hAnsi="Times New Roman" w:cs="Times New Roman"/>
        </w:rPr>
        <w:t xml:space="preserve">Specifically, structural equation modeling was used to analyze the relationship between the AAQ-AHL measure and </w:t>
      </w:r>
      <w:r w:rsidRPr="00E0002E">
        <w:rPr>
          <w:rFonts w:ascii="Times New Roman" w:eastAsiaTheme="minorEastAsia" w:hAnsi="Times New Roman" w:cs="Times New Roman"/>
        </w:rPr>
        <w:t>other related construct measures (i.e., AAQ-II, MPFI, MARS-HA, and IOI-HA).</w:t>
      </w:r>
      <w:r>
        <w:rPr>
          <w:rFonts w:ascii="Times New Roman" w:eastAsiaTheme="minorEastAsia" w:hAnsi="Times New Roman" w:cs="Times New Roman"/>
        </w:rPr>
        <w:t xml:space="preserve"> In addition, </w:t>
      </w:r>
      <w:r w:rsidR="00E542C8" w:rsidRPr="00E542C8">
        <w:rPr>
          <w:rFonts w:ascii="Times New Roman" w:eastAsiaTheme="minorEastAsia" w:hAnsi="Times New Roman" w:cs="Times New Roman"/>
        </w:rPr>
        <w:t>discriminant</w:t>
      </w:r>
      <w:r w:rsidR="00E542C8">
        <w:rPr>
          <w:rFonts w:ascii="Times New Roman" w:eastAsiaTheme="minorEastAsia" w:hAnsi="Times New Roman" w:cs="Times New Roman"/>
        </w:rPr>
        <w:t xml:space="preserve"> </w:t>
      </w:r>
      <w:r>
        <w:rPr>
          <w:rFonts w:ascii="Times New Roman" w:eastAsiaTheme="minorEastAsia" w:hAnsi="Times New Roman" w:cs="Times New Roman"/>
        </w:rPr>
        <w:t>validity was tested by assessing the relationship between AAQ-AHL and two factors that likely should not vary with AAQ-AHL —g</w:t>
      </w:r>
      <w:r w:rsidRPr="00E0002E">
        <w:rPr>
          <w:rFonts w:ascii="Times New Roman" w:eastAsiaTheme="minorEastAsia" w:hAnsi="Times New Roman" w:cs="Times New Roman"/>
        </w:rPr>
        <w:t>ender</w:t>
      </w:r>
      <w:r>
        <w:rPr>
          <w:rFonts w:ascii="Times New Roman" w:eastAsiaTheme="minorEastAsia" w:hAnsi="Times New Roman" w:cs="Times New Roman"/>
        </w:rPr>
        <w:t xml:space="preserve"> and hearing loss severity</w:t>
      </w:r>
      <w:r w:rsidRPr="00E0002E">
        <w:rPr>
          <w:rFonts w:ascii="Times New Roman" w:eastAsiaTheme="minorEastAsia" w:hAnsi="Times New Roman" w:cs="Times New Roman"/>
        </w:rPr>
        <w:t>.</w:t>
      </w:r>
      <w:r>
        <w:rPr>
          <w:rFonts w:ascii="Times New Roman" w:eastAsiaTheme="minorEastAsia" w:hAnsi="Times New Roman" w:cs="Times New Roman"/>
        </w:rPr>
        <w:t xml:space="preserve"> </w:t>
      </w:r>
    </w:p>
    <w:p w14:paraId="64C540AF" w14:textId="77777777" w:rsidR="00B4295F" w:rsidRPr="00895BFD" w:rsidRDefault="00B4295F" w:rsidP="008F0208">
      <w:pPr>
        <w:spacing w:line="480" w:lineRule="auto"/>
        <w:jc w:val="center"/>
        <w:rPr>
          <w:rFonts w:ascii="Times New Roman" w:hAnsi="Times New Roman" w:cs="Times New Roman"/>
          <w:b/>
          <w:bCs/>
        </w:rPr>
      </w:pPr>
      <w:r w:rsidRPr="00895BFD">
        <w:rPr>
          <w:rFonts w:ascii="Times New Roman" w:hAnsi="Times New Roman" w:cs="Times New Roman"/>
          <w:b/>
          <w:bCs/>
        </w:rPr>
        <w:t>Results</w:t>
      </w:r>
    </w:p>
    <w:p w14:paraId="7E4F6DB6" w14:textId="77777777" w:rsidR="00B4295F" w:rsidRDefault="00B4295F" w:rsidP="000B2883">
      <w:pPr>
        <w:spacing w:line="480" w:lineRule="auto"/>
        <w:rPr>
          <w:rFonts w:ascii="Times New Roman" w:hAnsi="Times New Roman" w:cs="Times New Roman"/>
          <w:b/>
          <w:bCs/>
          <w:i/>
          <w:iCs/>
        </w:rPr>
      </w:pPr>
      <w:r w:rsidRPr="00895BFD">
        <w:rPr>
          <w:rFonts w:ascii="Times New Roman" w:hAnsi="Times New Roman" w:cs="Times New Roman"/>
          <w:b/>
          <w:bCs/>
          <w:i/>
          <w:iCs/>
        </w:rPr>
        <w:t>Participants</w:t>
      </w:r>
    </w:p>
    <w:p w14:paraId="4830CDC9" w14:textId="0814710F" w:rsidR="00B4295F" w:rsidRDefault="00B4295F" w:rsidP="008F0208">
      <w:pPr>
        <w:spacing w:line="480" w:lineRule="auto"/>
        <w:rPr>
          <w:rFonts w:ascii="Times New Roman" w:hAnsi="Times New Roman" w:cs="Times New Roman"/>
        </w:rPr>
      </w:pPr>
      <w:r>
        <w:rPr>
          <w:rFonts w:ascii="Times New Roman" w:hAnsi="Times New Roman" w:cs="Times New Roman"/>
          <w:b/>
          <w:bCs/>
          <w:i/>
          <w:iCs/>
        </w:rPr>
        <w:tab/>
      </w:r>
      <w:r>
        <w:rPr>
          <w:rFonts w:ascii="Times New Roman" w:hAnsi="Times New Roman" w:cs="Times New Roman"/>
        </w:rPr>
        <w:t>There were 146</w:t>
      </w:r>
      <w:r w:rsidRPr="00E124E9">
        <w:rPr>
          <w:rFonts w:ascii="Times New Roman" w:hAnsi="Times New Roman" w:cs="Times New Roman"/>
        </w:rPr>
        <w:t xml:space="preserve"> </w:t>
      </w:r>
      <w:r>
        <w:rPr>
          <w:rFonts w:ascii="Times New Roman" w:hAnsi="Times New Roman" w:cs="Times New Roman"/>
        </w:rPr>
        <w:t xml:space="preserve">adults recruited for this study who use hearing aids. Participants were recruited across the United States online. While we received 1,408 submissions, a majority (n = 1,152) of these were from “bots.” Because all 1,152 were sequentially submitted with less than a minute of </w:t>
      </w:r>
      <w:r w:rsidR="007B0E74">
        <w:rPr>
          <w:rFonts w:ascii="Times New Roman" w:hAnsi="Times New Roman" w:cs="Times New Roman"/>
        </w:rPr>
        <w:t>each other</w:t>
      </w:r>
      <w:r>
        <w:rPr>
          <w:rFonts w:ascii="Times New Roman" w:hAnsi="Times New Roman" w:cs="Times New Roman"/>
        </w:rPr>
        <w:t xml:space="preserve"> in a short timeframe (20 hours) – and provided similar suspicious emails – after posting an ad for the survey on Facebook, they were deemed bots. Others were excluded (n = 110) due to being </w:t>
      </w:r>
      <w:r w:rsidR="007B0E74">
        <w:rPr>
          <w:rFonts w:ascii="Times New Roman" w:hAnsi="Times New Roman" w:cs="Times New Roman"/>
        </w:rPr>
        <w:t>indelible</w:t>
      </w:r>
      <w:r>
        <w:rPr>
          <w:rFonts w:ascii="Times New Roman" w:hAnsi="Times New Roman" w:cs="Times New Roman"/>
        </w:rPr>
        <w:t xml:space="preserve"> or careless responding </w:t>
      </w:r>
      <w:r>
        <w:rPr>
          <w:rFonts w:ascii="Times New Roman" w:hAnsi="Times New Roman" w:cs="Times New Roman"/>
          <w:noProof/>
        </w:rPr>
        <w:t>(i.e., spending 2 seconds or less per item; Huang, Curran, Keeney, Poposki, &amp; DeShon, 2012)</w:t>
      </w:r>
      <w:r>
        <w:rPr>
          <w:rFonts w:ascii="Times New Roman" w:hAnsi="Times New Roman" w:cs="Times New Roman"/>
        </w:rPr>
        <w:t xml:space="preserve">. Participants were mostly female (77%), while 22% of the sample identified as male and 1% (2 participants) identified as “other” (i.e., trans-male, non-binary). Participants who identified as white made up a majority of the sample (71%), with 20% who identified as Native American, American Indian, Alaska Native, and/or Indigenous were second most, and six participants preferred not to disclose their race. A little under a tenth of the sample (8%) stated they had mild hearing loss. The remaining sample was split between moderate (41%), severe (27%), profound (18%), and five participants were unsure about their hearing loss severity. The four participants that marked “other” all detailed having </w:t>
      </w:r>
      <w:r>
        <w:rPr>
          <w:rFonts w:ascii="Times New Roman" w:hAnsi="Times New Roman" w:cs="Times New Roman"/>
        </w:rPr>
        <w:lastRenderedPageBreak/>
        <w:t>different hearing loss severity between their right and left ear. A little less than a third (29%) of the sample identified as having unilateral hearing loss and 71% identified as having bilateral hearing loss. Twenty-six participants disclosed using hearing aids for less than a year (</w:t>
      </w:r>
      <w:r w:rsidRPr="002B5480">
        <w:rPr>
          <w:rFonts w:ascii="Times New Roman" w:hAnsi="Times New Roman" w:cs="Times New Roman"/>
          <w:i/>
          <w:iCs/>
        </w:rPr>
        <w:t>M</w:t>
      </w:r>
      <w:r>
        <w:rPr>
          <w:rFonts w:ascii="Times New Roman" w:hAnsi="Times New Roman" w:cs="Times New Roman"/>
        </w:rPr>
        <w:t xml:space="preserve"> = 5.8 months). Most participants disclosed using hearing aids for more than a year (n = 120; </w:t>
      </w:r>
      <w:r w:rsidRPr="002B5480">
        <w:rPr>
          <w:rFonts w:ascii="Times New Roman" w:hAnsi="Times New Roman" w:cs="Times New Roman"/>
          <w:i/>
          <w:iCs/>
        </w:rPr>
        <w:t>M</w:t>
      </w:r>
      <w:r>
        <w:rPr>
          <w:rFonts w:ascii="Times New Roman" w:hAnsi="Times New Roman" w:cs="Times New Roman"/>
        </w:rPr>
        <w:t xml:space="preserve"> = 15.1 years). A full breakdown of the participant demographics can be found in Table 1. </w:t>
      </w:r>
    </w:p>
    <w:p w14:paraId="13537CCD" w14:textId="77777777" w:rsidR="00B4295F" w:rsidRPr="00305479" w:rsidRDefault="00B4295F" w:rsidP="008F0208">
      <w:pPr>
        <w:spacing w:line="480" w:lineRule="auto"/>
        <w:rPr>
          <w:rFonts w:ascii="Times New Roman" w:hAnsi="Times New Roman" w:cs="Times New Roman"/>
          <w:b/>
          <w:bCs/>
          <w:i/>
          <w:iCs/>
        </w:rPr>
      </w:pPr>
      <w:r w:rsidRPr="00305479">
        <w:rPr>
          <w:rFonts w:ascii="Times New Roman" w:hAnsi="Times New Roman" w:cs="Times New Roman"/>
          <w:b/>
          <w:bCs/>
          <w:i/>
          <w:iCs/>
        </w:rPr>
        <w:t>Confirmatory Factor Analysis</w:t>
      </w:r>
    </w:p>
    <w:p w14:paraId="04E783B7" w14:textId="77777777" w:rsidR="00B4295F" w:rsidRDefault="00B4295F" w:rsidP="008F0208">
      <w:pPr>
        <w:spacing w:line="480" w:lineRule="auto"/>
        <w:ind w:firstLine="720"/>
        <w:rPr>
          <w:rFonts w:ascii="Times New Roman" w:hAnsi="Times New Roman" w:cs="Times New Roman"/>
        </w:rPr>
      </w:pPr>
      <w:r>
        <w:rPr>
          <w:rFonts w:ascii="Times New Roman" w:hAnsi="Times New Roman" w:cs="Times New Roman"/>
        </w:rPr>
        <w:t>The first unidimensional model had poor model fit (</w:t>
      </w:r>
      <m:oMath>
        <m:sSup>
          <m:sSupPr>
            <m:ctrlPr>
              <w:rPr>
                <w:rFonts w:ascii="Cambria Math" w:hAnsi="Cambria Math" w:cs="Times New Roman"/>
                <w:i/>
                <w:iCs/>
              </w:rPr>
            </m:ctrlPr>
          </m:sSupPr>
          <m:e>
            <m:r>
              <w:rPr>
                <w:rFonts w:ascii="Cambria Math" w:hAnsi="Cambria Math" w:cs="Times New Roman"/>
              </w:rPr>
              <m:t>χ</m:t>
            </m:r>
          </m:e>
          <m:sup>
            <m:r>
              <w:rPr>
                <w:rFonts w:ascii="Cambria Math" w:hAnsi="Cambria Math" w:cs="Times New Roman"/>
              </w:rPr>
              <m:t>2</m:t>
            </m:r>
          </m:sup>
        </m:sSup>
      </m:oMath>
      <w:r>
        <w:rPr>
          <w:rFonts w:ascii="Times New Roman" w:hAnsi="Times New Roman" w:cs="Times New Roman"/>
        </w:rPr>
        <w:t xml:space="preserve">/df = 3.24, p &lt; .001; RMSEA = .124, 90% CI [.11 - .14]; </w:t>
      </w:r>
      <w:r>
        <w:rPr>
          <w:rFonts w:ascii="Times New Roman" w:eastAsiaTheme="minorEastAsia" w:hAnsi="Times New Roman" w:cs="Times New Roman"/>
        </w:rPr>
        <w:t>SRMR</w:t>
      </w:r>
      <w:r>
        <w:rPr>
          <w:rFonts w:ascii="Times New Roman" w:eastAsiaTheme="minorEastAsia" w:hAnsi="Times New Roman" w:cs="Times New Roman"/>
          <w:noProof/>
        </w:rPr>
        <w:t xml:space="preserve"> = .1; CFI = .73). All items had significant standarized loadings ranging from .32 to .73 (</w:t>
      </w:r>
      <w:r w:rsidRPr="00CB3346">
        <w:rPr>
          <w:rFonts w:ascii="Times New Roman" w:eastAsiaTheme="minorEastAsia" w:hAnsi="Times New Roman" w:cs="Times New Roman"/>
          <w:i/>
          <w:iCs/>
          <w:noProof/>
        </w:rPr>
        <w:t>p’s</w:t>
      </w:r>
      <w:r>
        <w:rPr>
          <w:rFonts w:ascii="Times New Roman" w:eastAsiaTheme="minorEastAsia" w:hAnsi="Times New Roman" w:cs="Times New Roman"/>
          <w:noProof/>
        </w:rPr>
        <w:t xml:space="preserve"> &lt; .05). To assess possible reasons for the poor model fit, modification indices were examined. Of the ten largest modification indices, five were indicating the need for allowing correlated residuals for items that were </w:t>
      </w:r>
      <w:r>
        <w:rPr>
          <w:rFonts w:ascii="Times New Roman" w:hAnsi="Times New Roman" w:cs="Times New Roman"/>
        </w:rPr>
        <w:t>concerning</w:t>
      </w:r>
      <w:r w:rsidRPr="00CF694D">
        <w:rPr>
          <w:rFonts w:ascii="Times New Roman" w:hAnsi="Times New Roman" w:cs="Times New Roman"/>
        </w:rPr>
        <w:t xml:space="preserve"> the execution of personal duties (e.g., goals, responsibilities, life) while living with negative </w:t>
      </w:r>
      <w:r>
        <w:rPr>
          <w:rFonts w:ascii="Times New Roman" w:hAnsi="Times New Roman" w:cs="Times New Roman"/>
        </w:rPr>
        <w:t>inner</w:t>
      </w:r>
      <w:r w:rsidRPr="00CF694D">
        <w:rPr>
          <w:rFonts w:ascii="Times New Roman" w:hAnsi="Times New Roman" w:cs="Times New Roman"/>
        </w:rPr>
        <w:t xml:space="preserve"> experiences related to hearing loss.</w:t>
      </w:r>
      <w:r>
        <w:rPr>
          <w:rFonts w:ascii="Times New Roman" w:eastAsiaTheme="minorEastAsia" w:hAnsi="Times New Roman" w:cs="Times New Roman"/>
          <w:noProof/>
        </w:rPr>
        <w:t xml:space="preserve"> These five included items 1 (“</w:t>
      </w:r>
      <w:r w:rsidRPr="00CC1771">
        <w:rPr>
          <w:rFonts w:ascii="Times New Roman" w:eastAsiaTheme="minorEastAsia" w:hAnsi="Times New Roman" w:cs="Times New Roman"/>
          <w:noProof/>
        </w:rPr>
        <w:t>I am leading a full life, despite my frustration with hearing loss</w:t>
      </w:r>
      <w:r>
        <w:rPr>
          <w:rFonts w:ascii="Times New Roman" w:hAnsi="Times New Roman" w:cs="Times New Roman"/>
        </w:rPr>
        <w:t>”), 2 (“m</w:t>
      </w:r>
      <w:r w:rsidRPr="002633BA">
        <w:rPr>
          <w:rFonts w:ascii="Times New Roman" w:hAnsi="Times New Roman" w:cs="Times New Roman"/>
        </w:rPr>
        <w:t>y life is going well, despite negative thoughts and feelings about my hearing</w:t>
      </w:r>
      <w:r>
        <w:rPr>
          <w:rFonts w:ascii="Times New Roman" w:hAnsi="Times New Roman" w:cs="Times New Roman"/>
        </w:rPr>
        <w:t xml:space="preserve"> l</w:t>
      </w:r>
      <w:r w:rsidRPr="002633BA">
        <w:rPr>
          <w:rFonts w:ascii="Times New Roman" w:hAnsi="Times New Roman" w:cs="Times New Roman"/>
        </w:rPr>
        <w:t>oss</w:t>
      </w:r>
      <w:r>
        <w:rPr>
          <w:rFonts w:ascii="Times New Roman" w:hAnsi="Times New Roman" w:cs="Times New Roman"/>
        </w:rPr>
        <w:t>”), 5 (“f</w:t>
      </w:r>
      <w:r w:rsidRPr="002633BA">
        <w:rPr>
          <w:rFonts w:ascii="Times New Roman" w:hAnsi="Times New Roman" w:cs="Times New Roman"/>
        </w:rPr>
        <w:t>rustration with hearing loss does not interfere with my goals</w:t>
      </w:r>
      <w:r>
        <w:rPr>
          <w:rFonts w:ascii="Times New Roman" w:hAnsi="Times New Roman" w:cs="Times New Roman"/>
        </w:rPr>
        <w:t>), and 6 (“d</w:t>
      </w:r>
      <w:r w:rsidRPr="002633BA">
        <w:rPr>
          <w:rFonts w:ascii="Times New Roman" w:hAnsi="Times New Roman" w:cs="Times New Roman"/>
        </w:rPr>
        <w:t>espite negative thoughts and feelings about my hearing loss, I can still take</w:t>
      </w:r>
      <w:r>
        <w:rPr>
          <w:rFonts w:ascii="Times New Roman" w:hAnsi="Times New Roman" w:cs="Times New Roman"/>
        </w:rPr>
        <w:t xml:space="preserve"> </w:t>
      </w:r>
      <w:r w:rsidRPr="002633BA">
        <w:rPr>
          <w:rFonts w:ascii="Times New Roman" w:hAnsi="Times New Roman" w:cs="Times New Roman"/>
        </w:rPr>
        <w:t>care of my responsibilities</w:t>
      </w:r>
      <w:r>
        <w:rPr>
          <w:rFonts w:ascii="Times New Roman" w:hAnsi="Times New Roman" w:cs="Times New Roman"/>
        </w:rPr>
        <w:t xml:space="preserve">”). Importantly, these </w:t>
      </w:r>
      <w:r w:rsidRPr="00CF694D">
        <w:rPr>
          <w:rFonts w:ascii="Times New Roman" w:hAnsi="Times New Roman" w:cs="Times New Roman"/>
        </w:rPr>
        <w:t xml:space="preserve">items </w:t>
      </w:r>
      <w:r>
        <w:rPr>
          <w:rFonts w:ascii="Times New Roman" w:hAnsi="Times New Roman" w:cs="Times New Roman"/>
        </w:rPr>
        <w:t>were</w:t>
      </w:r>
      <w:r w:rsidRPr="00CF694D">
        <w:rPr>
          <w:rFonts w:ascii="Times New Roman" w:hAnsi="Times New Roman" w:cs="Times New Roman"/>
        </w:rPr>
        <w:t xml:space="preserve"> reverse code</w:t>
      </w:r>
      <w:r>
        <w:rPr>
          <w:rFonts w:ascii="Times New Roman" w:hAnsi="Times New Roman" w:cs="Times New Roman"/>
        </w:rPr>
        <w:t>d and may have information in common that they do not share with the other items</w:t>
      </w:r>
      <w:r w:rsidRPr="00CF694D">
        <w:rPr>
          <w:rFonts w:ascii="Times New Roman" w:hAnsi="Times New Roman" w:cs="Times New Roman"/>
        </w:rPr>
        <w:t>.</w:t>
      </w:r>
      <w:r>
        <w:rPr>
          <w:rFonts w:ascii="Times New Roman" w:hAnsi="Times New Roman" w:cs="Times New Roman"/>
        </w:rPr>
        <w:t xml:space="preserve"> The modification indices for these proposed parameters ranged from 39.6 to 10.6.</w:t>
      </w:r>
    </w:p>
    <w:p w14:paraId="40B4C2A5" w14:textId="7285C560" w:rsidR="00B4295F" w:rsidRDefault="00B4295F" w:rsidP="006964E8">
      <w:pPr>
        <w:spacing w:line="480" w:lineRule="auto"/>
        <w:ind w:firstLine="720"/>
        <w:rPr>
          <w:rFonts w:ascii="Times New Roman" w:eastAsiaTheme="minorEastAsia" w:hAnsi="Times New Roman" w:cs="Times New Roman"/>
          <w:noProof/>
        </w:rPr>
      </w:pPr>
      <w:r>
        <w:rPr>
          <w:rFonts w:ascii="Times New Roman" w:hAnsi="Times New Roman" w:cs="Times New Roman"/>
        </w:rPr>
        <w:t>As such, for model 2, correlated residuals were allowed between items 1 and 2, 1 and 5, 1 and 6, 2 and 6, and 5 and 6. This new model provided a better fit (</w:t>
      </w:r>
      <m:oMath>
        <m:sSup>
          <m:sSupPr>
            <m:ctrlPr>
              <w:rPr>
                <w:rFonts w:ascii="Cambria Math" w:hAnsi="Cambria Math" w:cs="Times New Roman"/>
                <w:i/>
                <w:iCs/>
              </w:rPr>
            </m:ctrlPr>
          </m:sSupPr>
          <m:e>
            <m:r>
              <w:rPr>
                <w:rFonts w:ascii="Cambria Math" w:hAnsi="Cambria Math" w:cs="Times New Roman"/>
              </w:rPr>
              <m:t>χ</m:t>
            </m:r>
          </m:e>
          <m:sup>
            <m:r>
              <w:rPr>
                <w:rFonts w:ascii="Cambria Math" w:hAnsi="Cambria Math" w:cs="Times New Roman"/>
              </w:rPr>
              <m:t>2</m:t>
            </m:r>
          </m:sup>
        </m:sSup>
      </m:oMath>
      <w:r>
        <w:rPr>
          <w:rFonts w:ascii="Times New Roman" w:hAnsi="Times New Roman" w:cs="Times New Roman"/>
        </w:rPr>
        <w:t xml:space="preserve">/df = 2.14, p &lt; .001; RMSEA = .09, 90% CI [.07 - .11]; </w:t>
      </w:r>
      <w:r>
        <w:rPr>
          <w:rFonts w:ascii="Times New Roman" w:eastAsiaTheme="minorEastAsia" w:hAnsi="Times New Roman" w:cs="Times New Roman"/>
        </w:rPr>
        <w:t>SRMR</w:t>
      </w:r>
      <w:r>
        <w:rPr>
          <w:rFonts w:ascii="Times New Roman" w:eastAsiaTheme="minorEastAsia" w:hAnsi="Times New Roman" w:cs="Times New Roman"/>
          <w:noProof/>
        </w:rPr>
        <w:t xml:space="preserve"> = .07; CFI = .88) with all standardized loadings (.24 - .76) having a significant p-value (</w:t>
      </w:r>
      <w:r w:rsidRPr="00CB3346">
        <w:rPr>
          <w:rFonts w:ascii="Times New Roman" w:eastAsiaTheme="minorEastAsia" w:hAnsi="Times New Roman" w:cs="Times New Roman"/>
          <w:i/>
          <w:iCs/>
          <w:noProof/>
        </w:rPr>
        <w:t>p’s</w:t>
      </w:r>
      <w:r>
        <w:rPr>
          <w:rFonts w:ascii="Times New Roman" w:eastAsiaTheme="minorEastAsia" w:hAnsi="Times New Roman" w:cs="Times New Roman"/>
          <w:noProof/>
        </w:rPr>
        <w:t xml:space="preserve"> &lt; .01). With this structure, the internal reliability was high, </w:t>
      </w:r>
      <w:r>
        <w:rPr>
          <w:rFonts w:ascii="Times New Roman" w:eastAsiaTheme="minorEastAsia" w:hAnsi="Times New Roman" w:cs="Times New Roman"/>
          <w:noProof/>
        </w:rPr>
        <w:lastRenderedPageBreak/>
        <w:t xml:space="preserve">with the composite reliability equal to .86. These results represent an acceptable fit, thereby suggesting that the measure (and this measurement model) are appropriate to use among DHH individuals who use hearing aids. These results further suggest that the items load well with a single latent factor, thus supporting unidimensionality. Results and the structure of this measurement model is shown in Figure 1. This final CFA model was then used for the convergent and discriminant validity. </w:t>
      </w:r>
    </w:p>
    <w:p w14:paraId="719C1280" w14:textId="77777777" w:rsidR="00B4295F" w:rsidRPr="0029197A" w:rsidRDefault="00B4295F" w:rsidP="008F0208">
      <w:pPr>
        <w:spacing w:line="480" w:lineRule="auto"/>
        <w:rPr>
          <w:rFonts w:ascii="Times New Roman" w:eastAsiaTheme="minorEastAsia" w:hAnsi="Times New Roman" w:cs="Times New Roman"/>
          <w:b/>
          <w:bCs/>
          <w:i/>
          <w:iCs/>
          <w:noProof/>
        </w:rPr>
      </w:pPr>
      <w:r w:rsidRPr="00FC6051">
        <w:rPr>
          <w:rFonts w:ascii="Times New Roman" w:hAnsi="Times New Roman" w:cs="Times New Roman"/>
          <w:b/>
          <w:bCs/>
          <w:i/>
          <w:iCs/>
        </w:rPr>
        <w:t>Convergent</w:t>
      </w:r>
      <w:r>
        <w:rPr>
          <w:rFonts w:ascii="Times New Roman" w:eastAsiaTheme="minorEastAsia" w:hAnsi="Times New Roman" w:cs="Times New Roman"/>
          <w:b/>
          <w:bCs/>
          <w:i/>
          <w:iCs/>
          <w:noProof/>
        </w:rPr>
        <w:t xml:space="preserve"> and Discriminant</w:t>
      </w:r>
      <w:r w:rsidRPr="0029197A">
        <w:rPr>
          <w:rFonts w:ascii="Times New Roman" w:eastAsiaTheme="minorEastAsia" w:hAnsi="Times New Roman" w:cs="Times New Roman"/>
          <w:b/>
          <w:bCs/>
          <w:i/>
          <w:iCs/>
          <w:noProof/>
        </w:rPr>
        <w:t xml:space="preserve"> Validity </w:t>
      </w:r>
    </w:p>
    <w:p w14:paraId="0B7E9B2F" w14:textId="77777777" w:rsidR="00B4295F" w:rsidRDefault="00B4295F" w:rsidP="005332BB">
      <w:pPr>
        <w:spacing w:line="480" w:lineRule="auto"/>
        <w:ind w:left="720" w:hanging="720"/>
        <w:rPr>
          <w:rFonts w:ascii="Times New Roman" w:eastAsiaTheme="minorEastAsia" w:hAnsi="Times New Roman" w:cs="Times New Roman"/>
          <w:noProof/>
        </w:rPr>
      </w:pPr>
      <w:r>
        <w:rPr>
          <w:rFonts w:ascii="Times New Roman" w:eastAsiaTheme="minorEastAsia" w:hAnsi="Times New Roman" w:cs="Times New Roman"/>
          <w:noProof/>
        </w:rPr>
        <w:tab/>
        <w:t xml:space="preserve">To determine the convergent validity of the AAQ-AHL, structural equation models were </w:t>
      </w:r>
    </w:p>
    <w:p w14:paraId="13141618" w14:textId="77777777" w:rsidR="00B4295F" w:rsidRDefault="00B4295F" w:rsidP="0036218B">
      <w:pPr>
        <w:spacing w:line="480" w:lineRule="auto"/>
        <w:ind w:left="720" w:hanging="720"/>
        <w:rPr>
          <w:rFonts w:ascii="Times New Roman" w:eastAsiaTheme="minorEastAsia" w:hAnsi="Times New Roman" w:cs="Times New Roman"/>
          <w:noProof/>
        </w:rPr>
      </w:pPr>
      <w:r>
        <w:rPr>
          <w:rFonts w:ascii="Times New Roman" w:eastAsiaTheme="minorEastAsia" w:hAnsi="Times New Roman" w:cs="Times New Roman"/>
          <w:noProof/>
        </w:rPr>
        <w:t xml:space="preserve">built with other measures of psychological inflexbility (AAQ-II and MPFI-Inflexibility) and </w:t>
      </w:r>
    </w:p>
    <w:p w14:paraId="04A05D28" w14:textId="77777777" w:rsidR="00B4295F" w:rsidRPr="0036218B" w:rsidRDefault="00B4295F" w:rsidP="0036218B">
      <w:pPr>
        <w:spacing w:line="480" w:lineRule="auto"/>
        <w:ind w:left="720" w:hanging="720"/>
        <w:rPr>
          <w:rFonts w:ascii="Times New Roman" w:eastAsiaTheme="minorEastAsia" w:hAnsi="Times New Roman" w:cs="Times New Roman"/>
          <w:noProof/>
        </w:rPr>
      </w:pPr>
      <w:r>
        <w:rPr>
          <w:rFonts w:ascii="Times New Roman" w:eastAsiaTheme="minorEastAsia" w:hAnsi="Times New Roman" w:cs="Times New Roman"/>
          <w:noProof/>
        </w:rPr>
        <w:t xml:space="preserve">hearing aid </w:t>
      </w:r>
      <w:r>
        <w:rPr>
          <w:rFonts w:ascii="Times New Roman" w:hAnsi="Times New Roman" w:cs="Times New Roman"/>
        </w:rPr>
        <w:t xml:space="preserve">efficacy </w:t>
      </w:r>
      <w:r>
        <w:rPr>
          <w:rFonts w:ascii="Times New Roman" w:eastAsiaTheme="minorEastAsia" w:hAnsi="Times New Roman" w:cs="Times New Roman"/>
          <w:noProof/>
        </w:rPr>
        <w:t>measures (</w:t>
      </w:r>
      <w:r w:rsidRPr="00895BFD">
        <w:rPr>
          <w:rFonts w:ascii="Times New Roman" w:hAnsi="Times New Roman" w:cs="Times New Roman"/>
          <w:noProof/>
        </w:rPr>
        <w:t>IOI-HA</w:t>
      </w:r>
      <w:r>
        <w:rPr>
          <w:rFonts w:ascii="Times New Roman" w:hAnsi="Times New Roman" w:cs="Times New Roman"/>
          <w:noProof/>
        </w:rPr>
        <w:t xml:space="preserve"> and </w:t>
      </w:r>
      <w:r w:rsidRPr="00895BFD">
        <w:rPr>
          <w:rFonts w:ascii="Times New Roman" w:hAnsi="Times New Roman" w:cs="Times New Roman"/>
          <w:noProof/>
        </w:rPr>
        <w:t>MARS-HA</w:t>
      </w:r>
      <w:r>
        <w:rPr>
          <w:rFonts w:ascii="Times New Roman" w:hAnsi="Times New Roman" w:cs="Times New Roman"/>
          <w:noProof/>
        </w:rPr>
        <w:t xml:space="preserve">). As hypothesized, the AAQ-AHL was </w:t>
      </w:r>
    </w:p>
    <w:p w14:paraId="1722711F" w14:textId="77777777" w:rsidR="00B4295F" w:rsidRDefault="00B4295F" w:rsidP="00FC6051">
      <w:pPr>
        <w:spacing w:line="480" w:lineRule="auto"/>
        <w:ind w:left="720" w:hanging="720"/>
        <w:rPr>
          <w:rFonts w:ascii="Times New Roman" w:hAnsi="Times New Roman" w:cs="Times New Roman"/>
          <w:noProof/>
        </w:rPr>
      </w:pPr>
      <w:r>
        <w:rPr>
          <w:rFonts w:ascii="Times New Roman" w:hAnsi="Times New Roman" w:cs="Times New Roman"/>
          <w:noProof/>
        </w:rPr>
        <w:t xml:space="preserve">associated with each measure except the MPFI-Inflexibility. The AAQ-AHL was significantly </w:t>
      </w:r>
    </w:p>
    <w:p w14:paraId="1F5A5E79" w14:textId="2D797493" w:rsidR="00B4295F" w:rsidRPr="00CC1771" w:rsidRDefault="00B4295F" w:rsidP="00006149">
      <w:pPr>
        <w:spacing w:line="480" w:lineRule="auto"/>
        <w:rPr>
          <w:rFonts w:ascii="Times New Roman" w:hAnsi="Times New Roman" w:cs="Times New Roman"/>
        </w:rPr>
      </w:pPr>
      <w:r>
        <w:rPr>
          <w:rFonts w:ascii="Times New Roman" w:hAnsi="Times New Roman" w:cs="Times New Roman"/>
          <w:noProof/>
        </w:rPr>
        <w:t>associated with the AAQ-II (p &lt; .001) but not the MPFI-Inflexiblity (p = .051),</w:t>
      </w:r>
      <w:r>
        <w:rPr>
          <w:rFonts w:ascii="Times New Roman" w:eastAsiaTheme="minorEastAsia" w:hAnsi="Times New Roman" w:cs="Times New Roman"/>
          <w:noProof/>
        </w:rPr>
        <w:t xml:space="preserve"> with each showing</w:t>
      </w:r>
      <w:r>
        <w:rPr>
          <w:rFonts w:ascii="Times New Roman" w:hAnsi="Times New Roman" w:cs="Times New Roman"/>
          <w:noProof/>
        </w:rPr>
        <w:t xml:space="preserve"> standardized coefficients of </w:t>
      </w:r>
      <w:r>
        <w:rPr>
          <w:rFonts w:ascii="Times New Roman" w:hAnsi="Times New Roman" w:cs="Times New Roman"/>
        </w:rPr>
        <w:t>.71.</w:t>
      </w:r>
      <w:r>
        <w:rPr>
          <w:rFonts w:ascii="Times New Roman" w:eastAsiaTheme="minorEastAsia" w:hAnsi="Times New Roman" w:cs="Times New Roman"/>
          <w:noProof/>
        </w:rPr>
        <w:t xml:space="preserve"> The AAQ-AHL was </w:t>
      </w:r>
      <w:r>
        <w:rPr>
          <w:rFonts w:ascii="Times New Roman" w:hAnsi="Times New Roman" w:cs="Times New Roman"/>
        </w:rPr>
        <w:t>significantly (</w:t>
      </w:r>
      <w:r w:rsidRPr="00CB3346">
        <w:rPr>
          <w:rFonts w:ascii="Times New Roman" w:eastAsiaTheme="minorEastAsia" w:hAnsi="Times New Roman" w:cs="Times New Roman"/>
          <w:i/>
          <w:iCs/>
          <w:noProof/>
        </w:rPr>
        <w:t>p’s</w:t>
      </w:r>
      <w:r>
        <w:rPr>
          <w:rFonts w:ascii="Times New Roman" w:eastAsiaTheme="minorEastAsia" w:hAnsi="Times New Roman" w:cs="Times New Roman"/>
          <w:noProof/>
        </w:rPr>
        <w:t xml:space="preserve"> &lt; .005) associated with </w:t>
      </w:r>
      <w:r>
        <w:rPr>
          <w:rFonts w:ascii="Times New Roman" w:hAnsi="Times New Roman" w:cs="Times New Roman"/>
        </w:rPr>
        <w:t xml:space="preserve">MARS-HA and IOI-HA, with standardized coefficients of -.47 and -.43, respectively. These results demonstrate that the AAQ-AHL is closely associated with psychological </w:t>
      </w:r>
      <w:r w:rsidR="007B0E74">
        <w:rPr>
          <w:rFonts w:ascii="Times New Roman" w:hAnsi="Times New Roman" w:cs="Times New Roman"/>
        </w:rPr>
        <w:t>inflexibility</w:t>
      </w:r>
      <w:r>
        <w:rPr>
          <w:rFonts w:ascii="Times New Roman" w:hAnsi="Times New Roman" w:cs="Times New Roman"/>
        </w:rPr>
        <w:t xml:space="preserve"> and hearing aid efficacy. The structural equation model included both gender and hearing aid severity to test for discriminant validity. In opposition with our prediction, gender was significantly (</w:t>
      </w:r>
      <w:r w:rsidRPr="00CB3346">
        <w:rPr>
          <w:rFonts w:ascii="Times New Roman" w:eastAsiaTheme="minorEastAsia" w:hAnsi="Times New Roman" w:cs="Times New Roman"/>
          <w:i/>
          <w:iCs/>
          <w:noProof/>
        </w:rPr>
        <w:t>p</w:t>
      </w:r>
      <w:r>
        <w:rPr>
          <w:rFonts w:ascii="Times New Roman" w:eastAsiaTheme="minorEastAsia" w:hAnsi="Times New Roman" w:cs="Times New Roman"/>
          <w:noProof/>
        </w:rPr>
        <w:t xml:space="preserve"> = .03)</w:t>
      </w:r>
      <w:r>
        <w:rPr>
          <w:rFonts w:ascii="Times New Roman" w:hAnsi="Times New Roman" w:cs="Times New Roman"/>
        </w:rPr>
        <w:t xml:space="preserve"> associated with the AAQ-AHL. However, hearing loss severity was not significantly (</w:t>
      </w:r>
      <w:r w:rsidRPr="00CB3346">
        <w:rPr>
          <w:rFonts w:ascii="Times New Roman" w:eastAsiaTheme="minorEastAsia" w:hAnsi="Times New Roman" w:cs="Times New Roman"/>
          <w:i/>
          <w:iCs/>
          <w:noProof/>
        </w:rPr>
        <w:t>p</w:t>
      </w:r>
      <w:r>
        <w:rPr>
          <w:rFonts w:ascii="Times New Roman" w:eastAsiaTheme="minorEastAsia" w:hAnsi="Times New Roman" w:cs="Times New Roman"/>
          <w:noProof/>
        </w:rPr>
        <w:t xml:space="preserve"> = .40) </w:t>
      </w:r>
      <w:r>
        <w:rPr>
          <w:rFonts w:ascii="Times New Roman" w:hAnsi="Times New Roman" w:cs="Times New Roman"/>
        </w:rPr>
        <w:t xml:space="preserve">linked to the AAQ-AHL which was consistent with our prediction. That is, outcomes on the AAQ-AHL are significantly related to gender but not hearing loss severity. Results of this model </w:t>
      </w:r>
      <w:r w:rsidR="002D3E3C">
        <w:rPr>
          <w:rFonts w:ascii="Times New Roman" w:hAnsi="Times New Roman" w:cs="Times New Roman"/>
        </w:rPr>
        <w:t>are</w:t>
      </w:r>
      <w:r>
        <w:rPr>
          <w:rFonts w:ascii="Times New Roman" w:hAnsi="Times New Roman" w:cs="Times New Roman"/>
        </w:rPr>
        <w:t xml:space="preserve"> shown in Table 2.</w:t>
      </w:r>
    </w:p>
    <w:p w14:paraId="68E701E0" w14:textId="77777777" w:rsidR="00B4295F" w:rsidRDefault="00B4295F" w:rsidP="008A7613">
      <w:pPr>
        <w:spacing w:line="480" w:lineRule="auto"/>
        <w:jc w:val="center"/>
        <w:rPr>
          <w:rFonts w:ascii="Times New Roman" w:hAnsi="Times New Roman" w:cs="Times New Roman"/>
          <w:b/>
          <w:bCs/>
        </w:rPr>
      </w:pPr>
      <w:r w:rsidRPr="00895BFD">
        <w:rPr>
          <w:rFonts w:ascii="Times New Roman" w:hAnsi="Times New Roman" w:cs="Times New Roman"/>
          <w:b/>
          <w:bCs/>
        </w:rPr>
        <w:t>Discussion</w:t>
      </w:r>
    </w:p>
    <w:p w14:paraId="013FD7E1" w14:textId="1C0485D5" w:rsidR="00B4295F" w:rsidRDefault="00B4295F" w:rsidP="00F94EB4">
      <w:pPr>
        <w:spacing w:line="480" w:lineRule="auto"/>
        <w:rPr>
          <w:rFonts w:ascii="Times New Roman" w:hAnsi="Times New Roman" w:cs="Times New Roman"/>
        </w:rPr>
      </w:pPr>
      <w:r w:rsidRPr="00EE27BE">
        <w:rPr>
          <w:rFonts w:ascii="Times New Roman" w:hAnsi="Times New Roman" w:cs="Times New Roman"/>
        </w:rPr>
        <w:lastRenderedPageBreak/>
        <w:tab/>
      </w:r>
      <w:r>
        <w:rPr>
          <w:rFonts w:ascii="Times New Roman" w:hAnsi="Times New Roman" w:cs="Times New Roman"/>
        </w:rPr>
        <w:t xml:space="preserve">The current study used CFA to test the single latent structure of the AAQ-AHL among adults who are DHH and use a hearing aid. Additional analysis explored the precision to which the measure covers psychological </w:t>
      </w:r>
      <w:r w:rsidR="007B0E74">
        <w:rPr>
          <w:rFonts w:ascii="Times New Roman" w:hAnsi="Times New Roman" w:cs="Times New Roman"/>
        </w:rPr>
        <w:t>inflexibility</w:t>
      </w:r>
      <w:r>
        <w:rPr>
          <w:rFonts w:ascii="Times New Roman" w:hAnsi="Times New Roman" w:cs="Times New Roman"/>
        </w:rPr>
        <w:t xml:space="preserve"> as it relates to hearing loss among adults and the degree to which the measure doesn’t equate to other unrelated constructs. The psychometric properties of the AAQ-AHL indicated a single latent factor structure, along with significant convergent and </w:t>
      </w:r>
      <w:r w:rsidR="006A7602">
        <w:rPr>
          <w:rFonts w:ascii="Times New Roman" w:hAnsi="Times New Roman" w:cs="Times New Roman"/>
        </w:rPr>
        <w:t>discriminant</w:t>
      </w:r>
      <w:r>
        <w:rPr>
          <w:rFonts w:ascii="Times New Roman" w:hAnsi="Times New Roman" w:cs="Times New Roman"/>
        </w:rPr>
        <w:t xml:space="preserve"> validity findings. The AAQ-II and other </w:t>
      </w:r>
      <w:r>
        <w:rPr>
          <w:rFonts w:ascii="Times New Roman" w:eastAsiaTheme="minorEastAsia" w:hAnsi="Times New Roman" w:cs="Times New Roman"/>
          <w:noProof/>
        </w:rPr>
        <w:t xml:space="preserve">hearing aid </w:t>
      </w:r>
      <w:r>
        <w:rPr>
          <w:rFonts w:ascii="Times New Roman" w:hAnsi="Times New Roman" w:cs="Times New Roman"/>
        </w:rPr>
        <w:t xml:space="preserve">efficacy </w:t>
      </w:r>
      <w:r>
        <w:rPr>
          <w:rFonts w:ascii="Times New Roman" w:eastAsiaTheme="minorEastAsia" w:hAnsi="Times New Roman" w:cs="Times New Roman"/>
          <w:noProof/>
        </w:rPr>
        <w:t xml:space="preserve">measures were significantly related to the AAQ-AHL, while hearing loss severity was not significantly related to the AAQ-AHL; these results were expected. Gender and MPFI-Inflexibility having significant and non-significant correlations, respectively, to the AAQ-AHL were the only outcomes that were not in line with our prediction. </w:t>
      </w:r>
    </w:p>
    <w:p w14:paraId="09497CA0" w14:textId="5BD414D6" w:rsidR="00B4295F" w:rsidRDefault="00B4295F" w:rsidP="00EE27BE">
      <w:pPr>
        <w:spacing w:line="480" w:lineRule="auto"/>
        <w:rPr>
          <w:rFonts w:ascii="Times New Roman" w:hAnsi="Times New Roman" w:cs="Times New Roman"/>
        </w:rPr>
      </w:pPr>
      <w:r w:rsidRPr="00EE27BE">
        <w:rPr>
          <w:rFonts w:ascii="Times New Roman" w:hAnsi="Times New Roman" w:cs="Times New Roman"/>
        </w:rPr>
        <w:tab/>
      </w:r>
      <w:r>
        <w:rPr>
          <w:rFonts w:ascii="Times New Roman" w:hAnsi="Times New Roman" w:cs="Times New Roman"/>
        </w:rPr>
        <w:t xml:space="preserve">Considering Ong and colleagues </w:t>
      </w:r>
      <w:r>
        <w:rPr>
          <w:rFonts w:ascii="Times New Roman" w:hAnsi="Times New Roman" w:cs="Times New Roman"/>
          <w:noProof/>
        </w:rPr>
        <w:t>(2019)</w:t>
      </w:r>
      <w:r>
        <w:rPr>
          <w:rFonts w:ascii="Times New Roman" w:hAnsi="Times New Roman" w:cs="Times New Roman"/>
        </w:rPr>
        <w:t xml:space="preserve"> used exploratory factor analysis – </w:t>
      </w:r>
      <w:r w:rsidR="007B0E74">
        <w:rPr>
          <w:rFonts w:ascii="Times New Roman" w:hAnsi="Times New Roman" w:cs="Times New Roman"/>
        </w:rPr>
        <w:t>determining</w:t>
      </w:r>
      <w:r>
        <w:rPr>
          <w:rFonts w:ascii="Times New Roman" w:hAnsi="Times New Roman" w:cs="Times New Roman"/>
        </w:rPr>
        <w:t xml:space="preserve"> constructs within a set of measured variables – in the </w:t>
      </w:r>
      <w:r w:rsidR="007B0E74">
        <w:rPr>
          <w:rFonts w:ascii="Times New Roman" w:hAnsi="Times New Roman" w:cs="Times New Roman"/>
        </w:rPr>
        <w:t>initial</w:t>
      </w:r>
      <w:r>
        <w:rPr>
          <w:rFonts w:ascii="Times New Roman" w:hAnsi="Times New Roman" w:cs="Times New Roman"/>
        </w:rPr>
        <w:t xml:space="preserve"> creation of the AAQ-AHL, the primary objective of this study was to confirm the previous findings of a single latent structure. Two models were used to confirm a single latent structure that was explored in the </w:t>
      </w:r>
      <w:r w:rsidR="007B0E74">
        <w:rPr>
          <w:rFonts w:ascii="Times New Roman" w:hAnsi="Times New Roman" w:cs="Times New Roman"/>
        </w:rPr>
        <w:t>initial</w:t>
      </w:r>
      <w:r>
        <w:rPr>
          <w:rFonts w:ascii="Times New Roman" w:hAnsi="Times New Roman" w:cs="Times New Roman"/>
        </w:rPr>
        <w:t xml:space="preserve"> creation of the measure </w:t>
      </w:r>
      <w:r>
        <w:rPr>
          <w:rFonts w:ascii="Times New Roman" w:hAnsi="Times New Roman" w:cs="Times New Roman"/>
          <w:noProof/>
        </w:rPr>
        <w:t>(Ong et al., 2019)</w:t>
      </w:r>
      <w:r>
        <w:rPr>
          <w:rFonts w:ascii="Times New Roman" w:hAnsi="Times New Roman" w:cs="Times New Roman"/>
        </w:rPr>
        <w:t xml:space="preserve">. Residuals between items 1, 2, 5, and 6 being present was one difference between our results and those of Ong and colleagues </w:t>
      </w:r>
      <w:r>
        <w:rPr>
          <w:rFonts w:ascii="Times New Roman" w:hAnsi="Times New Roman" w:cs="Times New Roman"/>
          <w:noProof/>
        </w:rPr>
        <w:t>(2019)</w:t>
      </w:r>
      <w:r>
        <w:rPr>
          <w:rFonts w:ascii="Times New Roman" w:hAnsi="Times New Roman" w:cs="Times New Roman"/>
        </w:rPr>
        <w:t xml:space="preserve">. This could be </w:t>
      </w:r>
      <w:r w:rsidR="007B0E74">
        <w:rPr>
          <w:rFonts w:ascii="Times New Roman" w:hAnsi="Times New Roman" w:cs="Times New Roman"/>
        </w:rPr>
        <w:t>primarily</w:t>
      </w:r>
      <w:r>
        <w:rPr>
          <w:rFonts w:ascii="Times New Roman" w:hAnsi="Times New Roman" w:cs="Times New Roman"/>
        </w:rPr>
        <w:t xml:space="preserve"> due to the sample used. Ong and colleagues </w:t>
      </w:r>
      <w:r>
        <w:rPr>
          <w:rFonts w:ascii="Times New Roman" w:hAnsi="Times New Roman" w:cs="Times New Roman"/>
          <w:noProof/>
        </w:rPr>
        <w:t>(2019)</w:t>
      </w:r>
      <w:r>
        <w:rPr>
          <w:rFonts w:ascii="Times New Roman" w:hAnsi="Times New Roman" w:cs="Times New Roman"/>
        </w:rPr>
        <w:t xml:space="preserve"> used exploratory factor analysis among adults with a </w:t>
      </w:r>
      <w:r w:rsidR="007B0E74">
        <w:rPr>
          <w:rFonts w:ascii="Times New Roman" w:hAnsi="Times New Roman" w:cs="Times New Roman"/>
        </w:rPr>
        <w:t>diagnosed</w:t>
      </w:r>
      <w:r>
        <w:rPr>
          <w:rFonts w:ascii="Times New Roman" w:hAnsi="Times New Roman" w:cs="Times New Roman"/>
        </w:rPr>
        <w:t xml:space="preserve"> hearing loss in either ear, while the use of a hearing aid was an </w:t>
      </w:r>
      <w:r w:rsidR="007B0E74">
        <w:rPr>
          <w:rFonts w:ascii="Times New Roman" w:hAnsi="Times New Roman" w:cs="Times New Roman"/>
        </w:rPr>
        <w:t>additional inclusion criterion</w:t>
      </w:r>
      <w:r>
        <w:rPr>
          <w:rFonts w:ascii="Times New Roman" w:hAnsi="Times New Roman" w:cs="Times New Roman"/>
        </w:rPr>
        <w:t xml:space="preserve"> used for the current study. No data were offered on the percentage of sampled adults who use hearing aids from Ong and colleagues </w:t>
      </w:r>
      <w:r>
        <w:rPr>
          <w:rFonts w:ascii="Times New Roman" w:hAnsi="Times New Roman" w:cs="Times New Roman"/>
          <w:noProof/>
        </w:rPr>
        <w:t>(2019)</w:t>
      </w:r>
      <w:r>
        <w:rPr>
          <w:rFonts w:ascii="Times New Roman" w:hAnsi="Times New Roman" w:cs="Times New Roman"/>
        </w:rPr>
        <w:t>. Use of a hearing aid</w:t>
      </w:r>
      <w:r w:rsidRPr="004C3223">
        <w:rPr>
          <w:rFonts w:ascii="Times New Roman" w:hAnsi="Times New Roman" w:cs="Times New Roman"/>
        </w:rPr>
        <w:t xml:space="preserve"> </w:t>
      </w:r>
      <w:r>
        <w:rPr>
          <w:rFonts w:ascii="Times New Roman" w:hAnsi="Times New Roman" w:cs="Times New Roman"/>
        </w:rPr>
        <w:t xml:space="preserve">can assist in quality of life </w:t>
      </w:r>
      <w:r>
        <w:rPr>
          <w:rFonts w:ascii="Times New Roman" w:hAnsi="Times New Roman" w:cs="Times New Roman"/>
          <w:noProof/>
        </w:rPr>
        <w:t xml:space="preserve">(Chisolm et al., 2007), thus </w:t>
      </w:r>
      <w:r>
        <w:rPr>
          <w:rFonts w:ascii="Times New Roman" w:hAnsi="Times New Roman" w:cs="Times New Roman"/>
        </w:rPr>
        <w:t xml:space="preserve">the differences in sample specificity could explain why the residuals were all concerning the execution of personal duties </w:t>
      </w:r>
      <w:r w:rsidRPr="00CF694D">
        <w:rPr>
          <w:rFonts w:ascii="Times New Roman" w:hAnsi="Times New Roman" w:cs="Times New Roman"/>
        </w:rPr>
        <w:t xml:space="preserve">(e.g., goals, responsibilities, life) while living with negative </w:t>
      </w:r>
      <w:r>
        <w:rPr>
          <w:rFonts w:ascii="Times New Roman" w:hAnsi="Times New Roman" w:cs="Times New Roman"/>
        </w:rPr>
        <w:t>inner</w:t>
      </w:r>
      <w:r w:rsidRPr="00CF694D">
        <w:rPr>
          <w:rFonts w:ascii="Times New Roman" w:hAnsi="Times New Roman" w:cs="Times New Roman"/>
        </w:rPr>
        <w:t xml:space="preserve"> experiences related to hearing loss</w:t>
      </w:r>
      <w:r>
        <w:rPr>
          <w:rFonts w:ascii="Times New Roman" w:hAnsi="Times New Roman" w:cs="Times New Roman"/>
        </w:rPr>
        <w:t xml:space="preserve">. Having </w:t>
      </w:r>
      <w:r>
        <w:rPr>
          <w:rFonts w:ascii="Times New Roman" w:hAnsi="Times New Roman" w:cs="Times New Roman"/>
        </w:rPr>
        <w:lastRenderedPageBreak/>
        <w:t xml:space="preserve">a greater understanding of the AAQ-AHL by confirming the observed variables being related to the </w:t>
      </w:r>
      <w:r w:rsidR="002D3E3C">
        <w:rPr>
          <w:rFonts w:ascii="Times New Roman" w:hAnsi="Times New Roman" w:cs="Times New Roman"/>
        </w:rPr>
        <w:t xml:space="preserve">underlying </w:t>
      </w:r>
      <w:r>
        <w:rPr>
          <w:rFonts w:ascii="Times New Roman" w:hAnsi="Times New Roman" w:cs="Times New Roman"/>
        </w:rPr>
        <w:t xml:space="preserve">construct among a particular sample only build on the results provided by Ong and colleagues </w:t>
      </w:r>
      <w:r>
        <w:rPr>
          <w:rFonts w:ascii="Times New Roman" w:hAnsi="Times New Roman" w:cs="Times New Roman"/>
          <w:noProof/>
        </w:rPr>
        <w:t>(2019)</w:t>
      </w:r>
      <w:r>
        <w:rPr>
          <w:rFonts w:ascii="Times New Roman" w:hAnsi="Times New Roman" w:cs="Times New Roman"/>
        </w:rPr>
        <w:t xml:space="preserve">. Accordingly, this measure is suitable to utilize among people who were </w:t>
      </w:r>
      <w:r w:rsidR="007B0E74">
        <w:rPr>
          <w:rFonts w:ascii="Times New Roman" w:hAnsi="Times New Roman" w:cs="Times New Roman"/>
        </w:rPr>
        <w:t>diagnosed</w:t>
      </w:r>
      <w:r>
        <w:rPr>
          <w:rFonts w:ascii="Times New Roman" w:hAnsi="Times New Roman" w:cs="Times New Roman"/>
        </w:rPr>
        <w:t xml:space="preserve"> with hearing loss and use a hearing aid.    </w:t>
      </w:r>
    </w:p>
    <w:p w14:paraId="633ECE35" w14:textId="7C71A123" w:rsidR="00B4295F" w:rsidRPr="00DA09C0" w:rsidRDefault="00B4295F" w:rsidP="00DA09C0">
      <w:pPr>
        <w:spacing w:line="480" w:lineRule="auto"/>
        <w:rPr>
          <w:rFonts w:ascii="Times New Roman" w:hAnsi="Times New Roman" w:cs="Times New Roman"/>
          <w:i/>
          <w:iCs/>
        </w:rPr>
      </w:pPr>
      <w:r>
        <w:rPr>
          <w:rFonts w:ascii="Times New Roman" w:hAnsi="Times New Roman" w:cs="Times New Roman"/>
        </w:rPr>
        <w:tab/>
        <w:t xml:space="preserve">Regarding convergent validity, significant </w:t>
      </w:r>
      <w:r w:rsidR="007B0E74">
        <w:rPr>
          <w:rFonts w:ascii="Times New Roman" w:hAnsi="Times New Roman" w:cs="Times New Roman"/>
        </w:rPr>
        <w:t>correlations</w:t>
      </w:r>
      <w:r>
        <w:rPr>
          <w:rFonts w:ascii="Times New Roman" w:hAnsi="Times New Roman" w:cs="Times New Roman"/>
        </w:rPr>
        <w:t xml:space="preserve"> to the AAQ-II, IOI-HA, and MARS-HA were expected. Correlations with the AAQ-II is in line with other disorder specific AAQ variants </w:t>
      </w:r>
      <w:r>
        <w:rPr>
          <w:rFonts w:ascii="Times New Roman" w:hAnsi="Times New Roman" w:cs="Times New Roman"/>
          <w:noProof/>
        </w:rPr>
        <w:t>(e.g., Acceptance and Action Questionnaire for Trichotillomania; Houghton et al., 2014)</w:t>
      </w:r>
      <w:r>
        <w:rPr>
          <w:rFonts w:ascii="Times New Roman" w:hAnsi="Times New Roman" w:cs="Times New Roman"/>
        </w:rPr>
        <w:t xml:space="preserve"> and expand on Ong and colleagues’ </w:t>
      </w:r>
      <w:r>
        <w:rPr>
          <w:rFonts w:ascii="Times New Roman" w:hAnsi="Times New Roman" w:cs="Times New Roman"/>
          <w:noProof/>
        </w:rPr>
        <w:t>(2019)</w:t>
      </w:r>
      <w:r>
        <w:rPr>
          <w:rFonts w:ascii="Times New Roman" w:hAnsi="Times New Roman" w:cs="Times New Roman"/>
        </w:rPr>
        <w:t xml:space="preserve"> results. The p-value for the correlations to the MPFI-Inflexibility were not expected to be non-significant (p = .051). This may be due to the MPFI-</w:t>
      </w:r>
      <w:r w:rsidR="007B0E74">
        <w:rPr>
          <w:rFonts w:ascii="Times New Roman" w:hAnsi="Times New Roman" w:cs="Times New Roman"/>
        </w:rPr>
        <w:t>Inflexibility</w:t>
      </w:r>
      <w:r>
        <w:rPr>
          <w:rFonts w:ascii="Times New Roman" w:hAnsi="Times New Roman" w:cs="Times New Roman"/>
        </w:rPr>
        <w:t xml:space="preserve"> covering all constructs related to psychological </w:t>
      </w:r>
      <w:r w:rsidR="007B0E74">
        <w:rPr>
          <w:rFonts w:ascii="Times New Roman" w:hAnsi="Times New Roman" w:cs="Times New Roman"/>
        </w:rPr>
        <w:t>inflexibility</w:t>
      </w:r>
      <w:r>
        <w:rPr>
          <w:rFonts w:ascii="Times New Roman" w:hAnsi="Times New Roman" w:cs="Times New Roman"/>
        </w:rPr>
        <w:t xml:space="preserve"> (i.e., experiential avoidance, lack of content with present moment, self as content, fusion, lack of content with values, and inaction), while the AAQ-II covers experiential avoidance and items from the AAQ-AHL are </w:t>
      </w:r>
      <w:r w:rsidR="007B0E74">
        <w:rPr>
          <w:rFonts w:ascii="Times New Roman" w:hAnsi="Times New Roman" w:cs="Times New Roman"/>
        </w:rPr>
        <w:t>primarily</w:t>
      </w:r>
      <w:r>
        <w:rPr>
          <w:rFonts w:ascii="Times New Roman" w:hAnsi="Times New Roman" w:cs="Times New Roman"/>
        </w:rPr>
        <w:t xml:space="preserve"> concerned with avoiding thoughts and feelings related to hearing loss (e.g., </w:t>
      </w:r>
      <w:r w:rsidRPr="005C7C88">
        <w:rPr>
          <w:rFonts w:ascii="Times New Roman" w:hAnsi="Times New Roman" w:cs="Times New Roman"/>
          <w:i/>
          <w:iCs/>
        </w:rPr>
        <w:t>I struggle to get things done because of my frustration with hearing loss</w:t>
      </w:r>
      <w:r>
        <w:rPr>
          <w:rFonts w:ascii="Times New Roman" w:hAnsi="Times New Roman" w:cs="Times New Roman"/>
        </w:rPr>
        <w:t>). Moreover, while it is tempting to lean into a positive outcome due to a reported p-value near .05, a larger sample size could clarify the correlation between the constructs measured on the AAQ-AHL and MPFI-Inflexib</w:t>
      </w:r>
      <w:r w:rsidR="007B0E74">
        <w:rPr>
          <w:rFonts w:ascii="Times New Roman" w:hAnsi="Times New Roman" w:cs="Times New Roman"/>
        </w:rPr>
        <w:t>i</w:t>
      </w:r>
      <w:r>
        <w:rPr>
          <w:rFonts w:ascii="Times New Roman" w:hAnsi="Times New Roman" w:cs="Times New Roman"/>
        </w:rPr>
        <w:t xml:space="preserve">lity.  </w:t>
      </w:r>
    </w:p>
    <w:p w14:paraId="7B79A28D" w14:textId="5AF41C54" w:rsidR="00B4295F" w:rsidRDefault="00B4295F" w:rsidP="003A5EA2">
      <w:pPr>
        <w:spacing w:line="480" w:lineRule="auto"/>
        <w:ind w:firstLine="720"/>
        <w:rPr>
          <w:rFonts w:ascii="Times New Roman" w:hAnsi="Times New Roman" w:cs="Times New Roman"/>
        </w:rPr>
      </w:pPr>
      <w:r>
        <w:rPr>
          <w:rFonts w:ascii="Times New Roman" w:hAnsi="Times New Roman" w:cs="Times New Roman"/>
        </w:rPr>
        <w:t xml:space="preserve">As expected, non-significant correlations were found with hearing loss severity. The parent article of the AAQ-AHL </w:t>
      </w:r>
      <w:r>
        <w:rPr>
          <w:rFonts w:ascii="Times New Roman" w:hAnsi="Times New Roman" w:cs="Times New Roman"/>
          <w:noProof/>
        </w:rPr>
        <w:t>(Ong et al., 2019)</w:t>
      </w:r>
      <w:r>
        <w:rPr>
          <w:rFonts w:ascii="Times New Roman" w:hAnsi="Times New Roman" w:cs="Times New Roman"/>
        </w:rPr>
        <w:t xml:space="preserve"> only explored and found discriminant validity as it relates to physical functioning. Adding to the precision – in the form of understanding what the AAQ-AHL should not measure – assists in the overall validation of the questionnaire. Finding significant correlations to gender were not expected. As there could be </w:t>
      </w:r>
      <w:r w:rsidR="007B0E74">
        <w:rPr>
          <w:rFonts w:ascii="Times New Roman" w:hAnsi="Times New Roman" w:cs="Times New Roman"/>
        </w:rPr>
        <w:t>numerous</w:t>
      </w:r>
      <w:r>
        <w:rPr>
          <w:rFonts w:ascii="Times New Roman" w:hAnsi="Times New Roman" w:cs="Times New Roman"/>
        </w:rPr>
        <w:t xml:space="preserve"> reasons for this outcome, one main factor could be due to the underrepresented male population </w:t>
      </w:r>
      <w:r>
        <w:rPr>
          <w:rFonts w:ascii="Times New Roman" w:hAnsi="Times New Roman" w:cs="Times New Roman"/>
        </w:rPr>
        <w:lastRenderedPageBreak/>
        <w:t xml:space="preserve">within the sample. The smaller male sub-sample would mean smaller variations in answer responses would give bigger weight in the variance and thus give an unfair representation of male responses compared to female responses. </w:t>
      </w:r>
    </w:p>
    <w:p w14:paraId="045DF4E9" w14:textId="63EC2ADF" w:rsidR="00B4295F" w:rsidRDefault="00B4295F" w:rsidP="0033110A">
      <w:pPr>
        <w:spacing w:line="480" w:lineRule="auto"/>
        <w:rPr>
          <w:rFonts w:ascii="Times New Roman" w:hAnsi="Times New Roman" w:cs="Times New Roman"/>
        </w:rPr>
      </w:pPr>
      <w:r>
        <w:rPr>
          <w:rFonts w:ascii="Times New Roman" w:hAnsi="Times New Roman" w:cs="Times New Roman"/>
        </w:rPr>
        <w:tab/>
        <w:t xml:space="preserve">Like all studies, this one has limitations. One of the limitations includes the narrow diversity that was prominent among the study sample. </w:t>
      </w:r>
      <w:proofErr w:type="gramStart"/>
      <w:r w:rsidR="00226A16">
        <w:rPr>
          <w:rFonts w:ascii="Times New Roman" w:hAnsi="Times New Roman" w:cs="Times New Roman"/>
        </w:rPr>
        <w:t>A</w:t>
      </w:r>
      <w:r>
        <w:rPr>
          <w:rFonts w:ascii="Times New Roman" w:hAnsi="Times New Roman" w:cs="Times New Roman"/>
        </w:rPr>
        <w:t xml:space="preserve"> majority of</w:t>
      </w:r>
      <w:proofErr w:type="gramEnd"/>
      <w:r>
        <w:rPr>
          <w:rFonts w:ascii="Times New Roman" w:hAnsi="Times New Roman" w:cs="Times New Roman"/>
        </w:rPr>
        <w:t xml:space="preserve"> the sample </w:t>
      </w:r>
      <w:r w:rsidR="00226A16">
        <w:rPr>
          <w:rFonts w:ascii="Times New Roman" w:hAnsi="Times New Roman" w:cs="Times New Roman"/>
        </w:rPr>
        <w:t>identified as white (71%), female (</w:t>
      </w:r>
      <w:r>
        <w:rPr>
          <w:rFonts w:ascii="Times New Roman" w:hAnsi="Times New Roman" w:cs="Times New Roman"/>
        </w:rPr>
        <w:t>77%</w:t>
      </w:r>
      <w:r w:rsidR="00226A16">
        <w:rPr>
          <w:rFonts w:ascii="Times New Roman" w:hAnsi="Times New Roman" w:cs="Times New Roman"/>
        </w:rPr>
        <w:t>)</w:t>
      </w:r>
      <w:r>
        <w:rPr>
          <w:rFonts w:ascii="Times New Roman" w:hAnsi="Times New Roman" w:cs="Times New Roman"/>
        </w:rPr>
        <w:t xml:space="preserve">, </w:t>
      </w:r>
      <w:r w:rsidR="00464864">
        <w:rPr>
          <w:rFonts w:ascii="Times New Roman" w:hAnsi="Times New Roman" w:cs="Times New Roman"/>
        </w:rPr>
        <w:t>or</w:t>
      </w:r>
      <w:r>
        <w:rPr>
          <w:rFonts w:ascii="Times New Roman" w:hAnsi="Times New Roman" w:cs="Times New Roman"/>
        </w:rPr>
        <w:t xml:space="preserve"> having bilateral hearing loss</w:t>
      </w:r>
      <w:r w:rsidR="00226A16">
        <w:rPr>
          <w:rFonts w:ascii="Times New Roman" w:hAnsi="Times New Roman" w:cs="Times New Roman"/>
        </w:rPr>
        <w:t xml:space="preserve"> (71%)</w:t>
      </w:r>
      <w:r>
        <w:rPr>
          <w:rFonts w:ascii="Times New Roman" w:hAnsi="Times New Roman" w:cs="Times New Roman"/>
        </w:rPr>
        <w:t xml:space="preserve">. Determining reliability and validity of the AAQ-AHL among other genders and races is important, but it is also vital to explore these psychometric properties among those who have a unilateral hearing loss and those who use other types of amplification. Finally, this study only examined convergent </w:t>
      </w:r>
      <w:r w:rsidR="007B0E74">
        <w:rPr>
          <w:rFonts w:ascii="Times New Roman" w:hAnsi="Times New Roman" w:cs="Times New Roman"/>
        </w:rPr>
        <w:t>validity</w:t>
      </w:r>
      <w:r>
        <w:rPr>
          <w:rFonts w:ascii="Times New Roman" w:hAnsi="Times New Roman" w:cs="Times New Roman"/>
        </w:rPr>
        <w:t xml:space="preserve"> as it relates to other psychological </w:t>
      </w:r>
      <w:r w:rsidR="007B0E74">
        <w:rPr>
          <w:rFonts w:ascii="Times New Roman" w:hAnsi="Times New Roman" w:cs="Times New Roman"/>
        </w:rPr>
        <w:t>inflexibility</w:t>
      </w:r>
      <w:r>
        <w:rPr>
          <w:rFonts w:ascii="Times New Roman" w:hAnsi="Times New Roman" w:cs="Times New Roman"/>
        </w:rPr>
        <w:t xml:space="preserve"> measures rather than general and specific distress. While the AAQ-AHL is not designed to </w:t>
      </w:r>
      <w:r w:rsidR="00A41851">
        <w:rPr>
          <w:rFonts w:ascii="Times New Roman" w:hAnsi="Times New Roman" w:cs="Times New Roman"/>
        </w:rPr>
        <w:t>illuminate</w:t>
      </w:r>
      <w:r>
        <w:rPr>
          <w:rFonts w:ascii="Times New Roman" w:hAnsi="Times New Roman" w:cs="Times New Roman"/>
        </w:rPr>
        <w:t xml:space="preserve"> psychopathology among adults with hearing loss, significant correlations to other psychological distress measures would offer stronger </w:t>
      </w:r>
      <w:r w:rsidR="00D36355">
        <w:rPr>
          <w:rFonts w:ascii="Times New Roman" w:hAnsi="Times New Roman" w:cs="Times New Roman"/>
        </w:rPr>
        <w:t>convergent validity</w:t>
      </w:r>
      <w:r w:rsidR="00D36355" w:rsidDel="00D36355">
        <w:rPr>
          <w:rFonts w:ascii="Times New Roman" w:hAnsi="Times New Roman" w:cs="Times New Roman"/>
        </w:rPr>
        <w:t xml:space="preserve"> </w:t>
      </w:r>
      <w:r>
        <w:rPr>
          <w:rFonts w:ascii="Times New Roman" w:hAnsi="Times New Roman" w:cs="Times New Roman"/>
        </w:rPr>
        <w:t xml:space="preserve">since higher levels of psychological </w:t>
      </w:r>
      <w:r w:rsidR="007B0E74">
        <w:rPr>
          <w:rFonts w:ascii="Times New Roman" w:hAnsi="Times New Roman" w:cs="Times New Roman"/>
        </w:rPr>
        <w:t>inflexibility</w:t>
      </w:r>
      <w:r>
        <w:rPr>
          <w:rFonts w:ascii="Times New Roman" w:hAnsi="Times New Roman" w:cs="Times New Roman"/>
        </w:rPr>
        <w:t xml:space="preserve"> are related to other forms of psychological distress (e.g., anxiety) –</w:t>
      </w:r>
      <w:r w:rsidR="00A61956">
        <w:rPr>
          <w:rFonts w:ascii="Times New Roman" w:hAnsi="Times New Roman" w:cs="Times New Roman"/>
        </w:rPr>
        <w:t xml:space="preserve"> </w:t>
      </w:r>
      <w:proofErr w:type="gramStart"/>
      <w:r>
        <w:rPr>
          <w:rFonts w:ascii="Times New Roman" w:hAnsi="Times New Roman" w:cs="Times New Roman"/>
        </w:rPr>
        <w:t>similar to</w:t>
      </w:r>
      <w:proofErr w:type="gramEnd"/>
      <w:r>
        <w:rPr>
          <w:rFonts w:ascii="Times New Roman" w:hAnsi="Times New Roman" w:cs="Times New Roman"/>
        </w:rPr>
        <w:t xml:space="preserve"> the AAQ-II </w:t>
      </w:r>
      <w:r>
        <w:rPr>
          <w:rFonts w:ascii="Times New Roman" w:hAnsi="Times New Roman" w:cs="Times New Roman"/>
          <w:noProof/>
        </w:rPr>
        <w:t>(Bond et al., 2011)</w:t>
      </w:r>
      <w:r>
        <w:rPr>
          <w:rFonts w:ascii="Times New Roman" w:hAnsi="Times New Roman" w:cs="Times New Roman"/>
        </w:rPr>
        <w:t xml:space="preserve">. </w:t>
      </w:r>
      <w:r w:rsidR="00434F1D">
        <w:rPr>
          <w:rFonts w:ascii="Times New Roman" w:hAnsi="Times New Roman" w:cs="Times New Roman"/>
        </w:rPr>
        <w:t>Meaning</w:t>
      </w:r>
      <w:r>
        <w:rPr>
          <w:rFonts w:ascii="Times New Roman" w:hAnsi="Times New Roman" w:cs="Times New Roman"/>
        </w:rPr>
        <w:t>, correlations to other related forms of distress constructs would offer additional insight to other factors (e.g., anxiety) prominent among those who are inflexible to their inner experiences (e.g., thoughts, feelings) related to their hearing loss. Future studies should explore additional psychometric properties</w:t>
      </w:r>
      <w:r w:rsidR="00A61956">
        <w:rPr>
          <w:rFonts w:ascii="Times New Roman" w:hAnsi="Times New Roman" w:cs="Times New Roman"/>
        </w:rPr>
        <w:t xml:space="preserve"> (e.g., predictive validity, test-retest reliability)</w:t>
      </w:r>
      <w:r>
        <w:rPr>
          <w:rFonts w:ascii="Times New Roman" w:hAnsi="Times New Roman" w:cs="Times New Roman"/>
        </w:rPr>
        <w:t xml:space="preserve"> among a more diverse population and use measures that range from general to specific distress. </w:t>
      </w:r>
    </w:p>
    <w:p w14:paraId="23894186" w14:textId="70EC9C6F" w:rsidR="00B4295F" w:rsidRPr="00EE27BE" w:rsidRDefault="00B4295F" w:rsidP="00C7267C">
      <w:pPr>
        <w:spacing w:line="480" w:lineRule="auto"/>
        <w:rPr>
          <w:rFonts w:ascii="Times New Roman" w:hAnsi="Times New Roman" w:cs="Times New Roman"/>
        </w:rPr>
      </w:pPr>
      <w:r>
        <w:rPr>
          <w:rFonts w:ascii="Times New Roman" w:hAnsi="Times New Roman" w:cs="Times New Roman"/>
        </w:rPr>
        <w:tab/>
      </w:r>
      <w:r w:rsidRPr="00D01956">
        <w:rPr>
          <w:rFonts w:ascii="Times New Roman" w:hAnsi="Times New Roman" w:cs="Times New Roman"/>
        </w:rPr>
        <w:t>Overall</w:t>
      </w:r>
      <w:r>
        <w:rPr>
          <w:rFonts w:ascii="Times New Roman" w:hAnsi="Times New Roman" w:cs="Times New Roman"/>
        </w:rPr>
        <w:t xml:space="preserve">, the AAQ-AHL shows strong psychometric properties by confirming a single latent structure and providing evidence for convergent and </w:t>
      </w:r>
      <w:r w:rsidR="006A7602">
        <w:rPr>
          <w:rFonts w:ascii="Times New Roman" w:hAnsi="Times New Roman" w:cs="Times New Roman"/>
        </w:rPr>
        <w:t>discriminant</w:t>
      </w:r>
      <w:r>
        <w:rPr>
          <w:rFonts w:ascii="Times New Roman" w:hAnsi="Times New Roman" w:cs="Times New Roman"/>
        </w:rPr>
        <w:t xml:space="preserve"> validity. This further indicates the utility of this measure in a clinical setting and expand on the overall validation of the AAQ-AHL. </w:t>
      </w:r>
      <w:r w:rsidR="001E5845" w:rsidRPr="00895BFD">
        <w:rPr>
          <w:rFonts w:ascii="Times New Roman" w:hAnsi="Times New Roman" w:cs="Times New Roman"/>
        </w:rPr>
        <w:t xml:space="preserve">Clinicians would have a better </w:t>
      </w:r>
      <w:r w:rsidR="001E5845">
        <w:rPr>
          <w:rFonts w:ascii="Times New Roman" w:hAnsi="Times New Roman" w:cs="Times New Roman"/>
        </w:rPr>
        <w:t xml:space="preserve">understanding of when psychological inflexibility </w:t>
      </w:r>
      <w:r w:rsidR="001E5845">
        <w:rPr>
          <w:rFonts w:ascii="Times New Roman" w:hAnsi="Times New Roman" w:cs="Times New Roman"/>
        </w:rPr>
        <w:lastRenderedPageBreak/>
        <w:t xml:space="preserve">is interfering with engagement in the intervention process without the need to investigate other psychosocial factors (e.g., anxiety) </w:t>
      </w:r>
      <w:r w:rsidR="001E5845" w:rsidRPr="00330CF1">
        <w:rPr>
          <w:rFonts w:ascii="Times New Roman" w:hAnsi="Times New Roman" w:cs="Times New Roman"/>
        </w:rPr>
        <w:t>that could be influencing the client to not use their hearing aids</w:t>
      </w:r>
      <w:r w:rsidR="001E5845">
        <w:rPr>
          <w:rFonts w:ascii="Times New Roman" w:hAnsi="Times New Roman" w:cs="Times New Roman"/>
        </w:rPr>
        <w:t xml:space="preserve">. </w:t>
      </w:r>
      <w:r w:rsidR="001E5845" w:rsidRPr="00895BFD">
        <w:rPr>
          <w:rFonts w:ascii="Times New Roman" w:hAnsi="Times New Roman" w:cs="Times New Roman"/>
        </w:rPr>
        <w:t xml:space="preserve">In addition, </w:t>
      </w:r>
      <w:r w:rsidR="001E5845">
        <w:rPr>
          <w:rFonts w:ascii="Times New Roman" w:hAnsi="Times New Roman" w:cs="Times New Roman"/>
        </w:rPr>
        <w:t>it would allow audiologists to talk with clients about their thoughts and feelings in a meaningful way and refer to treatment outside the scope of audiologic practice when needed</w:t>
      </w:r>
      <w:r w:rsidR="001E5845" w:rsidRPr="00895BFD">
        <w:rPr>
          <w:rFonts w:ascii="Times New Roman" w:hAnsi="Times New Roman" w:cs="Times New Roman"/>
        </w:rPr>
        <w:t xml:space="preserve">. </w:t>
      </w:r>
      <w:r>
        <w:rPr>
          <w:rFonts w:ascii="Times New Roman" w:hAnsi="Times New Roman" w:cs="Times New Roman"/>
        </w:rPr>
        <w:t xml:space="preserve">For example, clients with higher scores on the AAQ-AHL would </w:t>
      </w:r>
      <w:r w:rsidR="005D2F28">
        <w:rPr>
          <w:rFonts w:ascii="Times New Roman" w:hAnsi="Times New Roman" w:cs="Times New Roman"/>
        </w:rPr>
        <w:t xml:space="preserve">be an indicator for </w:t>
      </w:r>
      <w:r>
        <w:rPr>
          <w:rFonts w:ascii="Times New Roman" w:hAnsi="Times New Roman" w:cs="Times New Roman"/>
        </w:rPr>
        <w:t xml:space="preserve">the audiologist </w:t>
      </w:r>
      <w:r w:rsidR="005D2F28">
        <w:rPr>
          <w:rFonts w:ascii="Times New Roman" w:hAnsi="Times New Roman" w:cs="Times New Roman"/>
        </w:rPr>
        <w:t xml:space="preserve">to offer </w:t>
      </w:r>
      <w:r>
        <w:rPr>
          <w:rFonts w:ascii="Times New Roman" w:hAnsi="Times New Roman" w:cs="Times New Roman"/>
        </w:rPr>
        <w:t>additional resources</w:t>
      </w:r>
      <w:r w:rsidR="005D2F28">
        <w:rPr>
          <w:rFonts w:ascii="Times New Roman" w:hAnsi="Times New Roman" w:cs="Times New Roman"/>
        </w:rPr>
        <w:t xml:space="preserve"> (e.g., a therapist) to their client</w:t>
      </w:r>
      <w:r>
        <w:rPr>
          <w:rFonts w:ascii="Times New Roman" w:hAnsi="Times New Roman" w:cs="Times New Roman"/>
        </w:rPr>
        <w:t xml:space="preserve">. </w:t>
      </w:r>
    </w:p>
    <w:p w14:paraId="63A371F7" w14:textId="77777777" w:rsidR="00B4295F" w:rsidRDefault="00B4295F" w:rsidP="007D464F">
      <w:pPr>
        <w:jc w:val="center"/>
        <w:rPr>
          <w:rFonts w:ascii="Times New Roman" w:hAnsi="Times New Roman" w:cs="Times New Roman"/>
        </w:rPr>
      </w:pPr>
    </w:p>
    <w:p w14:paraId="10580B17" w14:textId="77777777" w:rsidR="00B4295F" w:rsidRDefault="00B4295F" w:rsidP="007D464F">
      <w:pPr>
        <w:jc w:val="center"/>
        <w:rPr>
          <w:rFonts w:ascii="Times New Roman" w:hAnsi="Times New Roman" w:cs="Times New Roman"/>
        </w:rPr>
      </w:pPr>
    </w:p>
    <w:p w14:paraId="1CAE3C96" w14:textId="77777777" w:rsidR="00B4295F" w:rsidRDefault="00B4295F" w:rsidP="007D464F">
      <w:pPr>
        <w:jc w:val="center"/>
        <w:rPr>
          <w:rFonts w:ascii="Times New Roman" w:hAnsi="Times New Roman" w:cs="Times New Roman"/>
        </w:rPr>
      </w:pPr>
    </w:p>
    <w:p w14:paraId="6357080D" w14:textId="77777777" w:rsidR="00B4295F" w:rsidRDefault="00B4295F" w:rsidP="007D464F">
      <w:pPr>
        <w:jc w:val="center"/>
        <w:rPr>
          <w:rFonts w:ascii="Times New Roman" w:hAnsi="Times New Roman" w:cs="Times New Roman"/>
        </w:rPr>
      </w:pPr>
    </w:p>
    <w:p w14:paraId="1CDCD874" w14:textId="77777777" w:rsidR="00B4295F" w:rsidRDefault="00B4295F" w:rsidP="007D464F">
      <w:pPr>
        <w:jc w:val="center"/>
        <w:rPr>
          <w:rFonts w:ascii="Times New Roman" w:hAnsi="Times New Roman" w:cs="Times New Roman"/>
        </w:rPr>
      </w:pPr>
    </w:p>
    <w:p w14:paraId="5F68AC09" w14:textId="77777777" w:rsidR="00B4295F" w:rsidRDefault="00B4295F" w:rsidP="007D464F">
      <w:pPr>
        <w:jc w:val="center"/>
        <w:rPr>
          <w:rFonts w:ascii="Times New Roman" w:hAnsi="Times New Roman" w:cs="Times New Roman"/>
        </w:rPr>
      </w:pPr>
    </w:p>
    <w:p w14:paraId="4D9CC390" w14:textId="77777777" w:rsidR="00B4295F" w:rsidRDefault="00B4295F" w:rsidP="007D464F">
      <w:pPr>
        <w:jc w:val="center"/>
        <w:rPr>
          <w:rFonts w:ascii="Times New Roman" w:hAnsi="Times New Roman" w:cs="Times New Roman"/>
        </w:rPr>
      </w:pPr>
    </w:p>
    <w:p w14:paraId="1207538A" w14:textId="77777777" w:rsidR="00B4295F" w:rsidRDefault="00B4295F" w:rsidP="007D464F">
      <w:pPr>
        <w:jc w:val="center"/>
        <w:rPr>
          <w:rFonts w:ascii="Times New Roman" w:hAnsi="Times New Roman" w:cs="Times New Roman"/>
        </w:rPr>
      </w:pPr>
    </w:p>
    <w:p w14:paraId="3E1CA202" w14:textId="77777777" w:rsidR="00B4295F" w:rsidRDefault="00B4295F" w:rsidP="007D464F">
      <w:pPr>
        <w:jc w:val="center"/>
        <w:rPr>
          <w:rFonts w:ascii="Times New Roman" w:hAnsi="Times New Roman" w:cs="Times New Roman"/>
        </w:rPr>
      </w:pPr>
    </w:p>
    <w:p w14:paraId="6B800E80" w14:textId="77777777" w:rsidR="00B4295F" w:rsidRDefault="00B4295F" w:rsidP="007D464F">
      <w:pPr>
        <w:jc w:val="center"/>
        <w:rPr>
          <w:rFonts w:ascii="Times New Roman" w:hAnsi="Times New Roman" w:cs="Times New Roman"/>
        </w:rPr>
      </w:pPr>
    </w:p>
    <w:p w14:paraId="2AB9344B" w14:textId="77777777" w:rsidR="00B4295F" w:rsidRDefault="00B4295F" w:rsidP="007D464F">
      <w:pPr>
        <w:jc w:val="center"/>
        <w:rPr>
          <w:rFonts w:ascii="Times New Roman" w:hAnsi="Times New Roman" w:cs="Times New Roman"/>
        </w:rPr>
      </w:pPr>
    </w:p>
    <w:p w14:paraId="1E17FB63" w14:textId="77777777" w:rsidR="00B4295F" w:rsidRDefault="00B4295F" w:rsidP="007D464F">
      <w:pPr>
        <w:jc w:val="center"/>
        <w:rPr>
          <w:rFonts w:ascii="Times New Roman" w:hAnsi="Times New Roman" w:cs="Times New Roman"/>
        </w:rPr>
      </w:pPr>
    </w:p>
    <w:p w14:paraId="1913CC26" w14:textId="77777777" w:rsidR="00B4295F" w:rsidRDefault="00B4295F" w:rsidP="007D464F">
      <w:pPr>
        <w:jc w:val="center"/>
        <w:rPr>
          <w:rFonts w:ascii="Times New Roman" w:hAnsi="Times New Roman" w:cs="Times New Roman"/>
        </w:rPr>
      </w:pPr>
    </w:p>
    <w:p w14:paraId="278B96B6" w14:textId="69096B6D" w:rsidR="00B4295F" w:rsidRDefault="00B4295F" w:rsidP="007D464F">
      <w:pPr>
        <w:jc w:val="center"/>
        <w:rPr>
          <w:rFonts w:ascii="Times New Roman" w:hAnsi="Times New Roman" w:cs="Times New Roman"/>
        </w:rPr>
      </w:pPr>
    </w:p>
    <w:p w14:paraId="296B218C" w14:textId="0DF2AF62" w:rsidR="00D01956" w:rsidRDefault="00D01956" w:rsidP="007D464F">
      <w:pPr>
        <w:jc w:val="center"/>
        <w:rPr>
          <w:rFonts w:ascii="Times New Roman" w:hAnsi="Times New Roman" w:cs="Times New Roman"/>
        </w:rPr>
      </w:pPr>
    </w:p>
    <w:p w14:paraId="323F0CEE" w14:textId="37DFE77E" w:rsidR="00D01956" w:rsidRDefault="00D01956" w:rsidP="007D464F">
      <w:pPr>
        <w:jc w:val="center"/>
        <w:rPr>
          <w:rFonts w:ascii="Times New Roman" w:hAnsi="Times New Roman" w:cs="Times New Roman"/>
        </w:rPr>
      </w:pPr>
    </w:p>
    <w:p w14:paraId="23C0AF3B" w14:textId="320F37D6" w:rsidR="00D01956" w:rsidRDefault="00D01956" w:rsidP="007D464F">
      <w:pPr>
        <w:jc w:val="center"/>
        <w:rPr>
          <w:rFonts w:ascii="Times New Roman" w:hAnsi="Times New Roman" w:cs="Times New Roman"/>
        </w:rPr>
      </w:pPr>
    </w:p>
    <w:p w14:paraId="0CDDD893" w14:textId="35CA2BFC" w:rsidR="00D01956" w:rsidRDefault="00D01956" w:rsidP="007D464F">
      <w:pPr>
        <w:jc w:val="center"/>
        <w:rPr>
          <w:rFonts w:ascii="Times New Roman" w:hAnsi="Times New Roman" w:cs="Times New Roman"/>
        </w:rPr>
      </w:pPr>
    </w:p>
    <w:p w14:paraId="28063F4F" w14:textId="12B78E99" w:rsidR="00D01956" w:rsidRDefault="00D01956" w:rsidP="007D464F">
      <w:pPr>
        <w:jc w:val="center"/>
        <w:rPr>
          <w:rFonts w:ascii="Times New Roman" w:hAnsi="Times New Roman" w:cs="Times New Roman"/>
        </w:rPr>
      </w:pPr>
    </w:p>
    <w:p w14:paraId="26E62F58" w14:textId="67B2F971" w:rsidR="00D01956" w:rsidRDefault="00D01956" w:rsidP="007D464F">
      <w:pPr>
        <w:jc w:val="center"/>
        <w:rPr>
          <w:rFonts w:ascii="Times New Roman" w:hAnsi="Times New Roman" w:cs="Times New Roman"/>
        </w:rPr>
      </w:pPr>
    </w:p>
    <w:p w14:paraId="58183FE9" w14:textId="3558C202" w:rsidR="00D01956" w:rsidRDefault="00D01956" w:rsidP="007D464F">
      <w:pPr>
        <w:jc w:val="center"/>
        <w:rPr>
          <w:rFonts w:ascii="Times New Roman" w:hAnsi="Times New Roman" w:cs="Times New Roman"/>
        </w:rPr>
      </w:pPr>
    </w:p>
    <w:p w14:paraId="2917A3F0" w14:textId="0AF90688" w:rsidR="00D01956" w:rsidRDefault="00D01956" w:rsidP="007D464F">
      <w:pPr>
        <w:jc w:val="center"/>
        <w:rPr>
          <w:rFonts w:ascii="Times New Roman" w:hAnsi="Times New Roman" w:cs="Times New Roman"/>
        </w:rPr>
      </w:pPr>
    </w:p>
    <w:p w14:paraId="0E7C48CE" w14:textId="5101BF8E" w:rsidR="00D01956" w:rsidRDefault="00D01956" w:rsidP="007D464F">
      <w:pPr>
        <w:jc w:val="center"/>
        <w:rPr>
          <w:rFonts w:ascii="Times New Roman" w:hAnsi="Times New Roman" w:cs="Times New Roman"/>
        </w:rPr>
      </w:pPr>
    </w:p>
    <w:p w14:paraId="4B1E97AE" w14:textId="6FADDA08" w:rsidR="00D01956" w:rsidRDefault="00D01956" w:rsidP="007D464F">
      <w:pPr>
        <w:jc w:val="center"/>
        <w:rPr>
          <w:rFonts w:ascii="Times New Roman" w:hAnsi="Times New Roman" w:cs="Times New Roman"/>
        </w:rPr>
      </w:pPr>
    </w:p>
    <w:p w14:paraId="7B924D5A" w14:textId="36AE7DFE" w:rsidR="00D01956" w:rsidRDefault="00D01956" w:rsidP="007D464F">
      <w:pPr>
        <w:jc w:val="center"/>
        <w:rPr>
          <w:rFonts w:ascii="Times New Roman" w:hAnsi="Times New Roman" w:cs="Times New Roman"/>
        </w:rPr>
      </w:pPr>
    </w:p>
    <w:p w14:paraId="5F243C55" w14:textId="0C2B7887" w:rsidR="00D01956" w:rsidRDefault="00D01956" w:rsidP="007D464F">
      <w:pPr>
        <w:jc w:val="center"/>
        <w:rPr>
          <w:rFonts w:ascii="Times New Roman" w:hAnsi="Times New Roman" w:cs="Times New Roman"/>
        </w:rPr>
      </w:pPr>
    </w:p>
    <w:p w14:paraId="7ABB78E1" w14:textId="05194588" w:rsidR="00D01956" w:rsidRDefault="00D01956" w:rsidP="007D464F">
      <w:pPr>
        <w:jc w:val="center"/>
        <w:rPr>
          <w:rFonts w:ascii="Times New Roman" w:hAnsi="Times New Roman" w:cs="Times New Roman"/>
        </w:rPr>
      </w:pPr>
    </w:p>
    <w:p w14:paraId="358D1433" w14:textId="004CBF4C" w:rsidR="00D01956" w:rsidRDefault="00D01956" w:rsidP="007D464F">
      <w:pPr>
        <w:jc w:val="center"/>
        <w:rPr>
          <w:rFonts w:ascii="Times New Roman" w:hAnsi="Times New Roman" w:cs="Times New Roman"/>
        </w:rPr>
      </w:pPr>
    </w:p>
    <w:p w14:paraId="1B538720" w14:textId="6E739929" w:rsidR="00D01956" w:rsidRDefault="00D01956" w:rsidP="007D464F">
      <w:pPr>
        <w:jc w:val="center"/>
        <w:rPr>
          <w:rFonts w:ascii="Times New Roman" w:hAnsi="Times New Roman" w:cs="Times New Roman"/>
        </w:rPr>
      </w:pPr>
    </w:p>
    <w:p w14:paraId="63C7AD82" w14:textId="7E58388D" w:rsidR="00D01956" w:rsidRDefault="00D01956" w:rsidP="007D464F">
      <w:pPr>
        <w:jc w:val="center"/>
        <w:rPr>
          <w:rFonts w:ascii="Times New Roman" w:hAnsi="Times New Roman" w:cs="Times New Roman"/>
        </w:rPr>
      </w:pPr>
    </w:p>
    <w:p w14:paraId="197E81BF" w14:textId="25442E11" w:rsidR="00D01956" w:rsidRDefault="00D01956" w:rsidP="007D464F">
      <w:pPr>
        <w:jc w:val="center"/>
        <w:rPr>
          <w:rFonts w:ascii="Times New Roman" w:hAnsi="Times New Roman" w:cs="Times New Roman"/>
        </w:rPr>
      </w:pPr>
    </w:p>
    <w:p w14:paraId="43A80610" w14:textId="77777777" w:rsidR="00D01956" w:rsidRDefault="00D01956" w:rsidP="007D464F">
      <w:pPr>
        <w:jc w:val="center"/>
        <w:rPr>
          <w:rFonts w:ascii="Times New Roman" w:hAnsi="Times New Roman" w:cs="Times New Roman"/>
        </w:rPr>
      </w:pPr>
    </w:p>
    <w:p w14:paraId="312193D8" w14:textId="77777777" w:rsidR="00B4295F" w:rsidRDefault="00B4295F" w:rsidP="007D464F">
      <w:pPr>
        <w:jc w:val="center"/>
        <w:rPr>
          <w:rFonts w:ascii="Times New Roman" w:hAnsi="Times New Roman" w:cs="Times New Roman"/>
        </w:rPr>
      </w:pPr>
    </w:p>
    <w:p w14:paraId="0D679861" w14:textId="77777777" w:rsidR="00B4295F" w:rsidRPr="00895BFD" w:rsidRDefault="00B4295F" w:rsidP="009B5DDE">
      <w:pPr>
        <w:rPr>
          <w:rFonts w:ascii="Times New Roman" w:hAnsi="Times New Roman" w:cs="Times New Roman"/>
        </w:rPr>
      </w:pPr>
    </w:p>
    <w:p w14:paraId="7DF10A6C" w14:textId="4A347755" w:rsidR="00B4295F" w:rsidRPr="00F70FC2" w:rsidRDefault="00B4295F" w:rsidP="00F70FC2">
      <w:pPr>
        <w:spacing w:line="480" w:lineRule="auto"/>
        <w:jc w:val="center"/>
        <w:rPr>
          <w:rFonts w:ascii="Times New Roman" w:hAnsi="Times New Roman" w:cs="Times New Roman"/>
          <w:b/>
          <w:bCs/>
        </w:rPr>
      </w:pPr>
      <w:r w:rsidRPr="00895BFD">
        <w:rPr>
          <w:rFonts w:ascii="Times New Roman" w:hAnsi="Times New Roman" w:cs="Times New Roman"/>
          <w:b/>
          <w:bCs/>
        </w:rPr>
        <w:lastRenderedPageBreak/>
        <w:t>Ref</w:t>
      </w:r>
      <w:r w:rsidRPr="00F70FC2">
        <w:rPr>
          <w:rFonts w:ascii="Times New Roman" w:hAnsi="Times New Roman" w:cs="Times New Roman"/>
          <w:b/>
          <w:bCs/>
        </w:rPr>
        <w:t>erences</w:t>
      </w:r>
    </w:p>
    <w:p w14:paraId="13DB1962" w14:textId="77777777" w:rsidR="009B5DDE" w:rsidRPr="00B95B6D" w:rsidRDefault="009B5DDE" w:rsidP="00B95B6D">
      <w:pPr>
        <w:pStyle w:val="EndNoteBibliography"/>
        <w:spacing w:line="480" w:lineRule="auto"/>
        <w:ind w:left="720" w:hanging="720"/>
        <w:jc w:val="left"/>
        <w:rPr>
          <w:noProof/>
        </w:rPr>
      </w:pPr>
      <w:r w:rsidRPr="00F70FC2">
        <w:rPr>
          <w:rFonts w:ascii="Times New Roman" w:hAnsi="Times New Roman" w:cs="Times New Roman"/>
          <w:noProof/>
        </w:rPr>
        <w:t xml:space="preserve">Barker, A. B., Leighton, P., &amp; Ferguson, M. A. (2017). Coping together with hearing loss: a qualitative meta-synthesis of the psychosocial experiences of people with hearing loss and their communication partners. </w:t>
      </w:r>
      <w:r w:rsidRPr="00F70FC2">
        <w:rPr>
          <w:rFonts w:ascii="Times New Roman" w:hAnsi="Times New Roman" w:cs="Times New Roman"/>
          <w:i/>
          <w:noProof/>
        </w:rPr>
        <w:t xml:space="preserve">International </w:t>
      </w:r>
      <w:r>
        <w:rPr>
          <w:rFonts w:ascii="Times New Roman" w:hAnsi="Times New Roman" w:cs="Times New Roman"/>
          <w:i/>
          <w:noProof/>
        </w:rPr>
        <w:t>J</w:t>
      </w:r>
      <w:r w:rsidRPr="00F70FC2">
        <w:rPr>
          <w:rFonts w:ascii="Times New Roman" w:hAnsi="Times New Roman" w:cs="Times New Roman"/>
          <w:i/>
          <w:noProof/>
        </w:rPr>
        <w:t xml:space="preserve">ournal of </w:t>
      </w:r>
      <w:r>
        <w:rPr>
          <w:rFonts w:ascii="Times New Roman" w:hAnsi="Times New Roman" w:cs="Times New Roman"/>
          <w:i/>
          <w:noProof/>
        </w:rPr>
        <w:t>A</w:t>
      </w:r>
      <w:r w:rsidRPr="00F70FC2">
        <w:rPr>
          <w:rFonts w:ascii="Times New Roman" w:hAnsi="Times New Roman" w:cs="Times New Roman"/>
          <w:i/>
          <w:noProof/>
        </w:rPr>
        <w:t>udiology, 56</w:t>
      </w:r>
      <w:r w:rsidRPr="00F70FC2">
        <w:rPr>
          <w:rFonts w:ascii="Times New Roman" w:hAnsi="Times New Roman" w:cs="Times New Roman"/>
          <w:noProof/>
        </w:rPr>
        <w:t>(5), 297-3</w:t>
      </w:r>
      <w:r w:rsidRPr="00427F47">
        <w:rPr>
          <w:rFonts w:ascii="Times New Roman" w:hAnsi="Times New Roman" w:cs="Times New Roman"/>
          <w:noProof/>
        </w:rPr>
        <w:t>05</w:t>
      </w:r>
      <w:r>
        <w:rPr>
          <w:rFonts w:ascii="Times New Roman" w:hAnsi="Times New Roman" w:cs="Times New Roman"/>
          <w:noProof/>
        </w:rPr>
        <w:t>.</w:t>
      </w:r>
      <w:r w:rsidRPr="0078207B">
        <w:rPr>
          <w:rFonts w:ascii="Times New Roman" w:hAnsi="Times New Roman" w:cs="Times New Roman"/>
          <w:noProof/>
        </w:rPr>
        <w:t xml:space="preserve"> </w:t>
      </w:r>
      <w:r w:rsidRPr="00B95B6D">
        <w:rPr>
          <w:rFonts w:ascii="Times New Roman" w:hAnsi="Times New Roman" w:cs="Times New Roman"/>
          <w:noProof/>
        </w:rPr>
        <w:t>https://doi.org/10.1080/14992027.2017.1286695</w:t>
      </w:r>
      <w:r w:rsidRPr="00427F47">
        <w:rPr>
          <w:noProof/>
        </w:rPr>
        <w:t xml:space="preserve"> </w:t>
      </w:r>
    </w:p>
    <w:p w14:paraId="57699346" w14:textId="77777777" w:rsidR="009B5DDE" w:rsidRDefault="009B5DDE" w:rsidP="00B95B6D">
      <w:pPr>
        <w:pStyle w:val="EndNoteBibliography"/>
        <w:spacing w:line="480" w:lineRule="auto"/>
        <w:ind w:left="720" w:hanging="720"/>
        <w:rPr>
          <w:rFonts w:ascii="Times New Roman" w:hAnsi="Times New Roman" w:cs="Times New Roman"/>
          <w:noProof/>
        </w:rPr>
      </w:pPr>
      <w:r w:rsidRPr="00F70FC2">
        <w:rPr>
          <w:rFonts w:ascii="Times New Roman" w:hAnsi="Times New Roman" w:cs="Times New Roman"/>
          <w:noProof/>
        </w:rPr>
        <w:t xml:space="preserve">Bond, F. W., Hayes, S. C., Baer, R. A., Carpenter, K. M., Guenole, N., Orcutt, H. K., </w:t>
      </w:r>
      <w:r>
        <w:rPr>
          <w:rFonts w:ascii="Times New Roman" w:hAnsi="Times New Roman" w:cs="Times New Roman"/>
          <w:noProof/>
        </w:rPr>
        <w:t xml:space="preserve">Waltz, T., </w:t>
      </w:r>
    </w:p>
    <w:p w14:paraId="0843D9FF" w14:textId="75FAEE8F" w:rsidR="009B5DDE" w:rsidRPr="00F70FC2" w:rsidRDefault="009B5DDE" w:rsidP="00B95B6D">
      <w:pPr>
        <w:pStyle w:val="EndNoteBibliography"/>
        <w:spacing w:line="480" w:lineRule="auto"/>
        <w:ind w:left="720"/>
        <w:jc w:val="left"/>
        <w:rPr>
          <w:rFonts w:ascii="Times New Roman" w:hAnsi="Times New Roman" w:cs="Times New Roman"/>
          <w:noProof/>
        </w:rPr>
      </w:pPr>
      <w:r>
        <w:rPr>
          <w:rFonts w:ascii="Times New Roman" w:hAnsi="Times New Roman" w:cs="Times New Roman"/>
          <w:noProof/>
        </w:rPr>
        <w:t>&amp;</w:t>
      </w:r>
      <w:r w:rsidRPr="00F70FC2">
        <w:rPr>
          <w:rFonts w:ascii="Times New Roman" w:hAnsi="Times New Roman" w:cs="Times New Roman"/>
          <w:noProof/>
        </w:rPr>
        <w:t xml:space="preserve"> Zettle,</w:t>
      </w:r>
      <w:r>
        <w:rPr>
          <w:rFonts w:ascii="Times New Roman" w:hAnsi="Times New Roman" w:cs="Times New Roman"/>
          <w:noProof/>
        </w:rPr>
        <w:t xml:space="preserve"> </w:t>
      </w:r>
      <w:r w:rsidRPr="00F70FC2">
        <w:rPr>
          <w:rFonts w:ascii="Times New Roman" w:hAnsi="Times New Roman" w:cs="Times New Roman"/>
          <w:noProof/>
        </w:rPr>
        <w:t>R. D. (2011). Preliminary psychometric properties of the Acceptance and</w:t>
      </w:r>
      <w:r>
        <w:rPr>
          <w:rFonts w:ascii="Times New Roman" w:hAnsi="Times New Roman" w:cs="Times New Roman"/>
          <w:noProof/>
        </w:rPr>
        <w:t xml:space="preserve"> </w:t>
      </w:r>
      <w:r w:rsidRPr="00F70FC2">
        <w:rPr>
          <w:rFonts w:ascii="Times New Roman" w:hAnsi="Times New Roman" w:cs="Times New Roman"/>
          <w:noProof/>
        </w:rPr>
        <w:t xml:space="preserve">Action Questionnaire–II: A revised measure of psychological inflexibility and experiential avoidance. </w:t>
      </w:r>
      <w:r w:rsidRPr="00F70FC2">
        <w:rPr>
          <w:rFonts w:ascii="Times New Roman" w:hAnsi="Times New Roman" w:cs="Times New Roman"/>
          <w:i/>
          <w:noProof/>
        </w:rPr>
        <w:t xml:space="preserve">Behavior </w:t>
      </w:r>
      <w:r>
        <w:rPr>
          <w:rFonts w:ascii="Times New Roman" w:hAnsi="Times New Roman" w:cs="Times New Roman"/>
          <w:i/>
          <w:noProof/>
        </w:rPr>
        <w:t>T</w:t>
      </w:r>
      <w:r w:rsidRPr="00F70FC2">
        <w:rPr>
          <w:rFonts w:ascii="Times New Roman" w:hAnsi="Times New Roman" w:cs="Times New Roman"/>
          <w:i/>
          <w:noProof/>
        </w:rPr>
        <w:t>herapy, 42</w:t>
      </w:r>
      <w:r w:rsidRPr="00F70FC2">
        <w:rPr>
          <w:rFonts w:ascii="Times New Roman" w:hAnsi="Times New Roman" w:cs="Times New Roman"/>
          <w:noProof/>
        </w:rPr>
        <w:t>(4), 676-688.</w:t>
      </w:r>
      <w:r>
        <w:rPr>
          <w:rFonts w:ascii="Times New Roman" w:hAnsi="Times New Roman" w:cs="Times New Roman"/>
          <w:noProof/>
        </w:rPr>
        <w:t xml:space="preserve"> </w:t>
      </w:r>
      <w:r w:rsidRPr="0064388A">
        <w:rPr>
          <w:rFonts w:ascii="Times New Roman" w:hAnsi="Times New Roman" w:cs="Times New Roman"/>
          <w:noProof/>
        </w:rPr>
        <w:t>https://doi.org/10.1016/j.beth.2011.03.007</w:t>
      </w:r>
    </w:p>
    <w:p w14:paraId="2E0EBEE4" w14:textId="77777777" w:rsidR="009B5DDE"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Broese van Groenou, M., Hoogendijk, E. O., &amp; van Tilburg, T. G. (2013). Continued and new</w:t>
      </w:r>
      <w:r>
        <w:rPr>
          <w:rFonts w:ascii="Times New Roman" w:hAnsi="Times New Roman" w:cs="Times New Roman"/>
          <w:noProof/>
        </w:rPr>
        <w:t xml:space="preserve"> </w:t>
      </w:r>
    </w:p>
    <w:p w14:paraId="06BDED99" w14:textId="06DD525A" w:rsidR="009B5DDE" w:rsidRPr="00F70FC2" w:rsidRDefault="009B5DDE" w:rsidP="00B95B6D">
      <w:pPr>
        <w:pStyle w:val="EndNoteBibliography"/>
        <w:spacing w:line="480" w:lineRule="auto"/>
        <w:ind w:left="720"/>
        <w:jc w:val="left"/>
        <w:rPr>
          <w:rFonts w:ascii="Times New Roman" w:hAnsi="Times New Roman" w:cs="Times New Roman"/>
          <w:noProof/>
        </w:rPr>
      </w:pPr>
      <w:r w:rsidRPr="00F70FC2">
        <w:rPr>
          <w:rFonts w:ascii="Times New Roman" w:hAnsi="Times New Roman" w:cs="Times New Roman"/>
          <w:noProof/>
        </w:rPr>
        <w:t xml:space="preserve">personal relationships in later life: Differential effects of health. </w:t>
      </w:r>
      <w:r w:rsidRPr="00F70FC2">
        <w:rPr>
          <w:rFonts w:ascii="Times New Roman" w:hAnsi="Times New Roman" w:cs="Times New Roman"/>
          <w:i/>
          <w:noProof/>
        </w:rPr>
        <w:t xml:space="preserve">Journal of </w:t>
      </w:r>
      <w:r>
        <w:rPr>
          <w:rFonts w:ascii="Times New Roman" w:hAnsi="Times New Roman" w:cs="Times New Roman"/>
          <w:i/>
          <w:noProof/>
        </w:rPr>
        <w:t>A</w:t>
      </w:r>
      <w:r w:rsidRPr="00F70FC2">
        <w:rPr>
          <w:rFonts w:ascii="Times New Roman" w:hAnsi="Times New Roman" w:cs="Times New Roman"/>
          <w:i/>
          <w:noProof/>
        </w:rPr>
        <w:t xml:space="preserve">ging and </w:t>
      </w:r>
      <w:r>
        <w:rPr>
          <w:rFonts w:ascii="Times New Roman" w:hAnsi="Times New Roman" w:cs="Times New Roman"/>
          <w:i/>
          <w:noProof/>
        </w:rPr>
        <w:t>H</w:t>
      </w:r>
      <w:r w:rsidRPr="00F70FC2">
        <w:rPr>
          <w:rFonts w:ascii="Times New Roman" w:hAnsi="Times New Roman" w:cs="Times New Roman"/>
          <w:i/>
          <w:noProof/>
        </w:rPr>
        <w:t>ealth, 25</w:t>
      </w:r>
      <w:r w:rsidRPr="00F70FC2">
        <w:rPr>
          <w:rFonts w:ascii="Times New Roman" w:hAnsi="Times New Roman" w:cs="Times New Roman"/>
          <w:noProof/>
        </w:rPr>
        <w:t xml:space="preserve">(2), 274-295. </w:t>
      </w:r>
      <w:r w:rsidRPr="0064388A">
        <w:rPr>
          <w:rFonts w:ascii="Times New Roman" w:hAnsi="Times New Roman" w:cs="Times New Roman"/>
          <w:noProof/>
        </w:rPr>
        <w:t>https://doi.org/10.1177/0898264312468033</w:t>
      </w:r>
    </w:p>
    <w:p w14:paraId="3F50C5F9"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Chien, W., &amp; Lin, F. R. (2012). Prevalence of hearing aid use among older adults in the United States. </w:t>
      </w:r>
      <w:r w:rsidRPr="00F70FC2">
        <w:rPr>
          <w:rFonts w:ascii="Times New Roman" w:hAnsi="Times New Roman" w:cs="Times New Roman"/>
          <w:i/>
          <w:noProof/>
        </w:rPr>
        <w:t xml:space="preserve">Archives of </w:t>
      </w:r>
      <w:r>
        <w:rPr>
          <w:rFonts w:ascii="Times New Roman" w:hAnsi="Times New Roman" w:cs="Times New Roman"/>
          <w:i/>
          <w:noProof/>
        </w:rPr>
        <w:t>I</w:t>
      </w:r>
      <w:r w:rsidRPr="00F70FC2">
        <w:rPr>
          <w:rFonts w:ascii="Times New Roman" w:hAnsi="Times New Roman" w:cs="Times New Roman"/>
          <w:i/>
          <w:noProof/>
        </w:rPr>
        <w:t xml:space="preserve">nternal </w:t>
      </w:r>
      <w:r>
        <w:rPr>
          <w:rFonts w:ascii="Times New Roman" w:hAnsi="Times New Roman" w:cs="Times New Roman"/>
          <w:i/>
          <w:noProof/>
        </w:rPr>
        <w:t>M</w:t>
      </w:r>
      <w:r w:rsidRPr="00F70FC2">
        <w:rPr>
          <w:rFonts w:ascii="Times New Roman" w:hAnsi="Times New Roman" w:cs="Times New Roman"/>
          <w:i/>
          <w:noProof/>
        </w:rPr>
        <w:t>edicine, 172</w:t>
      </w:r>
      <w:r w:rsidRPr="00F70FC2">
        <w:rPr>
          <w:rFonts w:ascii="Times New Roman" w:hAnsi="Times New Roman" w:cs="Times New Roman"/>
          <w:noProof/>
        </w:rPr>
        <w:t xml:space="preserve">(3), 292-293. </w:t>
      </w:r>
    </w:p>
    <w:p w14:paraId="18C7AE90"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Chisolm, T. H., Johnson, C. E., Danhauer, J. L., Portz, L. J., Abrams, H. B., Lesner, S., </w:t>
      </w:r>
      <w:r>
        <w:rPr>
          <w:rFonts w:ascii="Times New Roman" w:hAnsi="Times New Roman" w:cs="Times New Roman"/>
          <w:noProof/>
        </w:rPr>
        <w:t>McCarthy, P. A., &amp;</w:t>
      </w:r>
      <w:r w:rsidRPr="00F70FC2">
        <w:rPr>
          <w:rFonts w:ascii="Times New Roman" w:hAnsi="Times New Roman" w:cs="Times New Roman"/>
          <w:noProof/>
        </w:rPr>
        <w:t xml:space="preserve"> Newman, C. W. (2007). A systematic review of health-related quality of life and hearing aids: final report of the American Academy of Audiology Task Force on the Health-Related Quality of Life Benefits of Amplification in Adults. </w:t>
      </w:r>
      <w:r w:rsidRPr="00F70FC2">
        <w:rPr>
          <w:rFonts w:ascii="Times New Roman" w:hAnsi="Times New Roman" w:cs="Times New Roman"/>
          <w:i/>
          <w:noProof/>
        </w:rPr>
        <w:t>Journal of the American Academy of Audiology, 18</w:t>
      </w:r>
      <w:r w:rsidRPr="00F70FC2">
        <w:rPr>
          <w:rFonts w:ascii="Times New Roman" w:hAnsi="Times New Roman" w:cs="Times New Roman"/>
          <w:noProof/>
        </w:rPr>
        <w:t xml:space="preserve">(02), 151-183. </w:t>
      </w:r>
    </w:p>
    <w:p w14:paraId="3F807A44"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Cox, R., Hyde, M., Gatehouse, S., Noble, W., Dillon, H., Bentler, R., </w:t>
      </w:r>
      <w:r>
        <w:rPr>
          <w:rFonts w:ascii="Times New Roman" w:hAnsi="Times New Roman" w:cs="Times New Roman"/>
          <w:noProof/>
        </w:rPr>
        <w:t>Stephens, D., Arlinger, S., Beck, L., Wilderson, D., Kramer, S., Kricos, P., Gagné, J. P., Bess, F., &amp;</w:t>
      </w:r>
      <w:r w:rsidRPr="00F70FC2">
        <w:rPr>
          <w:rFonts w:ascii="Times New Roman" w:hAnsi="Times New Roman" w:cs="Times New Roman"/>
          <w:noProof/>
        </w:rPr>
        <w:t xml:space="preserve"> </w:t>
      </w:r>
      <w:r>
        <w:rPr>
          <w:rFonts w:ascii="Times New Roman" w:hAnsi="Times New Roman" w:cs="Times New Roman"/>
          <w:noProof/>
        </w:rPr>
        <w:t>Hallberg, L</w:t>
      </w:r>
      <w:r w:rsidRPr="00F70FC2">
        <w:rPr>
          <w:rFonts w:ascii="Times New Roman" w:hAnsi="Times New Roman" w:cs="Times New Roman"/>
          <w:noProof/>
        </w:rPr>
        <w:t xml:space="preserve">. </w:t>
      </w:r>
      <w:r w:rsidRPr="00F70FC2">
        <w:rPr>
          <w:rFonts w:ascii="Times New Roman" w:hAnsi="Times New Roman" w:cs="Times New Roman"/>
          <w:noProof/>
        </w:rPr>
        <w:lastRenderedPageBreak/>
        <w:t xml:space="preserve">(2000). Optimal outcome measures, research priorities, and international cooperation. </w:t>
      </w:r>
      <w:r w:rsidRPr="00F70FC2">
        <w:rPr>
          <w:rFonts w:ascii="Times New Roman" w:hAnsi="Times New Roman" w:cs="Times New Roman"/>
          <w:i/>
          <w:noProof/>
        </w:rPr>
        <w:t>Ear Hear, 21</w:t>
      </w:r>
      <w:r w:rsidRPr="00F70FC2">
        <w:rPr>
          <w:rFonts w:ascii="Times New Roman" w:hAnsi="Times New Roman" w:cs="Times New Roman"/>
          <w:noProof/>
        </w:rPr>
        <w:t xml:space="preserve">(4 Suppl), 106S-115S. </w:t>
      </w:r>
    </w:p>
    <w:p w14:paraId="3EDF6622" w14:textId="77777777" w:rsidR="009B5DDE" w:rsidRDefault="009B5DDE" w:rsidP="00B95B6D">
      <w:pPr>
        <w:pStyle w:val="EndNoteBibliography"/>
        <w:spacing w:line="480" w:lineRule="auto"/>
        <w:jc w:val="left"/>
        <w:rPr>
          <w:rFonts w:ascii="Times New Roman" w:hAnsi="Times New Roman" w:cs="Times New Roman"/>
          <w:noProof/>
        </w:rPr>
      </w:pPr>
      <w:r w:rsidRPr="00F70FC2">
        <w:rPr>
          <w:rFonts w:ascii="Times New Roman" w:hAnsi="Times New Roman" w:cs="Times New Roman"/>
          <w:noProof/>
        </w:rPr>
        <w:t xml:space="preserve">Cox, R. M., &amp; Alexander, G. C. (2002). The International Outcome Inventory for Hearing Aids </w:t>
      </w:r>
    </w:p>
    <w:p w14:paraId="1B5E019E"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noProof/>
        </w:rPr>
        <w:t xml:space="preserve">(IOI-HA): psychometric properties of the English version: El Inventario International de </w:t>
      </w:r>
    </w:p>
    <w:p w14:paraId="0070C705"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noProof/>
        </w:rPr>
        <w:t xml:space="preserve">Resultados para Auxiliares Auditivos (IOI-HA): propiedades psicometricas de la version </w:t>
      </w:r>
    </w:p>
    <w:p w14:paraId="018FBC46"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noProof/>
        </w:rPr>
        <w:t xml:space="preserve">en ingles. </w:t>
      </w:r>
      <w:r w:rsidRPr="00F70FC2">
        <w:rPr>
          <w:rFonts w:ascii="Times New Roman" w:hAnsi="Times New Roman" w:cs="Times New Roman"/>
          <w:i/>
          <w:noProof/>
        </w:rPr>
        <w:t xml:space="preserve">International </w:t>
      </w:r>
      <w:r>
        <w:rPr>
          <w:rFonts w:ascii="Times New Roman" w:hAnsi="Times New Roman" w:cs="Times New Roman"/>
          <w:i/>
          <w:noProof/>
        </w:rPr>
        <w:t>J</w:t>
      </w:r>
      <w:r w:rsidRPr="00F70FC2">
        <w:rPr>
          <w:rFonts w:ascii="Times New Roman" w:hAnsi="Times New Roman" w:cs="Times New Roman"/>
          <w:i/>
          <w:noProof/>
        </w:rPr>
        <w:t xml:space="preserve">ournal of </w:t>
      </w:r>
      <w:r>
        <w:rPr>
          <w:rFonts w:ascii="Times New Roman" w:hAnsi="Times New Roman" w:cs="Times New Roman"/>
          <w:i/>
          <w:noProof/>
        </w:rPr>
        <w:t>A</w:t>
      </w:r>
      <w:r w:rsidRPr="00F70FC2">
        <w:rPr>
          <w:rFonts w:ascii="Times New Roman" w:hAnsi="Times New Roman" w:cs="Times New Roman"/>
          <w:i/>
          <w:noProof/>
        </w:rPr>
        <w:t>udiology, 41</w:t>
      </w:r>
      <w:r w:rsidRPr="00F70FC2">
        <w:rPr>
          <w:rFonts w:ascii="Times New Roman" w:hAnsi="Times New Roman" w:cs="Times New Roman"/>
          <w:noProof/>
        </w:rPr>
        <w:t xml:space="preserve">(1), 30-35. </w:t>
      </w:r>
    </w:p>
    <w:p w14:paraId="0236786A" w14:textId="4ED81237" w:rsidR="009B5DDE" w:rsidRPr="002D577A" w:rsidRDefault="009B5DDE" w:rsidP="00B95B6D">
      <w:pPr>
        <w:pStyle w:val="EndNoteBibliography"/>
        <w:spacing w:line="480" w:lineRule="auto"/>
        <w:ind w:firstLine="720"/>
        <w:jc w:val="left"/>
        <w:rPr>
          <w:rFonts w:ascii="Times New Roman" w:hAnsi="Times New Roman" w:cs="Times New Roman"/>
          <w:noProof/>
        </w:rPr>
      </w:pPr>
      <w:r w:rsidRPr="0064388A">
        <w:rPr>
          <w:rFonts w:ascii="Times New Roman" w:hAnsi="Times New Roman" w:cs="Times New Roman"/>
          <w:noProof/>
        </w:rPr>
        <w:t>https://doi.org/10.3109/14992020209101309</w:t>
      </w:r>
    </w:p>
    <w:p w14:paraId="7EB63535" w14:textId="77777777" w:rsidR="009B5DDE" w:rsidRPr="00B95B6D" w:rsidRDefault="009B5DDE" w:rsidP="00B95B6D">
      <w:pPr>
        <w:pStyle w:val="EndNoteBibliography"/>
        <w:spacing w:line="480" w:lineRule="auto"/>
        <w:ind w:left="720" w:hanging="720"/>
        <w:jc w:val="left"/>
        <w:rPr>
          <w:noProof/>
        </w:rPr>
      </w:pPr>
      <w:r w:rsidRPr="00F70FC2">
        <w:rPr>
          <w:rFonts w:ascii="Times New Roman" w:hAnsi="Times New Roman" w:cs="Times New Roman"/>
          <w:noProof/>
        </w:rPr>
        <w:t xml:space="preserve">DeGaetano, J. J., Wolanin, A. T., Marks, D. R., &amp; Eastin, S. M. (2016). The role of psychological flexibility in injury rehabilitation. </w:t>
      </w:r>
      <w:r w:rsidRPr="00F70FC2">
        <w:rPr>
          <w:rFonts w:ascii="Times New Roman" w:hAnsi="Times New Roman" w:cs="Times New Roman"/>
          <w:i/>
          <w:noProof/>
        </w:rPr>
        <w:t>Journal of Clinical Sport Psychology, 10</w:t>
      </w:r>
      <w:r w:rsidRPr="00F70FC2">
        <w:rPr>
          <w:rFonts w:ascii="Times New Roman" w:hAnsi="Times New Roman" w:cs="Times New Roman"/>
          <w:noProof/>
        </w:rPr>
        <w:t xml:space="preserve">(3), 192-205. </w:t>
      </w:r>
      <w:r w:rsidRPr="00B95B6D">
        <w:rPr>
          <w:rFonts w:ascii="Times New Roman" w:hAnsi="Times New Roman" w:cs="Times New Roman"/>
          <w:noProof/>
        </w:rPr>
        <w:t>http://dx.doi.org/10.1123/josp.2014-0023</w:t>
      </w:r>
      <w:r w:rsidRPr="006B23AD">
        <w:rPr>
          <w:noProof/>
        </w:rPr>
        <w:t xml:space="preserve"> </w:t>
      </w:r>
    </w:p>
    <w:p w14:paraId="2F243ABF" w14:textId="6F0A3D21"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Ekberg, K., Grenness, C., &amp; Hickson, L. (2014). Addressing patients' psychosocial concerns regarding hearing aids within audiology appointments for older adults. </w:t>
      </w:r>
      <w:r w:rsidRPr="00F70FC2">
        <w:rPr>
          <w:rFonts w:ascii="Times New Roman" w:hAnsi="Times New Roman" w:cs="Times New Roman"/>
          <w:i/>
          <w:noProof/>
        </w:rPr>
        <w:t>American Journal of Audiology, 23</w:t>
      </w:r>
      <w:r w:rsidRPr="00F70FC2">
        <w:rPr>
          <w:rFonts w:ascii="Times New Roman" w:hAnsi="Times New Roman" w:cs="Times New Roman"/>
          <w:noProof/>
        </w:rPr>
        <w:t xml:space="preserve">(3), 337-350. </w:t>
      </w:r>
      <w:r w:rsidRPr="0064388A">
        <w:rPr>
          <w:rFonts w:ascii="Times New Roman" w:hAnsi="Times New Roman" w:cs="Times New Roman"/>
          <w:noProof/>
        </w:rPr>
        <w:t>https://doi.org/10.1044/2014_AJA-14-0011</w:t>
      </w:r>
    </w:p>
    <w:p w14:paraId="1BEE81F0" w14:textId="77777777" w:rsidR="009B5DDE" w:rsidRDefault="009B5DDE" w:rsidP="00B95B6D">
      <w:pPr>
        <w:pStyle w:val="EndNoteBibliography"/>
        <w:spacing w:line="480" w:lineRule="auto"/>
        <w:ind w:left="720" w:hanging="720"/>
        <w:jc w:val="left"/>
        <w:rPr>
          <w:rFonts w:ascii="Times New Roman" w:hAnsi="Times New Roman" w:cs="Times New Roman"/>
          <w:noProof/>
        </w:rPr>
      </w:pPr>
      <w:r w:rsidRPr="009D497F">
        <w:rPr>
          <w:rFonts w:ascii="Times New Roman" w:hAnsi="Times New Roman" w:cs="Times New Roman"/>
          <w:noProof/>
        </w:rPr>
        <w:t xml:space="preserve">Hayes, S. C., and K. D. Strosahl. 2005. </w:t>
      </w:r>
      <w:r w:rsidRPr="00B95B6D">
        <w:rPr>
          <w:rFonts w:ascii="Times New Roman" w:hAnsi="Times New Roman" w:cs="Times New Roman"/>
          <w:i/>
          <w:iCs/>
          <w:noProof/>
        </w:rPr>
        <w:t>A Practical Guide to Acceptance and Commitment Therapy</w:t>
      </w:r>
      <w:r w:rsidRPr="009D497F">
        <w:rPr>
          <w:rFonts w:ascii="Times New Roman" w:hAnsi="Times New Roman" w:cs="Times New Roman"/>
          <w:noProof/>
        </w:rPr>
        <w:t>. New York: Springer-Verlag.</w:t>
      </w:r>
    </w:p>
    <w:p w14:paraId="27FB91C8"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Hooper, D., Coughlan, J. P., &amp; Mullen, M. R. (2008). Structural equation modelling: guidelines for determining model fit. </w:t>
      </w:r>
      <w:r w:rsidRPr="00F70FC2">
        <w:rPr>
          <w:rFonts w:ascii="Times New Roman" w:hAnsi="Times New Roman" w:cs="Times New Roman"/>
          <w:i/>
          <w:noProof/>
        </w:rPr>
        <w:t>The Electronic Journal of Business Research Methods, 6</w:t>
      </w:r>
      <w:r w:rsidRPr="00F70FC2">
        <w:rPr>
          <w:rFonts w:ascii="Times New Roman" w:hAnsi="Times New Roman" w:cs="Times New Roman"/>
          <w:noProof/>
        </w:rPr>
        <w:t xml:space="preserve">(1), 53-60. </w:t>
      </w:r>
    </w:p>
    <w:p w14:paraId="791464F8" w14:textId="5A954430"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Houghton, D. C., Compton, S. N., Twohig, M. P., Saunders, S. M., Franklin, M. E., Neal-Barnett, A. M., </w:t>
      </w:r>
      <w:r>
        <w:rPr>
          <w:rFonts w:ascii="Times New Roman" w:hAnsi="Times New Roman" w:cs="Times New Roman"/>
          <w:noProof/>
        </w:rPr>
        <w:t xml:space="preserve">Ely, L., Capriotti, M. R., &amp; </w:t>
      </w:r>
      <w:r w:rsidRPr="00F70FC2">
        <w:rPr>
          <w:rFonts w:ascii="Times New Roman" w:hAnsi="Times New Roman" w:cs="Times New Roman"/>
          <w:noProof/>
        </w:rPr>
        <w:t xml:space="preserve">Woods, D. W. (2014). Measuring the role of psychological inflexibility in trichotillomania. </w:t>
      </w:r>
      <w:r w:rsidRPr="00F70FC2">
        <w:rPr>
          <w:rFonts w:ascii="Times New Roman" w:hAnsi="Times New Roman" w:cs="Times New Roman"/>
          <w:i/>
          <w:noProof/>
        </w:rPr>
        <w:t xml:space="preserve">Psychiatry </w:t>
      </w:r>
      <w:r>
        <w:rPr>
          <w:rFonts w:ascii="Times New Roman" w:hAnsi="Times New Roman" w:cs="Times New Roman"/>
          <w:i/>
          <w:noProof/>
        </w:rPr>
        <w:t>R</w:t>
      </w:r>
      <w:r w:rsidRPr="00F70FC2">
        <w:rPr>
          <w:rFonts w:ascii="Times New Roman" w:hAnsi="Times New Roman" w:cs="Times New Roman"/>
          <w:i/>
          <w:noProof/>
        </w:rPr>
        <w:t>esearch, 220</w:t>
      </w:r>
      <w:r w:rsidRPr="00F70FC2">
        <w:rPr>
          <w:rFonts w:ascii="Times New Roman" w:hAnsi="Times New Roman" w:cs="Times New Roman"/>
          <w:noProof/>
        </w:rPr>
        <w:t xml:space="preserve">(1-2), 356-361. </w:t>
      </w:r>
      <w:r w:rsidRPr="0064388A">
        <w:rPr>
          <w:rFonts w:ascii="Times New Roman" w:hAnsi="Times New Roman" w:cs="Times New Roman"/>
          <w:noProof/>
        </w:rPr>
        <w:t>https://doi.org/10.1016/j.psychres.2014.08.003</w:t>
      </w:r>
    </w:p>
    <w:p w14:paraId="1E726A98"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lastRenderedPageBreak/>
        <w:t xml:space="preserve">Huang, J. L., Curran, P. G., Keeney, J., Poposki, E. M., &amp; DeShon, R. P. (2012). Detecting and deterring insufficient effort responding to surveys. </w:t>
      </w:r>
      <w:r w:rsidRPr="00F70FC2">
        <w:rPr>
          <w:rFonts w:ascii="Times New Roman" w:hAnsi="Times New Roman" w:cs="Times New Roman"/>
          <w:i/>
          <w:noProof/>
        </w:rPr>
        <w:t>Journal of Business and Psychology, 27</w:t>
      </w:r>
      <w:r w:rsidRPr="00F70FC2">
        <w:rPr>
          <w:rFonts w:ascii="Times New Roman" w:hAnsi="Times New Roman" w:cs="Times New Roman"/>
          <w:noProof/>
        </w:rPr>
        <w:t xml:space="preserve">(1), 99-114. </w:t>
      </w:r>
      <w:r w:rsidRPr="00D049CA">
        <w:rPr>
          <w:rFonts w:ascii="Times New Roman" w:hAnsi="Times New Roman" w:cs="Times New Roman"/>
          <w:noProof/>
        </w:rPr>
        <w:t>https://doi.org/10.1007/s10869-011-9231-8</w:t>
      </w:r>
    </w:p>
    <w:p w14:paraId="266FFD4C" w14:textId="77777777" w:rsidR="009B5DDE" w:rsidRDefault="009B5DDE" w:rsidP="00B95B6D">
      <w:pPr>
        <w:pStyle w:val="EndNoteBibliography"/>
        <w:spacing w:line="480" w:lineRule="auto"/>
        <w:jc w:val="left"/>
        <w:rPr>
          <w:rFonts w:ascii="Times New Roman" w:hAnsi="Times New Roman" w:cs="Times New Roman"/>
          <w:noProof/>
        </w:rPr>
      </w:pPr>
      <w:r w:rsidRPr="00F70FC2">
        <w:rPr>
          <w:rFonts w:ascii="Times New Roman" w:hAnsi="Times New Roman" w:cs="Times New Roman"/>
          <w:noProof/>
        </w:rPr>
        <w:t xml:space="preserve">Kamody, R. C., Berlin, K. S., Rybak, T. M., Klages, K. L., Banks, G. G., Ali, J. S., </w:t>
      </w:r>
      <w:r>
        <w:rPr>
          <w:rFonts w:ascii="Times New Roman" w:hAnsi="Times New Roman" w:cs="Times New Roman"/>
          <w:noProof/>
        </w:rPr>
        <w:t xml:space="preserve">Alemzadeh, </w:t>
      </w:r>
    </w:p>
    <w:p w14:paraId="3155094D" w14:textId="77777777" w:rsidR="009B5DDE" w:rsidRDefault="009B5DDE" w:rsidP="00B95B6D">
      <w:pPr>
        <w:pStyle w:val="EndNoteBibliography"/>
        <w:spacing w:line="480" w:lineRule="auto"/>
        <w:ind w:firstLine="720"/>
        <w:jc w:val="left"/>
        <w:rPr>
          <w:rFonts w:ascii="Times New Roman" w:hAnsi="Times New Roman" w:cs="Times New Roman"/>
          <w:noProof/>
        </w:rPr>
      </w:pPr>
      <w:r>
        <w:rPr>
          <w:rFonts w:ascii="Times New Roman" w:hAnsi="Times New Roman" w:cs="Times New Roman"/>
          <w:noProof/>
        </w:rPr>
        <w:t>R., Ferry Jr., R. J., &amp;</w:t>
      </w:r>
      <w:r w:rsidRPr="00F70FC2">
        <w:rPr>
          <w:rFonts w:ascii="Times New Roman" w:hAnsi="Times New Roman" w:cs="Times New Roman"/>
          <w:noProof/>
        </w:rPr>
        <w:t xml:space="preserve"> Diaz Thomas, A. M. (2018). Psychological flexibility among youth </w:t>
      </w:r>
    </w:p>
    <w:p w14:paraId="2652ADC2"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noProof/>
        </w:rPr>
        <w:t xml:space="preserve">with type 1 diabetes: </w:t>
      </w:r>
      <w:r>
        <w:rPr>
          <w:rFonts w:ascii="Times New Roman" w:hAnsi="Times New Roman" w:cs="Times New Roman"/>
          <w:noProof/>
        </w:rPr>
        <w:t>R</w:t>
      </w:r>
      <w:r w:rsidRPr="00F70FC2">
        <w:rPr>
          <w:rFonts w:ascii="Times New Roman" w:hAnsi="Times New Roman" w:cs="Times New Roman"/>
          <w:noProof/>
        </w:rPr>
        <w:t xml:space="preserve">elating patterns of acceptance, adherence, and stress to adaptation. </w:t>
      </w:r>
    </w:p>
    <w:p w14:paraId="4CE0BCB3" w14:textId="787C2311" w:rsidR="009B5DDE" w:rsidRPr="00F70FC2"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i/>
          <w:noProof/>
        </w:rPr>
        <w:t>Behavioral Medicine, 44</w:t>
      </w:r>
      <w:r w:rsidRPr="00F70FC2">
        <w:rPr>
          <w:rFonts w:ascii="Times New Roman" w:hAnsi="Times New Roman" w:cs="Times New Roman"/>
          <w:noProof/>
        </w:rPr>
        <w:t xml:space="preserve">(4), 271-279. </w:t>
      </w:r>
      <w:r w:rsidRPr="0064388A">
        <w:rPr>
          <w:rFonts w:ascii="Times New Roman" w:hAnsi="Times New Roman" w:cs="Times New Roman"/>
          <w:noProof/>
        </w:rPr>
        <w:t>https://doi.org/10.1080/08964289.2017.1297290</w:t>
      </w:r>
    </w:p>
    <w:p w14:paraId="64B3F4F8" w14:textId="19ACBF70"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Kramer, S. E., Kapteyn, T. S., Kuik, D. J., &amp; Deeg, D. J. (2002). The association of hearing impairment and chronic diseases with psychosocial health status in older age. </w:t>
      </w:r>
      <w:r w:rsidRPr="00F70FC2">
        <w:rPr>
          <w:rFonts w:ascii="Times New Roman" w:hAnsi="Times New Roman" w:cs="Times New Roman"/>
          <w:i/>
          <w:noProof/>
        </w:rPr>
        <w:t xml:space="preserve">Journal of </w:t>
      </w:r>
      <w:r>
        <w:rPr>
          <w:rFonts w:ascii="Times New Roman" w:hAnsi="Times New Roman" w:cs="Times New Roman"/>
          <w:i/>
          <w:noProof/>
        </w:rPr>
        <w:t>A</w:t>
      </w:r>
      <w:r w:rsidRPr="00F70FC2">
        <w:rPr>
          <w:rFonts w:ascii="Times New Roman" w:hAnsi="Times New Roman" w:cs="Times New Roman"/>
          <w:i/>
          <w:noProof/>
        </w:rPr>
        <w:t xml:space="preserve">ging and </w:t>
      </w:r>
      <w:r>
        <w:rPr>
          <w:rFonts w:ascii="Times New Roman" w:hAnsi="Times New Roman" w:cs="Times New Roman"/>
          <w:i/>
          <w:noProof/>
        </w:rPr>
        <w:t>H</w:t>
      </w:r>
      <w:r w:rsidRPr="00F70FC2">
        <w:rPr>
          <w:rFonts w:ascii="Times New Roman" w:hAnsi="Times New Roman" w:cs="Times New Roman"/>
          <w:i/>
          <w:noProof/>
        </w:rPr>
        <w:t>ealth, 14</w:t>
      </w:r>
      <w:r w:rsidRPr="00F70FC2">
        <w:rPr>
          <w:rFonts w:ascii="Times New Roman" w:hAnsi="Times New Roman" w:cs="Times New Roman"/>
          <w:noProof/>
        </w:rPr>
        <w:t xml:space="preserve">(1), 122-137. </w:t>
      </w:r>
      <w:r w:rsidRPr="0064388A">
        <w:rPr>
          <w:rFonts w:ascii="Times New Roman" w:hAnsi="Times New Roman" w:cs="Times New Roman"/>
          <w:noProof/>
        </w:rPr>
        <w:t>https://doi.org/10.1177/089826430201400107</w:t>
      </w:r>
    </w:p>
    <w:p w14:paraId="66C9B50B" w14:textId="09CD294D"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Laplante-Lévesque, A., Hickson, L., &amp; Worrall, L. (2010). Rehabilitation of older adults with hearing impairment: </w:t>
      </w:r>
      <w:r>
        <w:rPr>
          <w:rFonts w:ascii="Times New Roman" w:hAnsi="Times New Roman" w:cs="Times New Roman"/>
          <w:noProof/>
        </w:rPr>
        <w:t>A</w:t>
      </w:r>
      <w:r w:rsidRPr="00F70FC2">
        <w:rPr>
          <w:rFonts w:ascii="Times New Roman" w:hAnsi="Times New Roman" w:cs="Times New Roman"/>
          <w:noProof/>
        </w:rPr>
        <w:t xml:space="preserve"> critical review. </w:t>
      </w:r>
      <w:r w:rsidRPr="00F70FC2">
        <w:rPr>
          <w:rFonts w:ascii="Times New Roman" w:hAnsi="Times New Roman" w:cs="Times New Roman"/>
          <w:i/>
          <w:noProof/>
        </w:rPr>
        <w:t xml:space="preserve">Journal of </w:t>
      </w:r>
      <w:r>
        <w:rPr>
          <w:rFonts w:ascii="Times New Roman" w:hAnsi="Times New Roman" w:cs="Times New Roman"/>
          <w:i/>
          <w:noProof/>
        </w:rPr>
        <w:t>A</w:t>
      </w:r>
      <w:r w:rsidRPr="00F70FC2">
        <w:rPr>
          <w:rFonts w:ascii="Times New Roman" w:hAnsi="Times New Roman" w:cs="Times New Roman"/>
          <w:i/>
          <w:noProof/>
        </w:rPr>
        <w:t xml:space="preserve">ging and </w:t>
      </w:r>
      <w:r>
        <w:rPr>
          <w:rFonts w:ascii="Times New Roman" w:hAnsi="Times New Roman" w:cs="Times New Roman"/>
          <w:i/>
          <w:noProof/>
        </w:rPr>
        <w:t>H</w:t>
      </w:r>
      <w:r w:rsidRPr="00F70FC2">
        <w:rPr>
          <w:rFonts w:ascii="Times New Roman" w:hAnsi="Times New Roman" w:cs="Times New Roman"/>
          <w:i/>
          <w:noProof/>
        </w:rPr>
        <w:t>ealth, 22</w:t>
      </w:r>
      <w:r w:rsidRPr="00F70FC2">
        <w:rPr>
          <w:rFonts w:ascii="Times New Roman" w:hAnsi="Times New Roman" w:cs="Times New Roman"/>
          <w:noProof/>
        </w:rPr>
        <w:t xml:space="preserve">(2), 143-153. </w:t>
      </w:r>
      <w:r w:rsidRPr="0064388A">
        <w:rPr>
          <w:rFonts w:ascii="Times New Roman" w:hAnsi="Times New Roman" w:cs="Times New Roman"/>
          <w:noProof/>
        </w:rPr>
        <w:t>https://doi.org/10.1177/0898264309352731</w:t>
      </w:r>
    </w:p>
    <w:p w14:paraId="633356DD"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Mairal, J. B. (2004). Spanish adaptation of the Acceptance and Action Questionnaire (AAQ). </w:t>
      </w:r>
      <w:r w:rsidRPr="00F70FC2">
        <w:rPr>
          <w:rFonts w:ascii="Times New Roman" w:hAnsi="Times New Roman" w:cs="Times New Roman"/>
          <w:i/>
          <w:noProof/>
        </w:rPr>
        <w:t>International Journal of Psychology and Psychological Therapy, 4</w:t>
      </w:r>
      <w:r w:rsidRPr="00F70FC2">
        <w:rPr>
          <w:rFonts w:ascii="Times New Roman" w:hAnsi="Times New Roman" w:cs="Times New Roman"/>
          <w:noProof/>
        </w:rPr>
        <w:t xml:space="preserve">(3), 505-515. </w:t>
      </w:r>
    </w:p>
    <w:p w14:paraId="43983D64" w14:textId="77777777" w:rsidR="009B5DDE" w:rsidRDefault="009B5DDE" w:rsidP="00B95B6D">
      <w:pPr>
        <w:pStyle w:val="EndNoteBibliography"/>
        <w:spacing w:line="480" w:lineRule="auto"/>
        <w:jc w:val="left"/>
        <w:rPr>
          <w:rFonts w:ascii="Times New Roman" w:hAnsi="Times New Roman" w:cs="Times New Roman"/>
          <w:noProof/>
        </w:rPr>
      </w:pPr>
      <w:r w:rsidRPr="00F70FC2">
        <w:rPr>
          <w:rFonts w:ascii="Times New Roman" w:hAnsi="Times New Roman" w:cs="Times New Roman"/>
          <w:noProof/>
        </w:rPr>
        <w:t xml:space="preserve">Meyer, C., Hickson, L., Lovelock, K., Lampert, M., &amp; Khan, A. (2014). An investigation of </w:t>
      </w:r>
    </w:p>
    <w:p w14:paraId="42780EC1" w14:textId="77777777" w:rsidR="009B5DDE" w:rsidRDefault="009B5DDE" w:rsidP="00B95B6D">
      <w:pPr>
        <w:pStyle w:val="EndNoteBibliography"/>
        <w:spacing w:line="480" w:lineRule="auto"/>
        <w:ind w:firstLine="720"/>
        <w:jc w:val="left"/>
        <w:rPr>
          <w:rFonts w:ascii="Times New Roman" w:hAnsi="Times New Roman" w:cs="Times New Roman"/>
          <w:i/>
          <w:noProof/>
        </w:rPr>
      </w:pPr>
      <w:r w:rsidRPr="00F70FC2">
        <w:rPr>
          <w:rFonts w:ascii="Times New Roman" w:hAnsi="Times New Roman" w:cs="Times New Roman"/>
          <w:noProof/>
        </w:rPr>
        <w:t xml:space="preserve">factors that influence help-seeking for hearing impairment in older adults. </w:t>
      </w:r>
      <w:r w:rsidRPr="00F70FC2">
        <w:rPr>
          <w:rFonts w:ascii="Times New Roman" w:hAnsi="Times New Roman" w:cs="Times New Roman"/>
          <w:i/>
          <w:noProof/>
        </w:rPr>
        <w:t xml:space="preserve">International </w:t>
      </w:r>
    </w:p>
    <w:p w14:paraId="12DACB65" w14:textId="4D6B3AE7" w:rsidR="009B5DDE" w:rsidRDefault="009B5DDE" w:rsidP="00B95B6D">
      <w:pPr>
        <w:pStyle w:val="EndNoteBibliography"/>
        <w:spacing w:line="480" w:lineRule="auto"/>
        <w:ind w:firstLine="720"/>
        <w:jc w:val="left"/>
        <w:rPr>
          <w:rFonts w:ascii="Times New Roman" w:hAnsi="Times New Roman" w:cs="Times New Roman"/>
          <w:noProof/>
        </w:rPr>
      </w:pPr>
      <w:r>
        <w:rPr>
          <w:rFonts w:ascii="Times New Roman" w:hAnsi="Times New Roman" w:cs="Times New Roman"/>
          <w:i/>
          <w:noProof/>
        </w:rPr>
        <w:t>J</w:t>
      </w:r>
      <w:r w:rsidRPr="00F70FC2">
        <w:rPr>
          <w:rFonts w:ascii="Times New Roman" w:hAnsi="Times New Roman" w:cs="Times New Roman"/>
          <w:i/>
          <w:noProof/>
        </w:rPr>
        <w:t xml:space="preserve">ournal of </w:t>
      </w:r>
      <w:r>
        <w:rPr>
          <w:rFonts w:ascii="Times New Roman" w:hAnsi="Times New Roman" w:cs="Times New Roman"/>
          <w:i/>
          <w:noProof/>
        </w:rPr>
        <w:t>A</w:t>
      </w:r>
      <w:r w:rsidRPr="00F70FC2">
        <w:rPr>
          <w:rFonts w:ascii="Times New Roman" w:hAnsi="Times New Roman" w:cs="Times New Roman"/>
          <w:i/>
          <w:noProof/>
        </w:rPr>
        <w:t>udiology, 53</w:t>
      </w:r>
      <w:r w:rsidRPr="00F70FC2">
        <w:rPr>
          <w:rFonts w:ascii="Times New Roman" w:hAnsi="Times New Roman" w:cs="Times New Roman"/>
          <w:noProof/>
        </w:rPr>
        <w:t xml:space="preserve">(sup1), S3-S17. </w:t>
      </w:r>
      <w:r w:rsidRPr="0064388A">
        <w:rPr>
          <w:rFonts w:ascii="Times New Roman" w:hAnsi="Times New Roman" w:cs="Times New Roman"/>
          <w:noProof/>
        </w:rPr>
        <w:t>https://doi.org/10.3109/14992027.2013.839888</w:t>
      </w:r>
    </w:p>
    <w:p w14:paraId="6EB9ADE4" w14:textId="77777777" w:rsidR="009B5DDE" w:rsidRDefault="009B5DDE" w:rsidP="00B95B6D">
      <w:pPr>
        <w:pStyle w:val="EndNoteBibliography"/>
        <w:spacing w:line="480" w:lineRule="auto"/>
        <w:ind w:left="720" w:hanging="720"/>
        <w:jc w:val="left"/>
        <w:rPr>
          <w:rFonts w:ascii="Times New Roman" w:hAnsi="Times New Roman" w:cs="Times New Roman"/>
          <w:noProof/>
        </w:rPr>
      </w:pPr>
      <w:r w:rsidRPr="008957BC">
        <w:rPr>
          <w:rFonts w:ascii="Times New Roman" w:hAnsi="Times New Roman" w:cs="Times New Roman"/>
          <w:noProof/>
        </w:rPr>
        <w:t>Muñoz, K., Baughman, K., Meibos, A., Ong, C. W., &amp; Twohig, M. P. (2021). Psychosocial</w:t>
      </w:r>
    </w:p>
    <w:p w14:paraId="6450F99D" w14:textId="77777777" w:rsidR="009B5DDE" w:rsidRDefault="009B5DDE" w:rsidP="00B95B6D">
      <w:pPr>
        <w:pStyle w:val="EndNoteBibliography"/>
        <w:spacing w:line="480" w:lineRule="auto"/>
        <w:ind w:firstLine="720"/>
        <w:jc w:val="left"/>
        <w:rPr>
          <w:rFonts w:ascii="Times New Roman" w:hAnsi="Times New Roman" w:cs="Times New Roman"/>
          <w:i/>
          <w:iCs/>
          <w:noProof/>
        </w:rPr>
      </w:pPr>
      <w:r>
        <w:rPr>
          <w:rFonts w:ascii="Times New Roman" w:hAnsi="Times New Roman" w:cs="Times New Roman"/>
          <w:noProof/>
        </w:rPr>
        <w:t>w</w:t>
      </w:r>
      <w:r w:rsidRPr="008957BC">
        <w:rPr>
          <w:rFonts w:ascii="Times New Roman" w:hAnsi="Times New Roman" w:cs="Times New Roman"/>
          <w:noProof/>
        </w:rPr>
        <w:t>ell-</w:t>
      </w:r>
      <w:r>
        <w:rPr>
          <w:rFonts w:ascii="Times New Roman" w:hAnsi="Times New Roman" w:cs="Times New Roman"/>
          <w:noProof/>
        </w:rPr>
        <w:t>b</w:t>
      </w:r>
      <w:r w:rsidRPr="008957BC">
        <w:rPr>
          <w:rFonts w:ascii="Times New Roman" w:hAnsi="Times New Roman" w:cs="Times New Roman"/>
          <w:noProof/>
        </w:rPr>
        <w:t xml:space="preserve">eing of </w:t>
      </w:r>
      <w:r>
        <w:rPr>
          <w:rFonts w:ascii="Times New Roman" w:hAnsi="Times New Roman" w:cs="Times New Roman"/>
          <w:noProof/>
        </w:rPr>
        <w:t>a</w:t>
      </w:r>
      <w:r w:rsidRPr="008957BC">
        <w:rPr>
          <w:rFonts w:ascii="Times New Roman" w:hAnsi="Times New Roman" w:cs="Times New Roman"/>
          <w:noProof/>
        </w:rPr>
        <w:t xml:space="preserve">dults </w:t>
      </w:r>
      <w:r>
        <w:rPr>
          <w:rFonts w:ascii="Times New Roman" w:hAnsi="Times New Roman" w:cs="Times New Roman"/>
          <w:noProof/>
        </w:rPr>
        <w:t>w</w:t>
      </w:r>
      <w:r w:rsidRPr="008957BC">
        <w:rPr>
          <w:rFonts w:ascii="Times New Roman" w:hAnsi="Times New Roman" w:cs="Times New Roman"/>
          <w:noProof/>
        </w:rPr>
        <w:t xml:space="preserve">ho </w:t>
      </w:r>
      <w:r>
        <w:rPr>
          <w:rFonts w:ascii="Times New Roman" w:hAnsi="Times New Roman" w:cs="Times New Roman"/>
          <w:noProof/>
        </w:rPr>
        <w:t>a</w:t>
      </w:r>
      <w:r w:rsidRPr="008957BC">
        <w:rPr>
          <w:rFonts w:ascii="Times New Roman" w:hAnsi="Times New Roman" w:cs="Times New Roman"/>
          <w:noProof/>
        </w:rPr>
        <w:t xml:space="preserve">re </w:t>
      </w:r>
      <w:r>
        <w:rPr>
          <w:rFonts w:ascii="Times New Roman" w:hAnsi="Times New Roman" w:cs="Times New Roman"/>
          <w:noProof/>
        </w:rPr>
        <w:t>d</w:t>
      </w:r>
      <w:r w:rsidRPr="008957BC">
        <w:rPr>
          <w:rFonts w:ascii="Times New Roman" w:hAnsi="Times New Roman" w:cs="Times New Roman"/>
          <w:noProof/>
        </w:rPr>
        <w:t xml:space="preserve">eaf or </w:t>
      </w:r>
      <w:r>
        <w:rPr>
          <w:rFonts w:ascii="Times New Roman" w:hAnsi="Times New Roman" w:cs="Times New Roman"/>
          <w:noProof/>
        </w:rPr>
        <w:t>d</w:t>
      </w:r>
      <w:r w:rsidRPr="008957BC">
        <w:rPr>
          <w:rFonts w:ascii="Times New Roman" w:hAnsi="Times New Roman" w:cs="Times New Roman"/>
          <w:noProof/>
        </w:rPr>
        <w:t xml:space="preserve">ard of </w:t>
      </w:r>
      <w:r>
        <w:rPr>
          <w:rFonts w:ascii="Times New Roman" w:hAnsi="Times New Roman" w:cs="Times New Roman"/>
          <w:noProof/>
        </w:rPr>
        <w:t>h</w:t>
      </w:r>
      <w:r w:rsidRPr="008957BC">
        <w:rPr>
          <w:rFonts w:ascii="Times New Roman" w:hAnsi="Times New Roman" w:cs="Times New Roman"/>
          <w:noProof/>
        </w:rPr>
        <w:t>earing. </w:t>
      </w:r>
      <w:r w:rsidRPr="008957BC">
        <w:rPr>
          <w:rFonts w:ascii="Times New Roman" w:hAnsi="Times New Roman" w:cs="Times New Roman"/>
          <w:i/>
          <w:iCs/>
          <w:noProof/>
        </w:rPr>
        <w:t>Journal of the American</w:t>
      </w:r>
      <w:r>
        <w:rPr>
          <w:rFonts w:ascii="Times New Roman" w:hAnsi="Times New Roman" w:cs="Times New Roman"/>
          <w:i/>
          <w:iCs/>
          <w:noProof/>
        </w:rPr>
        <w:t xml:space="preserve"> </w:t>
      </w:r>
    </w:p>
    <w:p w14:paraId="1184EA8F" w14:textId="43592384" w:rsidR="009B5DDE" w:rsidRDefault="009B5DDE" w:rsidP="00B95B6D">
      <w:pPr>
        <w:pStyle w:val="EndNoteBibliography"/>
        <w:spacing w:line="480" w:lineRule="auto"/>
        <w:ind w:left="720"/>
        <w:jc w:val="left"/>
        <w:rPr>
          <w:rFonts w:ascii="Times New Roman" w:hAnsi="Times New Roman" w:cs="Times New Roman"/>
          <w:noProof/>
        </w:rPr>
      </w:pPr>
      <w:r w:rsidRPr="008957BC">
        <w:rPr>
          <w:rFonts w:ascii="Times New Roman" w:hAnsi="Times New Roman" w:cs="Times New Roman"/>
          <w:i/>
          <w:iCs/>
          <w:noProof/>
        </w:rPr>
        <w:t>Academy of Audiology</w:t>
      </w:r>
      <w:r w:rsidRPr="008957BC">
        <w:rPr>
          <w:rFonts w:ascii="Times New Roman" w:hAnsi="Times New Roman" w:cs="Times New Roman"/>
          <w:noProof/>
        </w:rPr>
        <w:t>, </w:t>
      </w:r>
      <w:r w:rsidRPr="008957BC">
        <w:rPr>
          <w:rFonts w:ascii="Times New Roman" w:hAnsi="Times New Roman" w:cs="Times New Roman"/>
          <w:i/>
          <w:iCs/>
          <w:noProof/>
        </w:rPr>
        <w:t>32</w:t>
      </w:r>
      <w:r w:rsidRPr="008957BC">
        <w:rPr>
          <w:rFonts w:ascii="Times New Roman" w:hAnsi="Times New Roman" w:cs="Times New Roman"/>
          <w:noProof/>
        </w:rPr>
        <w:t>(02), 083-089.</w:t>
      </w:r>
      <w:r>
        <w:rPr>
          <w:rFonts w:ascii="Times New Roman" w:hAnsi="Times New Roman" w:cs="Times New Roman"/>
          <w:noProof/>
        </w:rPr>
        <w:t xml:space="preserve"> </w:t>
      </w:r>
      <w:r w:rsidR="00AF0107" w:rsidRPr="0064388A">
        <w:rPr>
          <w:rFonts w:ascii="Times New Roman" w:hAnsi="Times New Roman" w:cs="Times New Roman"/>
          <w:noProof/>
        </w:rPr>
        <w:t>https://doi.org/10.1055/s-0040-1718928</w:t>
      </w:r>
    </w:p>
    <w:p w14:paraId="6733D70F" w14:textId="77777777" w:rsidR="00AF0107" w:rsidRDefault="00AF0107" w:rsidP="00AF0107">
      <w:pPr>
        <w:pStyle w:val="EndNoteBibliography"/>
        <w:spacing w:line="480" w:lineRule="auto"/>
        <w:jc w:val="left"/>
        <w:rPr>
          <w:rFonts w:ascii="Times New Roman" w:hAnsi="Times New Roman" w:cs="Times New Roman"/>
          <w:noProof/>
        </w:rPr>
      </w:pPr>
      <w:r w:rsidRPr="00AF0107">
        <w:rPr>
          <w:rFonts w:ascii="Times New Roman" w:hAnsi="Times New Roman" w:cs="Times New Roman"/>
          <w:noProof/>
        </w:rPr>
        <w:t xml:space="preserve">Ng, J. H. Y., &amp; Loke, A. Y. (2015). Determinants of hearing-aid adoption and use among the </w:t>
      </w:r>
    </w:p>
    <w:p w14:paraId="685DAC09" w14:textId="3D464663" w:rsidR="00AF0107" w:rsidRPr="00F70FC2" w:rsidRDefault="00AF0107" w:rsidP="00AF0107">
      <w:pPr>
        <w:pStyle w:val="EndNoteBibliography"/>
        <w:spacing w:line="480" w:lineRule="auto"/>
        <w:ind w:left="720"/>
        <w:jc w:val="left"/>
        <w:rPr>
          <w:rFonts w:ascii="Times New Roman" w:hAnsi="Times New Roman" w:cs="Times New Roman"/>
          <w:noProof/>
        </w:rPr>
      </w:pPr>
      <w:r w:rsidRPr="00AF0107">
        <w:rPr>
          <w:rFonts w:ascii="Times New Roman" w:hAnsi="Times New Roman" w:cs="Times New Roman"/>
          <w:noProof/>
        </w:rPr>
        <w:lastRenderedPageBreak/>
        <w:t>elderly: A systematic review. </w:t>
      </w:r>
      <w:r w:rsidRPr="00AF0107">
        <w:rPr>
          <w:rFonts w:ascii="Times New Roman" w:hAnsi="Times New Roman" w:cs="Times New Roman"/>
          <w:i/>
          <w:iCs/>
          <w:noProof/>
        </w:rPr>
        <w:t>International Journal of Audiology</w:t>
      </w:r>
      <w:r w:rsidRPr="00AF0107">
        <w:rPr>
          <w:rFonts w:ascii="Times New Roman" w:hAnsi="Times New Roman" w:cs="Times New Roman"/>
          <w:noProof/>
        </w:rPr>
        <w:t>, </w:t>
      </w:r>
      <w:r w:rsidRPr="00AF0107">
        <w:rPr>
          <w:rFonts w:ascii="Times New Roman" w:hAnsi="Times New Roman" w:cs="Times New Roman"/>
          <w:i/>
          <w:iCs/>
          <w:noProof/>
        </w:rPr>
        <w:t>54</w:t>
      </w:r>
      <w:r w:rsidRPr="00AF0107">
        <w:rPr>
          <w:rFonts w:ascii="Times New Roman" w:hAnsi="Times New Roman" w:cs="Times New Roman"/>
          <w:noProof/>
        </w:rPr>
        <w:t>(5), 291-300.</w:t>
      </w:r>
      <w:r>
        <w:rPr>
          <w:rFonts w:ascii="Times New Roman" w:hAnsi="Times New Roman" w:cs="Times New Roman"/>
          <w:noProof/>
        </w:rPr>
        <w:t xml:space="preserve"> </w:t>
      </w:r>
      <w:r w:rsidRPr="00AF0107">
        <w:rPr>
          <w:rFonts w:ascii="Times New Roman" w:hAnsi="Times New Roman" w:cs="Times New Roman"/>
          <w:noProof/>
        </w:rPr>
        <w:t>https://doi.org/10.3109/14992027.2014.966922</w:t>
      </w:r>
    </w:p>
    <w:p w14:paraId="3327205B" w14:textId="192FA766"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Nixon, G., Sarant, J., Tomlin, D., &amp; Dowell, R. (2021). Hearing </w:t>
      </w:r>
      <w:r>
        <w:rPr>
          <w:rFonts w:ascii="Times New Roman" w:hAnsi="Times New Roman" w:cs="Times New Roman"/>
          <w:noProof/>
        </w:rPr>
        <w:t>a</w:t>
      </w:r>
      <w:r w:rsidRPr="00F70FC2">
        <w:rPr>
          <w:rFonts w:ascii="Times New Roman" w:hAnsi="Times New Roman" w:cs="Times New Roman"/>
          <w:noProof/>
        </w:rPr>
        <w:t xml:space="preserve">id </w:t>
      </w:r>
      <w:r>
        <w:rPr>
          <w:rFonts w:ascii="Times New Roman" w:hAnsi="Times New Roman" w:cs="Times New Roman"/>
          <w:noProof/>
        </w:rPr>
        <w:t>u</w:t>
      </w:r>
      <w:r w:rsidRPr="00F70FC2">
        <w:rPr>
          <w:rFonts w:ascii="Times New Roman" w:hAnsi="Times New Roman" w:cs="Times New Roman"/>
          <w:noProof/>
        </w:rPr>
        <w:t xml:space="preserve">ptake, </w:t>
      </w:r>
      <w:r>
        <w:rPr>
          <w:rFonts w:ascii="Times New Roman" w:hAnsi="Times New Roman" w:cs="Times New Roman"/>
          <w:noProof/>
        </w:rPr>
        <w:t>b</w:t>
      </w:r>
      <w:r w:rsidRPr="00F70FC2">
        <w:rPr>
          <w:rFonts w:ascii="Times New Roman" w:hAnsi="Times New Roman" w:cs="Times New Roman"/>
          <w:noProof/>
        </w:rPr>
        <w:t xml:space="preserve">enefit, and </w:t>
      </w:r>
      <w:r>
        <w:rPr>
          <w:rFonts w:ascii="Times New Roman" w:hAnsi="Times New Roman" w:cs="Times New Roman"/>
          <w:noProof/>
        </w:rPr>
        <w:t>u</w:t>
      </w:r>
      <w:r w:rsidRPr="00F70FC2">
        <w:rPr>
          <w:rFonts w:ascii="Times New Roman" w:hAnsi="Times New Roman" w:cs="Times New Roman"/>
          <w:noProof/>
        </w:rPr>
        <w:t xml:space="preserve">se: The </w:t>
      </w:r>
      <w:r>
        <w:rPr>
          <w:rFonts w:ascii="Times New Roman" w:hAnsi="Times New Roman" w:cs="Times New Roman"/>
          <w:noProof/>
        </w:rPr>
        <w:t>i</w:t>
      </w:r>
      <w:r w:rsidRPr="00F70FC2">
        <w:rPr>
          <w:rFonts w:ascii="Times New Roman" w:hAnsi="Times New Roman" w:cs="Times New Roman"/>
          <w:noProof/>
        </w:rPr>
        <w:t xml:space="preserve">mpact of </w:t>
      </w:r>
      <w:r>
        <w:rPr>
          <w:rFonts w:ascii="Times New Roman" w:hAnsi="Times New Roman" w:cs="Times New Roman"/>
          <w:noProof/>
        </w:rPr>
        <w:t>h</w:t>
      </w:r>
      <w:r w:rsidRPr="00F70FC2">
        <w:rPr>
          <w:rFonts w:ascii="Times New Roman" w:hAnsi="Times New Roman" w:cs="Times New Roman"/>
          <w:noProof/>
        </w:rPr>
        <w:t xml:space="preserve">earing, </w:t>
      </w:r>
      <w:r>
        <w:rPr>
          <w:rFonts w:ascii="Times New Roman" w:hAnsi="Times New Roman" w:cs="Times New Roman"/>
          <w:noProof/>
        </w:rPr>
        <w:t>c</w:t>
      </w:r>
      <w:r w:rsidRPr="00F70FC2">
        <w:rPr>
          <w:rFonts w:ascii="Times New Roman" w:hAnsi="Times New Roman" w:cs="Times New Roman"/>
          <w:noProof/>
        </w:rPr>
        <w:t xml:space="preserve">ognition, and </w:t>
      </w:r>
      <w:r>
        <w:rPr>
          <w:rFonts w:ascii="Times New Roman" w:hAnsi="Times New Roman" w:cs="Times New Roman"/>
          <w:noProof/>
        </w:rPr>
        <w:t>p</w:t>
      </w:r>
      <w:r w:rsidRPr="00F70FC2">
        <w:rPr>
          <w:rFonts w:ascii="Times New Roman" w:hAnsi="Times New Roman" w:cs="Times New Roman"/>
          <w:noProof/>
        </w:rPr>
        <w:t xml:space="preserve">ersonal </w:t>
      </w:r>
      <w:r>
        <w:rPr>
          <w:rFonts w:ascii="Times New Roman" w:hAnsi="Times New Roman" w:cs="Times New Roman"/>
          <w:noProof/>
        </w:rPr>
        <w:t>f</w:t>
      </w:r>
      <w:r w:rsidRPr="00F70FC2">
        <w:rPr>
          <w:rFonts w:ascii="Times New Roman" w:hAnsi="Times New Roman" w:cs="Times New Roman"/>
          <w:noProof/>
        </w:rPr>
        <w:t xml:space="preserve">actors. </w:t>
      </w:r>
      <w:r w:rsidRPr="00F70FC2">
        <w:rPr>
          <w:rFonts w:ascii="Times New Roman" w:hAnsi="Times New Roman" w:cs="Times New Roman"/>
          <w:i/>
          <w:noProof/>
        </w:rPr>
        <w:t>Journal of Speech, Language, and Hearing Research, 64</w:t>
      </w:r>
      <w:r w:rsidRPr="00F70FC2">
        <w:rPr>
          <w:rFonts w:ascii="Times New Roman" w:hAnsi="Times New Roman" w:cs="Times New Roman"/>
          <w:noProof/>
        </w:rPr>
        <w:t xml:space="preserve">(2), 651-663. </w:t>
      </w:r>
      <w:r w:rsidRPr="0064388A">
        <w:rPr>
          <w:rFonts w:ascii="Times New Roman" w:hAnsi="Times New Roman" w:cs="Times New Roman"/>
          <w:noProof/>
        </w:rPr>
        <w:t>https://doi.org/10.1044/2020_JSLHR-20-00014</w:t>
      </w:r>
    </w:p>
    <w:p w14:paraId="7F110391" w14:textId="77777777" w:rsidR="009B5DDE" w:rsidRDefault="009B5DDE" w:rsidP="00B95B6D">
      <w:pPr>
        <w:pStyle w:val="EndNoteBibliography"/>
        <w:spacing w:line="480" w:lineRule="auto"/>
        <w:jc w:val="left"/>
        <w:rPr>
          <w:rFonts w:ascii="Times New Roman" w:hAnsi="Times New Roman" w:cs="Times New Roman"/>
          <w:noProof/>
        </w:rPr>
      </w:pPr>
      <w:r w:rsidRPr="00F70FC2">
        <w:rPr>
          <w:rFonts w:ascii="Times New Roman" w:hAnsi="Times New Roman" w:cs="Times New Roman"/>
          <w:noProof/>
        </w:rPr>
        <w:t xml:space="preserve">Ong, C. W., Whicker, J. J., Muñoz, K., &amp; Twohig, M. P. (2019). Measuring psychological </w:t>
      </w:r>
    </w:p>
    <w:p w14:paraId="4AC2E0F0"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noProof/>
        </w:rPr>
        <w:t xml:space="preserve">inflexibility in adult and child hearing loss. </w:t>
      </w:r>
      <w:r w:rsidRPr="00F70FC2">
        <w:rPr>
          <w:rFonts w:ascii="Times New Roman" w:hAnsi="Times New Roman" w:cs="Times New Roman"/>
          <w:i/>
          <w:noProof/>
        </w:rPr>
        <w:t xml:space="preserve">International </w:t>
      </w:r>
      <w:r>
        <w:rPr>
          <w:rFonts w:ascii="Times New Roman" w:hAnsi="Times New Roman" w:cs="Times New Roman"/>
          <w:i/>
          <w:noProof/>
        </w:rPr>
        <w:t>J</w:t>
      </w:r>
      <w:r w:rsidRPr="00F70FC2">
        <w:rPr>
          <w:rFonts w:ascii="Times New Roman" w:hAnsi="Times New Roman" w:cs="Times New Roman"/>
          <w:i/>
          <w:noProof/>
        </w:rPr>
        <w:t xml:space="preserve">ournal of </w:t>
      </w:r>
      <w:r>
        <w:rPr>
          <w:rFonts w:ascii="Times New Roman" w:hAnsi="Times New Roman" w:cs="Times New Roman"/>
          <w:i/>
          <w:noProof/>
        </w:rPr>
        <w:t>A</w:t>
      </w:r>
      <w:r w:rsidRPr="00F70FC2">
        <w:rPr>
          <w:rFonts w:ascii="Times New Roman" w:hAnsi="Times New Roman" w:cs="Times New Roman"/>
          <w:i/>
          <w:noProof/>
        </w:rPr>
        <w:t>udiology, 58</w:t>
      </w:r>
      <w:r w:rsidRPr="00F70FC2">
        <w:rPr>
          <w:rFonts w:ascii="Times New Roman" w:hAnsi="Times New Roman" w:cs="Times New Roman"/>
          <w:noProof/>
        </w:rPr>
        <w:t xml:space="preserve">(10), </w:t>
      </w:r>
    </w:p>
    <w:p w14:paraId="313C3C6B" w14:textId="28F30362" w:rsidR="009B5DDE" w:rsidRPr="00F70FC2"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noProof/>
        </w:rPr>
        <w:t xml:space="preserve">643-650. </w:t>
      </w:r>
      <w:r w:rsidRPr="0064388A">
        <w:rPr>
          <w:rFonts w:ascii="Times New Roman" w:hAnsi="Times New Roman" w:cs="Times New Roman"/>
          <w:noProof/>
        </w:rPr>
        <w:t>https://doi.org/10.1080/14992027.2019.1630759</w:t>
      </w:r>
    </w:p>
    <w:p w14:paraId="6EE6978E" w14:textId="77777777" w:rsidR="009B5DDE" w:rsidRPr="00B95B6D" w:rsidRDefault="009B5DDE" w:rsidP="00B95B6D">
      <w:pPr>
        <w:spacing w:line="480" w:lineRule="auto"/>
        <w:rPr>
          <w:rFonts w:ascii="Times New Roman" w:eastAsia="Times New Roman" w:hAnsi="Times New Roman" w:cs="Times New Roman"/>
        </w:rPr>
      </w:pPr>
      <w:r w:rsidRPr="00B95B6D">
        <w:rPr>
          <w:rFonts w:ascii="Times New Roman" w:eastAsia="Times New Roman" w:hAnsi="Times New Roman" w:cs="Times New Roman"/>
        </w:rPr>
        <w:t xml:space="preserve">Pronk, M., Deeg, D. J., &amp; Kramer, S. E. (2013). Hearing status in older persons: A significant </w:t>
      </w:r>
    </w:p>
    <w:p w14:paraId="1F5115C1" w14:textId="77777777" w:rsidR="009B5DDE" w:rsidRPr="00B95B6D" w:rsidRDefault="009B5DDE" w:rsidP="00B95B6D">
      <w:pPr>
        <w:spacing w:line="480" w:lineRule="auto"/>
        <w:ind w:firstLine="720"/>
        <w:rPr>
          <w:rFonts w:ascii="Times New Roman" w:eastAsia="Times New Roman" w:hAnsi="Times New Roman" w:cs="Times New Roman"/>
        </w:rPr>
      </w:pPr>
      <w:r w:rsidRPr="00B95B6D">
        <w:rPr>
          <w:rFonts w:ascii="Times New Roman" w:eastAsia="Times New Roman" w:hAnsi="Times New Roman" w:cs="Times New Roman"/>
        </w:rPr>
        <w:t xml:space="preserve">determinant of depression and loneliness? Results from the longitudinal aging study </w:t>
      </w:r>
    </w:p>
    <w:p w14:paraId="04BC47A3" w14:textId="403A34C0" w:rsidR="009B5DDE" w:rsidRPr="00B95B6D" w:rsidRDefault="00790A3C" w:rsidP="00B95B6D">
      <w:pPr>
        <w:spacing w:line="480" w:lineRule="auto"/>
        <w:ind w:firstLine="720"/>
        <w:rPr>
          <w:rFonts w:ascii="Times New Roman" w:eastAsia="Times New Roman" w:hAnsi="Times New Roman" w:cs="Times New Roman"/>
        </w:rPr>
      </w:pPr>
      <w:r w:rsidRPr="00B95B6D">
        <w:rPr>
          <w:rFonts w:ascii="Times New Roman" w:eastAsia="Times New Roman" w:hAnsi="Times New Roman" w:cs="Times New Roman"/>
        </w:rPr>
        <w:t>Amsterdam</w:t>
      </w:r>
      <w:r w:rsidR="009B5DDE" w:rsidRPr="00B95B6D">
        <w:rPr>
          <w:rFonts w:ascii="Times New Roman" w:eastAsia="Times New Roman" w:hAnsi="Times New Roman" w:cs="Times New Roman"/>
        </w:rPr>
        <w:t>. </w:t>
      </w:r>
      <w:r w:rsidR="009B5DDE" w:rsidRPr="00B95B6D">
        <w:rPr>
          <w:rFonts w:ascii="Times New Roman" w:eastAsia="Times New Roman" w:hAnsi="Times New Roman" w:cs="Times New Roman"/>
          <w:i/>
          <w:iCs/>
        </w:rPr>
        <w:t>American Journal of Audiology</w:t>
      </w:r>
      <w:r w:rsidR="009B5DDE" w:rsidRPr="00B95B6D">
        <w:rPr>
          <w:rFonts w:ascii="Times New Roman" w:eastAsia="Times New Roman" w:hAnsi="Times New Roman" w:cs="Times New Roman"/>
        </w:rPr>
        <w:t>, </w:t>
      </w:r>
      <w:r w:rsidR="009B5DDE" w:rsidRPr="00B95B6D">
        <w:rPr>
          <w:rFonts w:ascii="Times New Roman" w:eastAsia="Times New Roman" w:hAnsi="Times New Roman" w:cs="Times New Roman"/>
          <w:i/>
          <w:iCs/>
        </w:rPr>
        <w:t>22</w:t>
      </w:r>
      <w:r w:rsidR="009B5DDE" w:rsidRPr="00B95B6D">
        <w:rPr>
          <w:rFonts w:ascii="Times New Roman" w:eastAsia="Times New Roman" w:hAnsi="Times New Roman" w:cs="Times New Roman"/>
        </w:rPr>
        <w:t xml:space="preserve">(2), 316–320. </w:t>
      </w:r>
    </w:p>
    <w:p w14:paraId="4614E65F" w14:textId="77777777" w:rsidR="009B5DDE" w:rsidRPr="00A53580" w:rsidRDefault="009B5DDE" w:rsidP="00B95B6D">
      <w:pPr>
        <w:spacing w:line="480" w:lineRule="auto"/>
        <w:ind w:firstLine="720"/>
        <w:rPr>
          <w:rFonts w:ascii="Times New Roman" w:eastAsia="Times New Roman" w:hAnsi="Times New Roman" w:cs="Times New Roman"/>
        </w:rPr>
      </w:pPr>
      <w:r w:rsidRPr="00B95B6D">
        <w:rPr>
          <w:rFonts w:ascii="Times New Roman" w:eastAsia="Times New Roman" w:hAnsi="Times New Roman" w:cs="Times New Roman"/>
        </w:rPr>
        <w:t>https://doi.org/10.1044/1059-0889(2013/12-0069)</w:t>
      </w:r>
    </w:p>
    <w:p w14:paraId="2AD6A028"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R Core Team. (2020). R: A language and environment for statistical computing. R Foundation for Statistical Computing. Vienna, Autria. Retrieved from https://www.R-project.org/</w:t>
      </w:r>
    </w:p>
    <w:p w14:paraId="06CAE99D" w14:textId="53FAE8F1"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Resnick, H. E., Fries, B. E., &amp; Verbrugge, L. M. (1997). Windows to their world: </w:t>
      </w:r>
      <w:r>
        <w:rPr>
          <w:rFonts w:ascii="Times New Roman" w:hAnsi="Times New Roman" w:cs="Times New Roman"/>
          <w:noProof/>
        </w:rPr>
        <w:t>T</w:t>
      </w:r>
      <w:r w:rsidRPr="00F70FC2">
        <w:rPr>
          <w:rFonts w:ascii="Times New Roman" w:hAnsi="Times New Roman" w:cs="Times New Roman"/>
          <w:noProof/>
        </w:rPr>
        <w:t xml:space="preserve">he effect of sensory impairments on social engagement and activity time in nursing home residents. </w:t>
      </w:r>
      <w:r w:rsidRPr="00F70FC2">
        <w:rPr>
          <w:rFonts w:ascii="Times New Roman" w:hAnsi="Times New Roman" w:cs="Times New Roman"/>
          <w:i/>
          <w:noProof/>
        </w:rPr>
        <w:t>The Journals of Gerontology Series B: Psychological Sciences and Social Sciences, 52</w:t>
      </w:r>
      <w:r w:rsidRPr="00F70FC2">
        <w:rPr>
          <w:rFonts w:ascii="Times New Roman" w:hAnsi="Times New Roman" w:cs="Times New Roman"/>
          <w:noProof/>
        </w:rPr>
        <w:t xml:space="preserve">(3), S135-S144. </w:t>
      </w:r>
      <w:r w:rsidRPr="0064388A">
        <w:rPr>
          <w:rFonts w:ascii="Times New Roman" w:hAnsi="Times New Roman" w:cs="Times New Roman"/>
          <w:noProof/>
        </w:rPr>
        <w:t>https://doi.org/10.1093/geronb/52B.3.S135</w:t>
      </w:r>
    </w:p>
    <w:p w14:paraId="3170DFA9" w14:textId="081F36C0"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Rolffs, J. L., Rogge, R. D., &amp; Wilson, K. G. (2018). Disentangling components of flexibility via the hexaflex model: Development and validation of the Multidimensional Psychological Flexibility Inventory (MPFI). </w:t>
      </w:r>
      <w:r w:rsidRPr="00F70FC2">
        <w:rPr>
          <w:rFonts w:ascii="Times New Roman" w:hAnsi="Times New Roman" w:cs="Times New Roman"/>
          <w:i/>
          <w:noProof/>
        </w:rPr>
        <w:t>Assessment, 25</w:t>
      </w:r>
      <w:r w:rsidRPr="00F70FC2">
        <w:rPr>
          <w:rFonts w:ascii="Times New Roman" w:hAnsi="Times New Roman" w:cs="Times New Roman"/>
          <w:noProof/>
        </w:rPr>
        <w:t xml:space="preserve">(4), 458-482. </w:t>
      </w:r>
      <w:r w:rsidRPr="0064388A">
        <w:rPr>
          <w:rFonts w:ascii="Times New Roman" w:hAnsi="Times New Roman" w:cs="Times New Roman"/>
          <w:noProof/>
        </w:rPr>
        <w:t>https://doi.org/10.1177/1073191116645905</w:t>
      </w:r>
    </w:p>
    <w:p w14:paraId="52413601" w14:textId="77777777"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lastRenderedPageBreak/>
        <w:t xml:space="preserve">Rosseel, Y. (2012). lavaan: An R Package for Structural Equation Modeling. </w:t>
      </w:r>
      <w:r w:rsidRPr="00F70FC2">
        <w:rPr>
          <w:rFonts w:ascii="Times New Roman" w:hAnsi="Times New Roman" w:cs="Times New Roman"/>
          <w:i/>
          <w:noProof/>
        </w:rPr>
        <w:t>2012, 48</w:t>
      </w:r>
      <w:r w:rsidRPr="00F70FC2">
        <w:rPr>
          <w:rFonts w:ascii="Times New Roman" w:hAnsi="Times New Roman" w:cs="Times New Roman"/>
          <w:noProof/>
        </w:rPr>
        <w:t>(2), 36. doi:10.18637/jss.v048.i02</w:t>
      </w:r>
    </w:p>
    <w:p w14:paraId="2AC19583" w14:textId="77777777" w:rsidR="009B5DDE" w:rsidRDefault="009B5DDE" w:rsidP="00B95B6D">
      <w:pPr>
        <w:pStyle w:val="EndNoteBibliography"/>
        <w:spacing w:line="480" w:lineRule="auto"/>
        <w:jc w:val="left"/>
        <w:rPr>
          <w:rFonts w:ascii="Times New Roman" w:hAnsi="Times New Roman" w:cs="Times New Roman"/>
          <w:noProof/>
        </w:rPr>
      </w:pPr>
      <w:r w:rsidRPr="00F70FC2">
        <w:rPr>
          <w:rFonts w:ascii="Times New Roman" w:hAnsi="Times New Roman" w:cs="Times New Roman"/>
          <w:noProof/>
        </w:rPr>
        <w:t xml:space="preserve">Saunders, G. H., Frederick, M. T., Silverman, S. C., Nielsen, C., &amp; Laplante-Lévesque, A. </w:t>
      </w:r>
    </w:p>
    <w:p w14:paraId="5F919190"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noProof/>
        </w:rPr>
        <w:t xml:space="preserve">(2016). Health behavior theories as predictors of hearing-aid uptake and outcomes. </w:t>
      </w:r>
    </w:p>
    <w:p w14:paraId="6E8A2C62"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i/>
          <w:noProof/>
        </w:rPr>
        <w:t xml:space="preserve">International </w:t>
      </w:r>
      <w:r>
        <w:rPr>
          <w:rFonts w:ascii="Times New Roman" w:hAnsi="Times New Roman" w:cs="Times New Roman"/>
          <w:i/>
          <w:noProof/>
        </w:rPr>
        <w:t>J</w:t>
      </w:r>
      <w:r w:rsidRPr="00F70FC2">
        <w:rPr>
          <w:rFonts w:ascii="Times New Roman" w:hAnsi="Times New Roman" w:cs="Times New Roman"/>
          <w:i/>
          <w:noProof/>
        </w:rPr>
        <w:t xml:space="preserve">ournal of </w:t>
      </w:r>
      <w:r>
        <w:rPr>
          <w:rFonts w:ascii="Times New Roman" w:hAnsi="Times New Roman" w:cs="Times New Roman"/>
          <w:i/>
          <w:noProof/>
        </w:rPr>
        <w:t>A</w:t>
      </w:r>
      <w:r w:rsidRPr="00F70FC2">
        <w:rPr>
          <w:rFonts w:ascii="Times New Roman" w:hAnsi="Times New Roman" w:cs="Times New Roman"/>
          <w:i/>
          <w:noProof/>
        </w:rPr>
        <w:t>udiology, 55</w:t>
      </w:r>
      <w:r w:rsidRPr="00F70FC2">
        <w:rPr>
          <w:rFonts w:ascii="Times New Roman" w:hAnsi="Times New Roman" w:cs="Times New Roman"/>
          <w:noProof/>
        </w:rPr>
        <w:t xml:space="preserve">(sup3), S59-S68. </w:t>
      </w:r>
    </w:p>
    <w:p w14:paraId="45D59B18" w14:textId="578731B7" w:rsidR="009B5DDE" w:rsidRPr="00F70FC2" w:rsidRDefault="009B5DDE" w:rsidP="00B95B6D">
      <w:pPr>
        <w:pStyle w:val="EndNoteBibliography"/>
        <w:spacing w:line="480" w:lineRule="auto"/>
        <w:ind w:firstLine="720"/>
        <w:jc w:val="left"/>
        <w:rPr>
          <w:rFonts w:ascii="Times New Roman" w:hAnsi="Times New Roman" w:cs="Times New Roman"/>
          <w:noProof/>
        </w:rPr>
      </w:pPr>
      <w:r w:rsidRPr="0064388A">
        <w:rPr>
          <w:rFonts w:ascii="Times New Roman" w:hAnsi="Times New Roman" w:cs="Times New Roman"/>
          <w:noProof/>
        </w:rPr>
        <w:t>https://doi.org/10.3109/14992027.2016.1144240</w:t>
      </w:r>
    </w:p>
    <w:p w14:paraId="2EABCC59" w14:textId="0A6E2298"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Vestergaard Knudsen, L., Öberg, M., Nielsen, C., Naylor, G., &amp; Kramer, S. E. (2010). Factors influencing help seeking, hearing aid uptake, hearing aid use and satisfaction with hearing aids: A review of the literature. </w:t>
      </w:r>
      <w:r w:rsidRPr="00F70FC2">
        <w:rPr>
          <w:rFonts w:ascii="Times New Roman" w:hAnsi="Times New Roman" w:cs="Times New Roman"/>
          <w:i/>
          <w:noProof/>
        </w:rPr>
        <w:t xml:space="preserve">Trends in </w:t>
      </w:r>
      <w:r>
        <w:rPr>
          <w:rFonts w:ascii="Times New Roman" w:hAnsi="Times New Roman" w:cs="Times New Roman"/>
          <w:i/>
          <w:noProof/>
        </w:rPr>
        <w:t>A</w:t>
      </w:r>
      <w:r w:rsidRPr="00F70FC2">
        <w:rPr>
          <w:rFonts w:ascii="Times New Roman" w:hAnsi="Times New Roman" w:cs="Times New Roman"/>
          <w:i/>
          <w:noProof/>
        </w:rPr>
        <w:t>mplification, 14</w:t>
      </w:r>
      <w:r w:rsidRPr="00F70FC2">
        <w:rPr>
          <w:rFonts w:ascii="Times New Roman" w:hAnsi="Times New Roman" w:cs="Times New Roman"/>
          <w:noProof/>
        </w:rPr>
        <w:t xml:space="preserve">(3), 127-154. </w:t>
      </w:r>
      <w:r w:rsidRPr="0064388A">
        <w:rPr>
          <w:rFonts w:ascii="Times New Roman" w:hAnsi="Times New Roman" w:cs="Times New Roman"/>
          <w:noProof/>
        </w:rPr>
        <w:t>https://doi.org/10.1177/1084713810385712</w:t>
      </w:r>
    </w:p>
    <w:p w14:paraId="0FCB4A00" w14:textId="19493BDF"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Wallhagen, M. I. (2010). The stigma of hearing loss. </w:t>
      </w:r>
      <w:r w:rsidRPr="00F70FC2">
        <w:rPr>
          <w:rFonts w:ascii="Times New Roman" w:hAnsi="Times New Roman" w:cs="Times New Roman"/>
          <w:i/>
          <w:noProof/>
        </w:rPr>
        <w:t>The Gerontologist, 50</w:t>
      </w:r>
      <w:r w:rsidRPr="00F70FC2">
        <w:rPr>
          <w:rFonts w:ascii="Times New Roman" w:hAnsi="Times New Roman" w:cs="Times New Roman"/>
          <w:noProof/>
        </w:rPr>
        <w:t>(1), 66-75.</w:t>
      </w:r>
      <w:r>
        <w:rPr>
          <w:rFonts w:ascii="Times New Roman" w:hAnsi="Times New Roman" w:cs="Times New Roman"/>
          <w:noProof/>
        </w:rPr>
        <w:t xml:space="preserve"> </w:t>
      </w:r>
      <w:r w:rsidRPr="0064388A">
        <w:rPr>
          <w:rFonts w:ascii="Times New Roman" w:hAnsi="Times New Roman" w:cs="Times New Roman"/>
          <w:noProof/>
        </w:rPr>
        <w:t>https://doi.org/10.1093/geront/gnp107</w:t>
      </w:r>
      <w:r w:rsidRPr="00F70FC2">
        <w:rPr>
          <w:rFonts w:ascii="Times New Roman" w:hAnsi="Times New Roman" w:cs="Times New Roman"/>
          <w:noProof/>
        </w:rPr>
        <w:t xml:space="preserve"> </w:t>
      </w:r>
    </w:p>
    <w:p w14:paraId="04E2A969" w14:textId="77777777" w:rsidR="009B5DDE" w:rsidRDefault="009B5DDE" w:rsidP="00B95B6D">
      <w:pPr>
        <w:pStyle w:val="EndNoteBibliography"/>
        <w:spacing w:line="480" w:lineRule="auto"/>
        <w:jc w:val="left"/>
        <w:rPr>
          <w:rFonts w:ascii="Times New Roman" w:hAnsi="Times New Roman" w:cs="Times New Roman"/>
          <w:noProof/>
        </w:rPr>
      </w:pPr>
      <w:r w:rsidRPr="00F70FC2">
        <w:rPr>
          <w:rFonts w:ascii="Times New Roman" w:hAnsi="Times New Roman" w:cs="Times New Roman"/>
          <w:noProof/>
        </w:rPr>
        <w:t xml:space="preserve">West, R. L., &amp; Smith, S. L. (2007). Development of a hearing aid self-efficacy questionnaire. </w:t>
      </w:r>
    </w:p>
    <w:p w14:paraId="0689D898" w14:textId="77777777" w:rsidR="009B5DDE" w:rsidRDefault="009B5DDE" w:rsidP="00B95B6D">
      <w:pPr>
        <w:pStyle w:val="EndNoteBibliography"/>
        <w:spacing w:line="480" w:lineRule="auto"/>
        <w:ind w:firstLine="720"/>
        <w:jc w:val="left"/>
        <w:rPr>
          <w:rFonts w:ascii="Times New Roman" w:hAnsi="Times New Roman" w:cs="Times New Roman"/>
          <w:noProof/>
        </w:rPr>
      </w:pPr>
      <w:r w:rsidRPr="00F70FC2">
        <w:rPr>
          <w:rFonts w:ascii="Times New Roman" w:hAnsi="Times New Roman" w:cs="Times New Roman"/>
          <w:i/>
          <w:noProof/>
        </w:rPr>
        <w:t>International</w:t>
      </w:r>
      <w:r>
        <w:rPr>
          <w:rFonts w:ascii="Times New Roman" w:hAnsi="Times New Roman" w:cs="Times New Roman"/>
          <w:i/>
          <w:noProof/>
        </w:rPr>
        <w:t xml:space="preserve"> J</w:t>
      </w:r>
      <w:r w:rsidRPr="00F70FC2">
        <w:rPr>
          <w:rFonts w:ascii="Times New Roman" w:hAnsi="Times New Roman" w:cs="Times New Roman"/>
          <w:i/>
          <w:noProof/>
        </w:rPr>
        <w:t xml:space="preserve">ournal of </w:t>
      </w:r>
      <w:r>
        <w:rPr>
          <w:rFonts w:ascii="Times New Roman" w:hAnsi="Times New Roman" w:cs="Times New Roman"/>
          <w:i/>
          <w:noProof/>
        </w:rPr>
        <w:t>A</w:t>
      </w:r>
      <w:r w:rsidRPr="00F70FC2">
        <w:rPr>
          <w:rFonts w:ascii="Times New Roman" w:hAnsi="Times New Roman" w:cs="Times New Roman"/>
          <w:i/>
          <w:noProof/>
        </w:rPr>
        <w:t>udiology, 46</w:t>
      </w:r>
      <w:r w:rsidRPr="00F70FC2">
        <w:rPr>
          <w:rFonts w:ascii="Times New Roman" w:hAnsi="Times New Roman" w:cs="Times New Roman"/>
          <w:noProof/>
        </w:rPr>
        <w:t xml:space="preserve">(12), 759-771. </w:t>
      </w:r>
    </w:p>
    <w:p w14:paraId="71470294" w14:textId="46EF1D37" w:rsidR="009B5DDE" w:rsidRPr="00F70FC2" w:rsidRDefault="009B5DDE" w:rsidP="00B95B6D">
      <w:pPr>
        <w:pStyle w:val="EndNoteBibliography"/>
        <w:spacing w:line="480" w:lineRule="auto"/>
        <w:ind w:firstLine="720"/>
        <w:jc w:val="left"/>
        <w:rPr>
          <w:rFonts w:ascii="Times New Roman" w:hAnsi="Times New Roman" w:cs="Times New Roman"/>
          <w:noProof/>
        </w:rPr>
      </w:pPr>
      <w:r w:rsidRPr="0064388A">
        <w:rPr>
          <w:rFonts w:ascii="Times New Roman" w:hAnsi="Times New Roman" w:cs="Times New Roman"/>
          <w:noProof/>
        </w:rPr>
        <w:t>https://doi.org/10.1080/14992020701545898</w:t>
      </w:r>
    </w:p>
    <w:p w14:paraId="4C3ACCEB" w14:textId="70A5A71D" w:rsidR="009B5DDE" w:rsidRDefault="009B5DDE" w:rsidP="00B95B6D">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t xml:space="preserve">Westin, V., Hayes, S. C., &amp; Andersson, G. (2008). Is it the sound or your relationship to it? The role of acceptance in predicting tinnitus impact. </w:t>
      </w:r>
      <w:r w:rsidRPr="00F70FC2">
        <w:rPr>
          <w:rFonts w:ascii="Times New Roman" w:hAnsi="Times New Roman" w:cs="Times New Roman"/>
          <w:i/>
          <w:noProof/>
        </w:rPr>
        <w:t xml:space="preserve">Behaviour </w:t>
      </w:r>
      <w:r>
        <w:rPr>
          <w:rFonts w:ascii="Times New Roman" w:hAnsi="Times New Roman" w:cs="Times New Roman"/>
          <w:i/>
          <w:noProof/>
        </w:rPr>
        <w:t>R</w:t>
      </w:r>
      <w:r w:rsidRPr="00F70FC2">
        <w:rPr>
          <w:rFonts w:ascii="Times New Roman" w:hAnsi="Times New Roman" w:cs="Times New Roman"/>
          <w:i/>
          <w:noProof/>
        </w:rPr>
        <w:t xml:space="preserve">esearch and </w:t>
      </w:r>
      <w:r>
        <w:rPr>
          <w:rFonts w:ascii="Times New Roman" w:hAnsi="Times New Roman" w:cs="Times New Roman"/>
          <w:i/>
          <w:noProof/>
        </w:rPr>
        <w:t>T</w:t>
      </w:r>
      <w:r w:rsidRPr="00F70FC2">
        <w:rPr>
          <w:rFonts w:ascii="Times New Roman" w:hAnsi="Times New Roman" w:cs="Times New Roman"/>
          <w:i/>
          <w:noProof/>
        </w:rPr>
        <w:t>herapy, 46</w:t>
      </w:r>
      <w:r w:rsidRPr="00F70FC2">
        <w:rPr>
          <w:rFonts w:ascii="Times New Roman" w:hAnsi="Times New Roman" w:cs="Times New Roman"/>
          <w:noProof/>
        </w:rPr>
        <w:t xml:space="preserve">(12), 1259-1265. </w:t>
      </w:r>
      <w:r w:rsidRPr="0064388A">
        <w:rPr>
          <w:rFonts w:ascii="Times New Roman" w:hAnsi="Times New Roman" w:cs="Times New Roman"/>
          <w:noProof/>
        </w:rPr>
        <w:t>https://doi.org/10.1016/j.brat.2008.08.008</w:t>
      </w:r>
    </w:p>
    <w:p w14:paraId="06D4359B" w14:textId="58B9543C" w:rsidR="009B5DDE" w:rsidRPr="00F70FC2" w:rsidRDefault="009B5DDE" w:rsidP="00B95B6D">
      <w:pPr>
        <w:pStyle w:val="EndNoteBibliography"/>
        <w:spacing w:line="480" w:lineRule="auto"/>
        <w:ind w:left="720" w:hanging="720"/>
        <w:jc w:val="left"/>
        <w:rPr>
          <w:rFonts w:ascii="Times New Roman" w:hAnsi="Times New Roman" w:cs="Times New Roman"/>
          <w:noProof/>
        </w:rPr>
      </w:pPr>
      <w:r w:rsidRPr="007C2A2F">
        <w:rPr>
          <w:rFonts w:ascii="Times New Roman" w:hAnsi="Times New Roman" w:cs="Times New Roman"/>
          <w:noProof/>
        </w:rPr>
        <w:t>Whicker, J. J., Ong, C. W., Muñoz, K., &amp; Twohig, M. P. (2020). The relationship between psychological processes and indices of well-being among adults with hearing loss. </w:t>
      </w:r>
      <w:r w:rsidRPr="007C2A2F">
        <w:rPr>
          <w:rFonts w:ascii="Times New Roman" w:hAnsi="Times New Roman" w:cs="Times New Roman"/>
          <w:i/>
          <w:iCs/>
          <w:noProof/>
        </w:rPr>
        <w:t>American Journal of Audiology</w:t>
      </w:r>
      <w:r w:rsidRPr="007C2A2F">
        <w:rPr>
          <w:rFonts w:ascii="Times New Roman" w:hAnsi="Times New Roman" w:cs="Times New Roman"/>
          <w:noProof/>
        </w:rPr>
        <w:t>, </w:t>
      </w:r>
      <w:r w:rsidRPr="007C2A2F">
        <w:rPr>
          <w:rFonts w:ascii="Times New Roman" w:hAnsi="Times New Roman" w:cs="Times New Roman"/>
          <w:i/>
          <w:iCs/>
          <w:noProof/>
        </w:rPr>
        <w:t>29</w:t>
      </w:r>
      <w:r w:rsidRPr="007C2A2F">
        <w:rPr>
          <w:rFonts w:ascii="Times New Roman" w:hAnsi="Times New Roman" w:cs="Times New Roman"/>
          <w:noProof/>
        </w:rPr>
        <w:t>(4), 728-737.</w:t>
      </w:r>
      <w:r>
        <w:rPr>
          <w:rFonts w:ascii="Times New Roman" w:hAnsi="Times New Roman" w:cs="Times New Roman"/>
          <w:noProof/>
        </w:rPr>
        <w:t xml:space="preserve"> </w:t>
      </w:r>
      <w:r w:rsidRPr="0064388A">
        <w:rPr>
          <w:rFonts w:ascii="Times New Roman" w:hAnsi="Times New Roman" w:cs="Times New Roman"/>
          <w:noProof/>
        </w:rPr>
        <w:t>https://doi.org/10.1044/2020_AJA-20-00035</w:t>
      </w:r>
    </w:p>
    <w:p w14:paraId="161933CF" w14:textId="31406AB3" w:rsidR="009B5DDE" w:rsidRDefault="009B5DDE" w:rsidP="009B5DDE">
      <w:pPr>
        <w:pStyle w:val="EndNoteBibliography"/>
        <w:spacing w:line="480" w:lineRule="auto"/>
        <w:ind w:left="720" w:hanging="720"/>
        <w:jc w:val="left"/>
        <w:rPr>
          <w:rFonts w:ascii="Times New Roman" w:hAnsi="Times New Roman" w:cs="Times New Roman"/>
          <w:noProof/>
        </w:rPr>
      </w:pPr>
      <w:r w:rsidRPr="00F70FC2">
        <w:rPr>
          <w:rFonts w:ascii="Times New Roman" w:hAnsi="Times New Roman" w:cs="Times New Roman"/>
          <w:noProof/>
        </w:rPr>
        <w:lastRenderedPageBreak/>
        <w:t xml:space="preserve">World Health Organization. (2021). </w:t>
      </w:r>
      <w:r w:rsidRPr="0064388A">
        <w:rPr>
          <w:rFonts w:ascii="Times New Roman" w:hAnsi="Times New Roman" w:cs="Times New Roman"/>
          <w:i/>
          <w:iCs/>
          <w:noProof/>
        </w:rPr>
        <w:t>Deafness and hearing loss</w:t>
      </w:r>
      <w:r w:rsidRPr="00F70FC2">
        <w:rPr>
          <w:rFonts w:ascii="Times New Roman" w:hAnsi="Times New Roman" w:cs="Times New Roman"/>
          <w:noProof/>
        </w:rPr>
        <w:t xml:space="preserve">. Retrieved </w:t>
      </w:r>
      <w:r w:rsidR="008A7ECE">
        <w:rPr>
          <w:rFonts w:ascii="Times New Roman" w:hAnsi="Times New Roman" w:cs="Times New Roman"/>
          <w:noProof/>
        </w:rPr>
        <w:t xml:space="preserve">August 13, 2021, </w:t>
      </w:r>
      <w:r w:rsidRPr="00F70FC2">
        <w:rPr>
          <w:rFonts w:ascii="Times New Roman" w:hAnsi="Times New Roman" w:cs="Times New Roman"/>
          <w:noProof/>
        </w:rPr>
        <w:t>from https://www.who.int/news-room/fact-sheets/detail/deafness-and-hearing-loss</w:t>
      </w:r>
    </w:p>
    <w:tbl>
      <w:tblPr>
        <w:tblpPr w:leftFromText="180" w:rightFromText="180" w:vertAnchor="page" w:horzAnchor="margin" w:tblpXSpec="center" w:tblpY="1023"/>
        <w:tblW w:w="4628" w:type="dxa"/>
        <w:tblCellMar>
          <w:top w:w="15" w:type="dxa"/>
        </w:tblCellMar>
        <w:tblLook w:val="04A0" w:firstRow="1" w:lastRow="0" w:firstColumn="1" w:lastColumn="0" w:noHBand="0" w:noVBand="1"/>
      </w:tblPr>
      <w:tblGrid>
        <w:gridCol w:w="2793"/>
        <w:gridCol w:w="347"/>
        <w:gridCol w:w="566"/>
        <w:gridCol w:w="700"/>
        <w:gridCol w:w="222"/>
      </w:tblGrid>
      <w:tr w:rsidR="00B4295F" w:rsidRPr="0033667D" w14:paraId="2142D9A4" w14:textId="77777777" w:rsidTr="00BC286B">
        <w:trPr>
          <w:gridAfter w:val="1"/>
          <w:wAfter w:w="222" w:type="dxa"/>
          <w:trHeight w:val="240"/>
        </w:trPr>
        <w:tc>
          <w:tcPr>
            <w:tcW w:w="3140" w:type="dxa"/>
            <w:gridSpan w:val="2"/>
            <w:tcBorders>
              <w:top w:val="nil"/>
              <w:left w:val="nil"/>
              <w:bottom w:val="single" w:sz="8" w:space="0" w:color="auto"/>
              <w:right w:val="nil"/>
            </w:tcBorders>
            <w:shd w:val="clear" w:color="000000" w:fill="FFFFFF"/>
            <w:noWrap/>
            <w:vAlign w:val="bottom"/>
            <w:hideMark/>
          </w:tcPr>
          <w:p w14:paraId="5841EC0C"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lastRenderedPageBreak/>
              <w:t>Table 1. Participant Demographics</w:t>
            </w:r>
          </w:p>
        </w:tc>
        <w:tc>
          <w:tcPr>
            <w:tcW w:w="566" w:type="dxa"/>
            <w:tcBorders>
              <w:top w:val="nil"/>
              <w:left w:val="nil"/>
              <w:bottom w:val="single" w:sz="8" w:space="0" w:color="auto"/>
              <w:right w:val="nil"/>
            </w:tcBorders>
            <w:shd w:val="clear" w:color="000000" w:fill="FFFFFF"/>
            <w:noWrap/>
            <w:vAlign w:val="bottom"/>
            <w:hideMark/>
          </w:tcPr>
          <w:p w14:paraId="740975AD"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single" w:sz="8" w:space="0" w:color="auto"/>
              <w:right w:val="nil"/>
            </w:tcBorders>
            <w:shd w:val="clear" w:color="000000" w:fill="FFFFFF"/>
            <w:noWrap/>
            <w:vAlign w:val="bottom"/>
            <w:hideMark/>
          </w:tcPr>
          <w:p w14:paraId="29F46E93"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575AE61F"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1CA4330F"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xml:space="preserve">Age </w:t>
            </w:r>
            <w:r w:rsidRPr="0033667D">
              <w:rPr>
                <w:rFonts w:ascii="Times New Roman" w:eastAsia="Times New Roman" w:hAnsi="Times New Roman" w:cs="Times New Roman"/>
                <w:i/>
                <w:iCs/>
                <w:color w:val="000000"/>
                <w:sz w:val="20"/>
                <w:szCs w:val="20"/>
              </w:rPr>
              <w:t>M</w:t>
            </w:r>
            <w:r w:rsidRPr="0033667D">
              <w:rPr>
                <w:rFonts w:ascii="Times New Roman" w:eastAsia="Times New Roman" w:hAnsi="Times New Roman" w:cs="Times New Roman"/>
                <w:color w:val="000000"/>
                <w:sz w:val="20"/>
                <w:szCs w:val="20"/>
              </w:rPr>
              <w:t xml:space="preserve"> (SD)</w:t>
            </w:r>
          </w:p>
        </w:tc>
        <w:tc>
          <w:tcPr>
            <w:tcW w:w="566" w:type="dxa"/>
            <w:tcBorders>
              <w:top w:val="nil"/>
              <w:left w:val="nil"/>
              <w:bottom w:val="nil"/>
              <w:right w:val="nil"/>
            </w:tcBorders>
            <w:shd w:val="clear" w:color="000000" w:fill="FFFFFF"/>
            <w:noWrap/>
            <w:vAlign w:val="bottom"/>
            <w:hideMark/>
          </w:tcPr>
          <w:p w14:paraId="62478F0E" w14:textId="77777777" w:rsidR="00B4295F" w:rsidRPr="0033667D" w:rsidRDefault="00B4295F" w:rsidP="00BC286B">
            <w:pPr>
              <w:jc w:val="center"/>
              <w:rPr>
                <w:rFonts w:ascii="Times New Roman" w:eastAsia="Times New Roman" w:hAnsi="Times New Roman" w:cs="Times New Roman"/>
                <w:i/>
                <w:iCs/>
                <w:color w:val="000000"/>
                <w:sz w:val="20"/>
                <w:szCs w:val="20"/>
              </w:rPr>
            </w:pPr>
            <w:r w:rsidRPr="0033667D">
              <w:rPr>
                <w:rFonts w:ascii="Times New Roman" w:eastAsia="Times New Roman" w:hAnsi="Times New Roman" w:cs="Times New Roman"/>
                <w:i/>
                <w:iCs/>
                <w:color w:val="000000"/>
                <w:sz w:val="20"/>
                <w:szCs w:val="20"/>
              </w:rPr>
              <w:t>46.9</w:t>
            </w:r>
          </w:p>
        </w:tc>
        <w:tc>
          <w:tcPr>
            <w:tcW w:w="700" w:type="dxa"/>
            <w:tcBorders>
              <w:top w:val="nil"/>
              <w:left w:val="nil"/>
              <w:bottom w:val="nil"/>
              <w:right w:val="nil"/>
            </w:tcBorders>
            <w:shd w:val="clear" w:color="000000" w:fill="FFFFFF"/>
            <w:noWrap/>
            <w:vAlign w:val="bottom"/>
            <w:hideMark/>
          </w:tcPr>
          <w:p w14:paraId="6E47E64C"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(16.5)</w:t>
            </w:r>
          </w:p>
        </w:tc>
      </w:tr>
      <w:tr w:rsidR="00B4295F" w:rsidRPr="0033667D" w14:paraId="19D2A489" w14:textId="77777777" w:rsidTr="00BC286B">
        <w:trPr>
          <w:gridAfter w:val="1"/>
          <w:wAfter w:w="222" w:type="dxa"/>
          <w:trHeight w:val="240"/>
        </w:trPr>
        <w:tc>
          <w:tcPr>
            <w:tcW w:w="2793" w:type="dxa"/>
            <w:tcBorders>
              <w:top w:val="nil"/>
              <w:left w:val="nil"/>
              <w:bottom w:val="nil"/>
              <w:right w:val="nil"/>
            </w:tcBorders>
            <w:shd w:val="clear" w:color="000000" w:fill="FFFFFF"/>
            <w:noWrap/>
            <w:vAlign w:val="bottom"/>
            <w:hideMark/>
          </w:tcPr>
          <w:p w14:paraId="553B1E7C"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n = 146</w:t>
            </w:r>
          </w:p>
        </w:tc>
        <w:tc>
          <w:tcPr>
            <w:tcW w:w="347" w:type="dxa"/>
            <w:tcBorders>
              <w:top w:val="nil"/>
              <w:left w:val="nil"/>
              <w:bottom w:val="nil"/>
              <w:right w:val="nil"/>
            </w:tcBorders>
            <w:shd w:val="clear" w:color="000000" w:fill="FFFFFF"/>
            <w:noWrap/>
            <w:vAlign w:val="bottom"/>
            <w:hideMark/>
          </w:tcPr>
          <w:p w14:paraId="580D521D"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000000" w:fill="FFFFFF"/>
            <w:noWrap/>
            <w:vAlign w:val="bottom"/>
            <w:hideMark/>
          </w:tcPr>
          <w:p w14:paraId="1213FEE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n</w:t>
            </w:r>
          </w:p>
        </w:tc>
        <w:tc>
          <w:tcPr>
            <w:tcW w:w="700" w:type="dxa"/>
            <w:tcBorders>
              <w:top w:val="nil"/>
              <w:left w:val="nil"/>
              <w:bottom w:val="nil"/>
              <w:right w:val="nil"/>
            </w:tcBorders>
            <w:shd w:val="clear" w:color="000000" w:fill="FFFFFF"/>
            <w:noWrap/>
            <w:vAlign w:val="bottom"/>
            <w:hideMark/>
          </w:tcPr>
          <w:p w14:paraId="24277C27"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w:t>
            </w:r>
          </w:p>
        </w:tc>
      </w:tr>
      <w:tr w:rsidR="00B4295F" w:rsidRPr="0033667D" w14:paraId="088A78AC" w14:textId="77777777" w:rsidTr="00BC286B">
        <w:trPr>
          <w:gridAfter w:val="1"/>
          <w:wAfter w:w="222" w:type="dxa"/>
          <w:trHeight w:val="240"/>
        </w:trPr>
        <w:tc>
          <w:tcPr>
            <w:tcW w:w="2793" w:type="dxa"/>
            <w:tcBorders>
              <w:top w:val="nil"/>
              <w:left w:val="nil"/>
              <w:bottom w:val="nil"/>
              <w:right w:val="nil"/>
            </w:tcBorders>
            <w:shd w:val="clear" w:color="000000" w:fill="D9D9D9"/>
            <w:noWrap/>
            <w:vAlign w:val="bottom"/>
            <w:hideMark/>
          </w:tcPr>
          <w:p w14:paraId="40FED05F"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Gender</w:t>
            </w:r>
          </w:p>
        </w:tc>
        <w:tc>
          <w:tcPr>
            <w:tcW w:w="347" w:type="dxa"/>
            <w:tcBorders>
              <w:top w:val="nil"/>
              <w:left w:val="nil"/>
              <w:bottom w:val="nil"/>
              <w:right w:val="nil"/>
            </w:tcBorders>
            <w:shd w:val="clear" w:color="000000" w:fill="D9D9D9"/>
            <w:noWrap/>
            <w:vAlign w:val="bottom"/>
            <w:hideMark/>
          </w:tcPr>
          <w:p w14:paraId="0A8C939F"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000000" w:fill="D9D9D9"/>
            <w:noWrap/>
            <w:vAlign w:val="bottom"/>
            <w:hideMark/>
          </w:tcPr>
          <w:p w14:paraId="4E07FCB3"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D9D9D9"/>
            <w:noWrap/>
            <w:vAlign w:val="bottom"/>
            <w:hideMark/>
          </w:tcPr>
          <w:p w14:paraId="237632E0"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6880BA03"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434401ED"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Female</w:t>
            </w:r>
          </w:p>
        </w:tc>
        <w:tc>
          <w:tcPr>
            <w:tcW w:w="566" w:type="dxa"/>
            <w:tcBorders>
              <w:top w:val="nil"/>
              <w:left w:val="nil"/>
              <w:bottom w:val="nil"/>
              <w:right w:val="nil"/>
            </w:tcBorders>
            <w:shd w:val="clear" w:color="000000" w:fill="D9D9D9"/>
            <w:noWrap/>
            <w:vAlign w:val="bottom"/>
            <w:hideMark/>
          </w:tcPr>
          <w:p w14:paraId="230AB7B8"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112</w:t>
            </w:r>
          </w:p>
        </w:tc>
        <w:tc>
          <w:tcPr>
            <w:tcW w:w="700" w:type="dxa"/>
            <w:tcBorders>
              <w:top w:val="nil"/>
              <w:left w:val="nil"/>
              <w:bottom w:val="nil"/>
              <w:right w:val="nil"/>
            </w:tcBorders>
            <w:shd w:val="clear" w:color="000000" w:fill="D9D9D9"/>
            <w:noWrap/>
            <w:vAlign w:val="bottom"/>
            <w:hideMark/>
          </w:tcPr>
          <w:p w14:paraId="6D36C06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77</w:t>
            </w:r>
          </w:p>
        </w:tc>
      </w:tr>
      <w:tr w:rsidR="00B4295F" w:rsidRPr="0033667D" w14:paraId="088EA373"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2D6CE9B8"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Male</w:t>
            </w:r>
          </w:p>
        </w:tc>
        <w:tc>
          <w:tcPr>
            <w:tcW w:w="566" w:type="dxa"/>
            <w:tcBorders>
              <w:top w:val="nil"/>
              <w:left w:val="nil"/>
              <w:bottom w:val="nil"/>
              <w:right w:val="nil"/>
            </w:tcBorders>
            <w:shd w:val="clear" w:color="000000" w:fill="D9D9D9"/>
            <w:noWrap/>
            <w:vAlign w:val="bottom"/>
            <w:hideMark/>
          </w:tcPr>
          <w:p w14:paraId="464F0F83"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32</w:t>
            </w:r>
          </w:p>
        </w:tc>
        <w:tc>
          <w:tcPr>
            <w:tcW w:w="700" w:type="dxa"/>
            <w:tcBorders>
              <w:top w:val="nil"/>
              <w:left w:val="nil"/>
              <w:bottom w:val="nil"/>
              <w:right w:val="nil"/>
            </w:tcBorders>
            <w:shd w:val="clear" w:color="000000" w:fill="D9D9D9"/>
            <w:noWrap/>
            <w:vAlign w:val="bottom"/>
            <w:hideMark/>
          </w:tcPr>
          <w:p w14:paraId="6212DBFF"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22</w:t>
            </w:r>
          </w:p>
        </w:tc>
      </w:tr>
      <w:tr w:rsidR="00B4295F" w:rsidRPr="0033667D" w14:paraId="7A7B2DDA"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63213623"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Other</w:t>
            </w:r>
          </w:p>
        </w:tc>
        <w:tc>
          <w:tcPr>
            <w:tcW w:w="566" w:type="dxa"/>
            <w:tcBorders>
              <w:top w:val="nil"/>
              <w:left w:val="nil"/>
              <w:bottom w:val="nil"/>
              <w:right w:val="nil"/>
            </w:tcBorders>
            <w:shd w:val="clear" w:color="000000" w:fill="D9D9D9"/>
            <w:noWrap/>
            <w:vAlign w:val="bottom"/>
            <w:hideMark/>
          </w:tcPr>
          <w:p w14:paraId="0C26C1DF"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w:t>
            </w:r>
          </w:p>
        </w:tc>
        <w:tc>
          <w:tcPr>
            <w:tcW w:w="700" w:type="dxa"/>
            <w:tcBorders>
              <w:top w:val="nil"/>
              <w:left w:val="nil"/>
              <w:bottom w:val="nil"/>
              <w:right w:val="nil"/>
            </w:tcBorders>
            <w:shd w:val="clear" w:color="000000" w:fill="D9D9D9"/>
            <w:noWrap/>
            <w:vAlign w:val="bottom"/>
            <w:hideMark/>
          </w:tcPr>
          <w:p w14:paraId="45E843B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r>
      <w:tr w:rsidR="00B4295F" w:rsidRPr="0033667D" w14:paraId="5737FD7A"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629B0AFD"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Race Identification</w:t>
            </w:r>
          </w:p>
        </w:tc>
        <w:tc>
          <w:tcPr>
            <w:tcW w:w="566" w:type="dxa"/>
            <w:tcBorders>
              <w:top w:val="nil"/>
              <w:left w:val="nil"/>
              <w:bottom w:val="nil"/>
              <w:right w:val="nil"/>
            </w:tcBorders>
            <w:shd w:val="clear" w:color="000000" w:fill="FFFFFF"/>
            <w:noWrap/>
            <w:vAlign w:val="bottom"/>
            <w:hideMark/>
          </w:tcPr>
          <w:p w14:paraId="7101836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FFFFFF"/>
            <w:noWrap/>
            <w:vAlign w:val="bottom"/>
            <w:hideMark/>
          </w:tcPr>
          <w:p w14:paraId="621B9535"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25BCE3E7" w14:textId="77777777" w:rsidTr="00BC286B">
        <w:trPr>
          <w:gridAfter w:val="1"/>
          <w:wAfter w:w="222" w:type="dxa"/>
          <w:trHeight w:val="240"/>
        </w:trPr>
        <w:tc>
          <w:tcPr>
            <w:tcW w:w="3140" w:type="dxa"/>
            <w:gridSpan w:val="2"/>
            <w:tcBorders>
              <w:top w:val="nil"/>
              <w:left w:val="nil"/>
              <w:bottom w:val="nil"/>
              <w:right w:val="nil"/>
            </w:tcBorders>
            <w:shd w:val="clear" w:color="000000" w:fill="FFFFFF"/>
            <w:vAlign w:val="center"/>
            <w:hideMark/>
          </w:tcPr>
          <w:p w14:paraId="1A040864"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Native American*</w:t>
            </w:r>
          </w:p>
        </w:tc>
        <w:tc>
          <w:tcPr>
            <w:tcW w:w="566" w:type="dxa"/>
            <w:tcBorders>
              <w:top w:val="nil"/>
              <w:left w:val="nil"/>
              <w:bottom w:val="nil"/>
              <w:right w:val="nil"/>
            </w:tcBorders>
            <w:shd w:val="clear" w:color="000000" w:fill="FFFFFF"/>
            <w:noWrap/>
            <w:vAlign w:val="center"/>
            <w:hideMark/>
          </w:tcPr>
          <w:p w14:paraId="27C29A5A"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30</w:t>
            </w:r>
          </w:p>
        </w:tc>
        <w:tc>
          <w:tcPr>
            <w:tcW w:w="700" w:type="dxa"/>
            <w:tcBorders>
              <w:top w:val="nil"/>
              <w:left w:val="nil"/>
              <w:bottom w:val="nil"/>
              <w:right w:val="nil"/>
            </w:tcBorders>
            <w:shd w:val="clear" w:color="000000" w:fill="FFFFFF"/>
            <w:noWrap/>
            <w:vAlign w:val="center"/>
            <w:hideMark/>
          </w:tcPr>
          <w:p w14:paraId="6FA8471C"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20</w:t>
            </w:r>
          </w:p>
        </w:tc>
      </w:tr>
      <w:tr w:rsidR="00B4295F" w:rsidRPr="0033667D" w14:paraId="0B3F10E5"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5A7FC997"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Asian</w:t>
            </w:r>
          </w:p>
        </w:tc>
        <w:tc>
          <w:tcPr>
            <w:tcW w:w="566" w:type="dxa"/>
            <w:tcBorders>
              <w:top w:val="nil"/>
              <w:left w:val="nil"/>
              <w:bottom w:val="nil"/>
              <w:right w:val="nil"/>
            </w:tcBorders>
            <w:shd w:val="clear" w:color="000000" w:fill="FFFFFF"/>
            <w:noWrap/>
            <w:vAlign w:val="bottom"/>
            <w:hideMark/>
          </w:tcPr>
          <w:p w14:paraId="73659A4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w:t>
            </w:r>
          </w:p>
        </w:tc>
        <w:tc>
          <w:tcPr>
            <w:tcW w:w="700" w:type="dxa"/>
            <w:tcBorders>
              <w:top w:val="nil"/>
              <w:left w:val="nil"/>
              <w:bottom w:val="nil"/>
              <w:right w:val="nil"/>
            </w:tcBorders>
            <w:shd w:val="clear" w:color="000000" w:fill="FFFFFF"/>
            <w:noWrap/>
            <w:vAlign w:val="bottom"/>
            <w:hideMark/>
          </w:tcPr>
          <w:p w14:paraId="1BDD136E"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r>
      <w:tr w:rsidR="00B4295F" w:rsidRPr="0033667D" w14:paraId="4C5E6ED4"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0D77E1EF"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Black</w:t>
            </w:r>
          </w:p>
        </w:tc>
        <w:tc>
          <w:tcPr>
            <w:tcW w:w="566" w:type="dxa"/>
            <w:tcBorders>
              <w:top w:val="nil"/>
              <w:left w:val="nil"/>
              <w:bottom w:val="nil"/>
              <w:right w:val="nil"/>
            </w:tcBorders>
            <w:shd w:val="clear" w:color="000000" w:fill="FFFFFF"/>
            <w:noWrap/>
            <w:vAlign w:val="bottom"/>
            <w:hideMark/>
          </w:tcPr>
          <w:p w14:paraId="4B233EE7"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w:t>
            </w:r>
          </w:p>
        </w:tc>
        <w:tc>
          <w:tcPr>
            <w:tcW w:w="700" w:type="dxa"/>
            <w:tcBorders>
              <w:top w:val="nil"/>
              <w:left w:val="nil"/>
              <w:bottom w:val="nil"/>
              <w:right w:val="nil"/>
            </w:tcBorders>
            <w:shd w:val="clear" w:color="000000" w:fill="FFFFFF"/>
            <w:noWrap/>
            <w:vAlign w:val="bottom"/>
            <w:hideMark/>
          </w:tcPr>
          <w:p w14:paraId="2230FCC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w:t>
            </w:r>
          </w:p>
        </w:tc>
      </w:tr>
      <w:tr w:rsidR="00B4295F" w:rsidRPr="0033667D" w14:paraId="0DBBF3D3"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5DCEA39D"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White</w:t>
            </w:r>
          </w:p>
        </w:tc>
        <w:tc>
          <w:tcPr>
            <w:tcW w:w="566" w:type="dxa"/>
            <w:tcBorders>
              <w:top w:val="nil"/>
              <w:left w:val="nil"/>
              <w:bottom w:val="nil"/>
              <w:right w:val="nil"/>
            </w:tcBorders>
            <w:shd w:val="clear" w:color="000000" w:fill="FFFFFF"/>
            <w:noWrap/>
            <w:vAlign w:val="bottom"/>
            <w:hideMark/>
          </w:tcPr>
          <w:p w14:paraId="5B67ADC0"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103</w:t>
            </w:r>
          </w:p>
        </w:tc>
        <w:tc>
          <w:tcPr>
            <w:tcW w:w="700" w:type="dxa"/>
            <w:tcBorders>
              <w:top w:val="nil"/>
              <w:left w:val="nil"/>
              <w:bottom w:val="nil"/>
              <w:right w:val="nil"/>
            </w:tcBorders>
            <w:shd w:val="clear" w:color="000000" w:fill="FFFFFF"/>
            <w:noWrap/>
            <w:vAlign w:val="bottom"/>
            <w:hideMark/>
          </w:tcPr>
          <w:p w14:paraId="3381984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71</w:t>
            </w:r>
          </w:p>
        </w:tc>
      </w:tr>
      <w:tr w:rsidR="00B4295F" w:rsidRPr="0033667D" w14:paraId="0F64EA19"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7E85AE2E"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Latinx/Hispanic (non-white)</w:t>
            </w:r>
          </w:p>
        </w:tc>
        <w:tc>
          <w:tcPr>
            <w:tcW w:w="566" w:type="dxa"/>
            <w:tcBorders>
              <w:top w:val="nil"/>
              <w:left w:val="nil"/>
              <w:bottom w:val="nil"/>
              <w:right w:val="nil"/>
            </w:tcBorders>
            <w:shd w:val="clear" w:color="000000" w:fill="FFFFFF"/>
            <w:noWrap/>
            <w:vAlign w:val="bottom"/>
            <w:hideMark/>
          </w:tcPr>
          <w:p w14:paraId="69781451"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c>
          <w:tcPr>
            <w:tcW w:w="700" w:type="dxa"/>
            <w:tcBorders>
              <w:top w:val="nil"/>
              <w:left w:val="nil"/>
              <w:bottom w:val="nil"/>
              <w:right w:val="nil"/>
            </w:tcBorders>
            <w:shd w:val="clear" w:color="000000" w:fill="FFFFFF"/>
            <w:noWrap/>
            <w:vAlign w:val="bottom"/>
            <w:hideMark/>
          </w:tcPr>
          <w:p w14:paraId="3EB06023"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r>
      <w:tr w:rsidR="00B4295F" w:rsidRPr="0033667D" w14:paraId="7B41FE68"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2D756A38"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Multiracial</w:t>
            </w:r>
          </w:p>
        </w:tc>
        <w:tc>
          <w:tcPr>
            <w:tcW w:w="566" w:type="dxa"/>
            <w:tcBorders>
              <w:top w:val="nil"/>
              <w:left w:val="nil"/>
              <w:bottom w:val="nil"/>
              <w:right w:val="nil"/>
            </w:tcBorders>
            <w:shd w:val="clear" w:color="000000" w:fill="FFFFFF"/>
            <w:noWrap/>
            <w:vAlign w:val="bottom"/>
            <w:hideMark/>
          </w:tcPr>
          <w:p w14:paraId="0C78B57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c>
          <w:tcPr>
            <w:tcW w:w="700" w:type="dxa"/>
            <w:tcBorders>
              <w:top w:val="nil"/>
              <w:left w:val="nil"/>
              <w:bottom w:val="nil"/>
              <w:right w:val="nil"/>
            </w:tcBorders>
            <w:shd w:val="clear" w:color="000000" w:fill="FFFFFF"/>
            <w:noWrap/>
            <w:vAlign w:val="bottom"/>
            <w:hideMark/>
          </w:tcPr>
          <w:p w14:paraId="0DD68F3E"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r>
      <w:tr w:rsidR="00B4295F" w:rsidRPr="0033667D" w14:paraId="79DE10A3"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2DC9E786"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Prefer not to answer</w:t>
            </w:r>
          </w:p>
        </w:tc>
        <w:tc>
          <w:tcPr>
            <w:tcW w:w="566" w:type="dxa"/>
            <w:tcBorders>
              <w:top w:val="nil"/>
              <w:left w:val="nil"/>
              <w:bottom w:val="nil"/>
              <w:right w:val="nil"/>
            </w:tcBorders>
            <w:shd w:val="clear" w:color="000000" w:fill="FFFFFF"/>
            <w:noWrap/>
            <w:vAlign w:val="bottom"/>
            <w:hideMark/>
          </w:tcPr>
          <w:p w14:paraId="35C3D061"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6</w:t>
            </w:r>
          </w:p>
        </w:tc>
        <w:tc>
          <w:tcPr>
            <w:tcW w:w="700" w:type="dxa"/>
            <w:tcBorders>
              <w:top w:val="nil"/>
              <w:left w:val="nil"/>
              <w:bottom w:val="nil"/>
              <w:right w:val="nil"/>
            </w:tcBorders>
            <w:shd w:val="clear" w:color="000000" w:fill="FFFFFF"/>
            <w:noWrap/>
            <w:vAlign w:val="bottom"/>
            <w:hideMark/>
          </w:tcPr>
          <w:p w14:paraId="341DE4C4"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w:t>
            </w:r>
          </w:p>
        </w:tc>
      </w:tr>
      <w:tr w:rsidR="00B4295F" w:rsidRPr="0033667D" w14:paraId="3F71972C"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57312A76"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Hearing Loss Laterality</w:t>
            </w:r>
          </w:p>
        </w:tc>
        <w:tc>
          <w:tcPr>
            <w:tcW w:w="566" w:type="dxa"/>
            <w:tcBorders>
              <w:top w:val="nil"/>
              <w:left w:val="nil"/>
              <w:bottom w:val="nil"/>
              <w:right w:val="nil"/>
            </w:tcBorders>
            <w:shd w:val="clear" w:color="000000" w:fill="D9D9D9"/>
            <w:noWrap/>
            <w:vAlign w:val="bottom"/>
            <w:hideMark/>
          </w:tcPr>
          <w:p w14:paraId="1436C46A"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D9D9D9"/>
            <w:noWrap/>
            <w:vAlign w:val="bottom"/>
            <w:hideMark/>
          </w:tcPr>
          <w:p w14:paraId="1419DE4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5319D6F2"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03C1481B"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Bilateral</w:t>
            </w:r>
          </w:p>
        </w:tc>
        <w:tc>
          <w:tcPr>
            <w:tcW w:w="566" w:type="dxa"/>
            <w:tcBorders>
              <w:top w:val="nil"/>
              <w:left w:val="nil"/>
              <w:bottom w:val="nil"/>
              <w:right w:val="nil"/>
            </w:tcBorders>
            <w:shd w:val="clear" w:color="000000" w:fill="D9D9D9"/>
            <w:noWrap/>
            <w:vAlign w:val="bottom"/>
            <w:hideMark/>
          </w:tcPr>
          <w:p w14:paraId="28F7F47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104</w:t>
            </w:r>
          </w:p>
        </w:tc>
        <w:tc>
          <w:tcPr>
            <w:tcW w:w="700" w:type="dxa"/>
            <w:tcBorders>
              <w:top w:val="nil"/>
              <w:left w:val="nil"/>
              <w:bottom w:val="nil"/>
              <w:right w:val="nil"/>
            </w:tcBorders>
            <w:shd w:val="clear" w:color="000000" w:fill="D9D9D9"/>
            <w:noWrap/>
            <w:vAlign w:val="bottom"/>
            <w:hideMark/>
          </w:tcPr>
          <w:p w14:paraId="4B6A966E"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71</w:t>
            </w:r>
          </w:p>
        </w:tc>
      </w:tr>
      <w:tr w:rsidR="00B4295F" w:rsidRPr="0033667D" w14:paraId="0B250990"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2157EBB7"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Unilateral</w:t>
            </w:r>
          </w:p>
        </w:tc>
        <w:tc>
          <w:tcPr>
            <w:tcW w:w="566" w:type="dxa"/>
            <w:tcBorders>
              <w:top w:val="nil"/>
              <w:left w:val="nil"/>
              <w:bottom w:val="nil"/>
              <w:right w:val="nil"/>
            </w:tcBorders>
            <w:shd w:val="clear" w:color="000000" w:fill="D9D9D9"/>
            <w:noWrap/>
            <w:vAlign w:val="bottom"/>
            <w:hideMark/>
          </w:tcPr>
          <w:p w14:paraId="44FA913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42</w:t>
            </w:r>
          </w:p>
        </w:tc>
        <w:tc>
          <w:tcPr>
            <w:tcW w:w="700" w:type="dxa"/>
            <w:tcBorders>
              <w:top w:val="nil"/>
              <w:left w:val="nil"/>
              <w:bottom w:val="nil"/>
              <w:right w:val="nil"/>
            </w:tcBorders>
            <w:shd w:val="clear" w:color="000000" w:fill="D9D9D9"/>
            <w:noWrap/>
            <w:vAlign w:val="bottom"/>
            <w:hideMark/>
          </w:tcPr>
          <w:p w14:paraId="5BA2AF1E"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29</w:t>
            </w:r>
          </w:p>
        </w:tc>
      </w:tr>
      <w:tr w:rsidR="00B4295F" w:rsidRPr="0033667D" w14:paraId="7080A3DB"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26EC8FDD"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Hearing Aid Use</w:t>
            </w:r>
          </w:p>
        </w:tc>
        <w:tc>
          <w:tcPr>
            <w:tcW w:w="566" w:type="dxa"/>
            <w:tcBorders>
              <w:top w:val="nil"/>
              <w:left w:val="nil"/>
              <w:bottom w:val="nil"/>
              <w:right w:val="nil"/>
            </w:tcBorders>
            <w:shd w:val="clear" w:color="000000" w:fill="FFFFFF"/>
            <w:noWrap/>
            <w:vAlign w:val="bottom"/>
            <w:hideMark/>
          </w:tcPr>
          <w:p w14:paraId="5C57CDC0"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FFFFFF"/>
            <w:noWrap/>
            <w:vAlign w:val="bottom"/>
            <w:hideMark/>
          </w:tcPr>
          <w:p w14:paraId="2F7D2EFE"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4F4CC1D3"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121B03BE"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Bilateral</w:t>
            </w:r>
          </w:p>
        </w:tc>
        <w:tc>
          <w:tcPr>
            <w:tcW w:w="566" w:type="dxa"/>
            <w:tcBorders>
              <w:top w:val="nil"/>
              <w:left w:val="nil"/>
              <w:bottom w:val="nil"/>
              <w:right w:val="nil"/>
            </w:tcBorders>
            <w:shd w:val="clear" w:color="000000" w:fill="FFFFFF"/>
            <w:noWrap/>
            <w:vAlign w:val="bottom"/>
            <w:hideMark/>
          </w:tcPr>
          <w:p w14:paraId="316B5B2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98</w:t>
            </w:r>
          </w:p>
        </w:tc>
        <w:tc>
          <w:tcPr>
            <w:tcW w:w="700" w:type="dxa"/>
            <w:tcBorders>
              <w:top w:val="nil"/>
              <w:left w:val="nil"/>
              <w:bottom w:val="nil"/>
              <w:right w:val="nil"/>
            </w:tcBorders>
            <w:shd w:val="clear" w:color="000000" w:fill="FFFFFF"/>
            <w:noWrap/>
            <w:vAlign w:val="bottom"/>
            <w:hideMark/>
          </w:tcPr>
          <w:p w14:paraId="7E95AE4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67</w:t>
            </w:r>
          </w:p>
        </w:tc>
      </w:tr>
      <w:tr w:rsidR="00B4295F" w:rsidRPr="0033667D" w14:paraId="288E20D5" w14:textId="77777777" w:rsidTr="00BC286B">
        <w:trPr>
          <w:gridAfter w:val="1"/>
          <w:wAfter w:w="222" w:type="dxa"/>
          <w:trHeight w:val="240"/>
        </w:trPr>
        <w:tc>
          <w:tcPr>
            <w:tcW w:w="3140" w:type="dxa"/>
            <w:gridSpan w:val="2"/>
            <w:tcBorders>
              <w:top w:val="nil"/>
              <w:left w:val="nil"/>
              <w:bottom w:val="nil"/>
              <w:right w:val="nil"/>
            </w:tcBorders>
            <w:shd w:val="clear" w:color="000000" w:fill="FFFFFF"/>
            <w:noWrap/>
            <w:vAlign w:val="bottom"/>
            <w:hideMark/>
          </w:tcPr>
          <w:p w14:paraId="4EB48D40"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Unilateral</w:t>
            </w:r>
          </w:p>
        </w:tc>
        <w:tc>
          <w:tcPr>
            <w:tcW w:w="566" w:type="dxa"/>
            <w:tcBorders>
              <w:top w:val="nil"/>
              <w:left w:val="nil"/>
              <w:bottom w:val="nil"/>
              <w:right w:val="nil"/>
            </w:tcBorders>
            <w:shd w:val="clear" w:color="000000" w:fill="FFFFFF"/>
            <w:noWrap/>
            <w:vAlign w:val="bottom"/>
            <w:hideMark/>
          </w:tcPr>
          <w:p w14:paraId="7F9BA2A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48</w:t>
            </w:r>
          </w:p>
        </w:tc>
        <w:tc>
          <w:tcPr>
            <w:tcW w:w="700" w:type="dxa"/>
            <w:tcBorders>
              <w:top w:val="nil"/>
              <w:left w:val="nil"/>
              <w:bottom w:val="nil"/>
              <w:right w:val="nil"/>
            </w:tcBorders>
            <w:shd w:val="clear" w:color="000000" w:fill="FFFFFF"/>
            <w:noWrap/>
            <w:vAlign w:val="bottom"/>
            <w:hideMark/>
          </w:tcPr>
          <w:p w14:paraId="10BC72D5"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33</w:t>
            </w:r>
          </w:p>
        </w:tc>
      </w:tr>
      <w:tr w:rsidR="00B4295F" w:rsidRPr="0033667D" w14:paraId="3BC9BC71"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6F8E61D8"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Hearing Loss Severity</w:t>
            </w:r>
          </w:p>
        </w:tc>
        <w:tc>
          <w:tcPr>
            <w:tcW w:w="566" w:type="dxa"/>
            <w:tcBorders>
              <w:top w:val="nil"/>
              <w:left w:val="nil"/>
              <w:bottom w:val="nil"/>
              <w:right w:val="nil"/>
            </w:tcBorders>
            <w:shd w:val="clear" w:color="000000" w:fill="D9D9D9"/>
            <w:noWrap/>
            <w:vAlign w:val="bottom"/>
            <w:hideMark/>
          </w:tcPr>
          <w:p w14:paraId="444C8CD6"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D9D9D9"/>
            <w:noWrap/>
            <w:vAlign w:val="bottom"/>
            <w:hideMark/>
          </w:tcPr>
          <w:p w14:paraId="47C3C0D6"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1C7FA05E"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454F07B4"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Mild</w:t>
            </w:r>
          </w:p>
        </w:tc>
        <w:tc>
          <w:tcPr>
            <w:tcW w:w="566" w:type="dxa"/>
            <w:tcBorders>
              <w:top w:val="nil"/>
              <w:left w:val="nil"/>
              <w:bottom w:val="nil"/>
              <w:right w:val="nil"/>
            </w:tcBorders>
            <w:shd w:val="clear" w:color="000000" w:fill="D9D9D9"/>
            <w:noWrap/>
            <w:vAlign w:val="bottom"/>
            <w:hideMark/>
          </w:tcPr>
          <w:p w14:paraId="03E75744"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12</w:t>
            </w:r>
          </w:p>
        </w:tc>
        <w:tc>
          <w:tcPr>
            <w:tcW w:w="700" w:type="dxa"/>
            <w:tcBorders>
              <w:top w:val="nil"/>
              <w:left w:val="nil"/>
              <w:bottom w:val="nil"/>
              <w:right w:val="nil"/>
            </w:tcBorders>
            <w:shd w:val="clear" w:color="000000" w:fill="D9D9D9"/>
            <w:noWrap/>
            <w:vAlign w:val="bottom"/>
            <w:hideMark/>
          </w:tcPr>
          <w:p w14:paraId="5D0B7B22"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8</w:t>
            </w:r>
          </w:p>
        </w:tc>
      </w:tr>
      <w:tr w:rsidR="00B4295F" w:rsidRPr="0033667D" w14:paraId="4C185DB8"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673807E5"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Moderate</w:t>
            </w:r>
          </w:p>
        </w:tc>
        <w:tc>
          <w:tcPr>
            <w:tcW w:w="566" w:type="dxa"/>
            <w:tcBorders>
              <w:top w:val="nil"/>
              <w:left w:val="nil"/>
              <w:bottom w:val="nil"/>
              <w:right w:val="nil"/>
            </w:tcBorders>
            <w:shd w:val="clear" w:color="000000" w:fill="D9D9D9"/>
            <w:noWrap/>
            <w:vAlign w:val="bottom"/>
            <w:hideMark/>
          </w:tcPr>
          <w:p w14:paraId="6B93BC8C"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60</w:t>
            </w:r>
          </w:p>
        </w:tc>
        <w:tc>
          <w:tcPr>
            <w:tcW w:w="700" w:type="dxa"/>
            <w:tcBorders>
              <w:top w:val="nil"/>
              <w:left w:val="nil"/>
              <w:bottom w:val="nil"/>
              <w:right w:val="nil"/>
            </w:tcBorders>
            <w:shd w:val="clear" w:color="000000" w:fill="D9D9D9"/>
            <w:noWrap/>
            <w:vAlign w:val="bottom"/>
            <w:hideMark/>
          </w:tcPr>
          <w:p w14:paraId="1DB53754"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41</w:t>
            </w:r>
          </w:p>
        </w:tc>
      </w:tr>
      <w:tr w:rsidR="00B4295F" w:rsidRPr="0033667D" w14:paraId="7DFC73D5" w14:textId="77777777" w:rsidTr="00BC286B">
        <w:trPr>
          <w:gridAfter w:val="1"/>
          <w:wAfter w:w="222" w:type="dxa"/>
          <w:trHeight w:val="240"/>
        </w:trPr>
        <w:tc>
          <w:tcPr>
            <w:tcW w:w="3140" w:type="dxa"/>
            <w:gridSpan w:val="2"/>
            <w:tcBorders>
              <w:top w:val="nil"/>
              <w:left w:val="nil"/>
              <w:right w:val="nil"/>
            </w:tcBorders>
            <w:shd w:val="clear" w:color="000000" w:fill="D9D9D9"/>
            <w:noWrap/>
            <w:vAlign w:val="bottom"/>
            <w:hideMark/>
          </w:tcPr>
          <w:p w14:paraId="5DD02B44"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Severe</w:t>
            </w:r>
          </w:p>
        </w:tc>
        <w:tc>
          <w:tcPr>
            <w:tcW w:w="566" w:type="dxa"/>
            <w:tcBorders>
              <w:top w:val="nil"/>
              <w:left w:val="nil"/>
              <w:right w:val="nil"/>
            </w:tcBorders>
            <w:shd w:val="clear" w:color="000000" w:fill="D9D9D9"/>
            <w:noWrap/>
            <w:vAlign w:val="bottom"/>
            <w:hideMark/>
          </w:tcPr>
          <w:p w14:paraId="1618BE3A"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39</w:t>
            </w:r>
          </w:p>
        </w:tc>
        <w:tc>
          <w:tcPr>
            <w:tcW w:w="700" w:type="dxa"/>
            <w:tcBorders>
              <w:top w:val="nil"/>
              <w:left w:val="nil"/>
              <w:right w:val="nil"/>
            </w:tcBorders>
            <w:shd w:val="clear" w:color="000000" w:fill="D9D9D9"/>
            <w:noWrap/>
            <w:vAlign w:val="bottom"/>
            <w:hideMark/>
          </w:tcPr>
          <w:p w14:paraId="4E46677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27</w:t>
            </w:r>
          </w:p>
        </w:tc>
      </w:tr>
      <w:tr w:rsidR="00B4295F" w:rsidRPr="0033667D" w14:paraId="6992B173"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58F49B47"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Profound</w:t>
            </w:r>
          </w:p>
        </w:tc>
        <w:tc>
          <w:tcPr>
            <w:tcW w:w="566" w:type="dxa"/>
            <w:tcBorders>
              <w:top w:val="nil"/>
              <w:left w:val="nil"/>
              <w:bottom w:val="nil"/>
              <w:right w:val="nil"/>
            </w:tcBorders>
            <w:shd w:val="clear" w:color="000000" w:fill="D9D9D9"/>
            <w:noWrap/>
            <w:vAlign w:val="bottom"/>
            <w:hideMark/>
          </w:tcPr>
          <w:p w14:paraId="3AF5D806"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26</w:t>
            </w:r>
          </w:p>
        </w:tc>
        <w:tc>
          <w:tcPr>
            <w:tcW w:w="700" w:type="dxa"/>
            <w:tcBorders>
              <w:top w:val="nil"/>
              <w:left w:val="nil"/>
              <w:bottom w:val="nil"/>
              <w:right w:val="nil"/>
            </w:tcBorders>
            <w:shd w:val="clear" w:color="000000" w:fill="D9D9D9"/>
            <w:noWrap/>
            <w:vAlign w:val="bottom"/>
            <w:hideMark/>
          </w:tcPr>
          <w:p w14:paraId="046D20DF"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18</w:t>
            </w:r>
          </w:p>
        </w:tc>
      </w:tr>
      <w:tr w:rsidR="00B4295F" w:rsidRPr="0033667D" w14:paraId="2093BB8C"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3BAE6996"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I am not sure</w:t>
            </w:r>
          </w:p>
        </w:tc>
        <w:tc>
          <w:tcPr>
            <w:tcW w:w="566" w:type="dxa"/>
            <w:tcBorders>
              <w:top w:val="nil"/>
              <w:left w:val="nil"/>
              <w:bottom w:val="nil"/>
              <w:right w:val="nil"/>
            </w:tcBorders>
            <w:shd w:val="clear" w:color="000000" w:fill="D9D9D9"/>
            <w:noWrap/>
            <w:vAlign w:val="bottom"/>
            <w:hideMark/>
          </w:tcPr>
          <w:p w14:paraId="2D156D0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5</w:t>
            </w:r>
          </w:p>
        </w:tc>
        <w:tc>
          <w:tcPr>
            <w:tcW w:w="700" w:type="dxa"/>
            <w:tcBorders>
              <w:top w:val="nil"/>
              <w:left w:val="nil"/>
              <w:bottom w:val="nil"/>
              <w:right w:val="nil"/>
            </w:tcBorders>
            <w:shd w:val="clear" w:color="000000" w:fill="D9D9D9"/>
            <w:noWrap/>
            <w:vAlign w:val="bottom"/>
            <w:hideMark/>
          </w:tcPr>
          <w:p w14:paraId="2A0518C3"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w:t>
            </w:r>
          </w:p>
        </w:tc>
      </w:tr>
      <w:tr w:rsidR="00B4295F" w:rsidRPr="0033667D" w14:paraId="715ED836" w14:textId="77777777" w:rsidTr="00BC286B">
        <w:trPr>
          <w:gridAfter w:val="1"/>
          <w:wAfter w:w="222" w:type="dxa"/>
          <w:trHeight w:val="240"/>
        </w:trPr>
        <w:tc>
          <w:tcPr>
            <w:tcW w:w="3140" w:type="dxa"/>
            <w:gridSpan w:val="2"/>
            <w:tcBorders>
              <w:top w:val="nil"/>
              <w:left w:val="nil"/>
              <w:right w:val="nil"/>
            </w:tcBorders>
            <w:shd w:val="clear" w:color="000000" w:fill="D9D9D9"/>
            <w:noWrap/>
            <w:vAlign w:val="bottom"/>
            <w:hideMark/>
          </w:tcPr>
          <w:p w14:paraId="5E8EA101"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Other</w:t>
            </w:r>
          </w:p>
        </w:tc>
        <w:tc>
          <w:tcPr>
            <w:tcW w:w="566" w:type="dxa"/>
            <w:tcBorders>
              <w:top w:val="nil"/>
              <w:left w:val="nil"/>
              <w:right w:val="nil"/>
            </w:tcBorders>
            <w:shd w:val="clear" w:color="000000" w:fill="D9D9D9"/>
            <w:noWrap/>
            <w:vAlign w:val="bottom"/>
            <w:hideMark/>
          </w:tcPr>
          <w:p w14:paraId="20C39794"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w:t>
            </w:r>
          </w:p>
        </w:tc>
        <w:tc>
          <w:tcPr>
            <w:tcW w:w="700" w:type="dxa"/>
            <w:tcBorders>
              <w:top w:val="nil"/>
              <w:left w:val="nil"/>
              <w:right w:val="nil"/>
            </w:tcBorders>
            <w:shd w:val="clear" w:color="000000" w:fill="D9D9D9"/>
            <w:noWrap/>
            <w:vAlign w:val="bottom"/>
            <w:hideMark/>
          </w:tcPr>
          <w:p w14:paraId="0A9AD80B"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w:t>
            </w:r>
          </w:p>
        </w:tc>
      </w:tr>
      <w:tr w:rsidR="00B4295F" w:rsidRPr="0033667D" w14:paraId="6D30B8B1"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5E9994FD"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Primary Way of Communicating</w:t>
            </w:r>
          </w:p>
        </w:tc>
        <w:tc>
          <w:tcPr>
            <w:tcW w:w="566" w:type="dxa"/>
            <w:tcBorders>
              <w:top w:val="nil"/>
              <w:left w:val="nil"/>
              <w:bottom w:val="nil"/>
              <w:right w:val="nil"/>
            </w:tcBorders>
            <w:shd w:val="clear" w:color="000000" w:fill="auto"/>
            <w:noWrap/>
            <w:vAlign w:val="bottom"/>
            <w:hideMark/>
          </w:tcPr>
          <w:p w14:paraId="44F5940A"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auto"/>
            <w:noWrap/>
            <w:vAlign w:val="bottom"/>
            <w:hideMark/>
          </w:tcPr>
          <w:p w14:paraId="1C3D0D37"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46246ECA"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012A439C"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Spoken Language</w:t>
            </w:r>
          </w:p>
        </w:tc>
        <w:tc>
          <w:tcPr>
            <w:tcW w:w="566" w:type="dxa"/>
            <w:tcBorders>
              <w:top w:val="nil"/>
              <w:left w:val="nil"/>
              <w:bottom w:val="nil"/>
              <w:right w:val="nil"/>
            </w:tcBorders>
            <w:shd w:val="clear" w:color="000000" w:fill="auto"/>
            <w:noWrap/>
            <w:vAlign w:val="bottom"/>
            <w:hideMark/>
          </w:tcPr>
          <w:p w14:paraId="4D705AF6"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133</w:t>
            </w:r>
          </w:p>
        </w:tc>
        <w:tc>
          <w:tcPr>
            <w:tcW w:w="700" w:type="dxa"/>
            <w:tcBorders>
              <w:top w:val="nil"/>
              <w:left w:val="nil"/>
              <w:bottom w:val="nil"/>
              <w:right w:val="nil"/>
            </w:tcBorders>
            <w:shd w:val="clear" w:color="000000" w:fill="auto"/>
            <w:noWrap/>
            <w:vAlign w:val="bottom"/>
            <w:hideMark/>
          </w:tcPr>
          <w:p w14:paraId="6A5E7E6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91</w:t>
            </w:r>
          </w:p>
        </w:tc>
      </w:tr>
      <w:tr w:rsidR="00B4295F" w:rsidRPr="0033667D" w14:paraId="2238F521" w14:textId="77777777" w:rsidTr="00BC286B">
        <w:trPr>
          <w:gridAfter w:val="1"/>
          <w:wAfter w:w="222" w:type="dxa"/>
          <w:trHeight w:val="240"/>
        </w:trPr>
        <w:tc>
          <w:tcPr>
            <w:tcW w:w="3140" w:type="dxa"/>
            <w:gridSpan w:val="2"/>
            <w:tcBorders>
              <w:top w:val="nil"/>
              <w:left w:val="nil"/>
              <w:right w:val="nil"/>
            </w:tcBorders>
            <w:shd w:val="clear" w:color="000000" w:fill="auto"/>
            <w:noWrap/>
            <w:vAlign w:val="bottom"/>
            <w:hideMark/>
          </w:tcPr>
          <w:p w14:paraId="7EBB23C1"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Sign Language</w:t>
            </w:r>
          </w:p>
        </w:tc>
        <w:tc>
          <w:tcPr>
            <w:tcW w:w="566" w:type="dxa"/>
            <w:tcBorders>
              <w:top w:val="nil"/>
              <w:left w:val="nil"/>
              <w:right w:val="nil"/>
            </w:tcBorders>
            <w:shd w:val="clear" w:color="000000" w:fill="auto"/>
            <w:noWrap/>
            <w:vAlign w:val="bottom"/>
            <w:hideMark/>
          </w:tcPr>
          <w:p w14:paraId="6C57A44A"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13</w:t>
            </w:r>
          </w:p>
        </w:tc>
        <w:tc>
          <w:tcPr>
            <w:tcW w:w="700" w:type="dxa"/>
            <w:tcBorders>
              <w:top w:val="nil"/>
              <w:left w:val="nil"/>
              <w:right w:val="nil"/>
            </w:tcBorders>
            <w:shd w:val="clear" w:color="000000" w:fill="auto"/>
            <w:noWrap/>
            <w:vAlign w:val="bottom"/>
            <w:hideMark/>
          </w:tcPr>
          <w:p w14:paraId="79468A6A"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9</w:t>
            </w:r>
          </w:p>
        </w:tc>
      </w:tr>
      <w:tr w:rsidR="00B4295F" w:rsidRPr="0033667D" w14:paraId="2429747B"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7E20A6C3"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Other Diagnosed Conditions</w:t>
            </w:r>
          </w:p>
        </w:tc>
        <w:tc>
          <w:tcPr>
            <w:tcW w:w="566" w:type="dxa"/>
            <w:tcBorders>
              <w:top w:val="nil"/>
              <w:left w:val="nil"/>
              <w:bottom w:val="nil"/>
              <w:right w:val="nil"/>
            </w:tcBorders>
            <w:shd w:val="clear" w:color="000000" w:fill="D9D9D9"/>
            <w:noWrap/>
            <w:vAlign w:val="bottom"/>
            <w:hideMark/>
          </w:tcPr>
          <w:p w14:paraId="45AA7463"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D9D9D9"/>
            <w:noWrap/>
            <w:vAlign w:val="bottom"/>
            <w:hideMark/>
          </w:tcPr>
          <w:p w14:paraId="373FC305"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4D87C7AC"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6566481B"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Yes</w:t>
            </w:r>
          </w:p>
        </w:tc>
        <w:tc>
          <w:tcPr>
            <w:tcW w:w="566" w:type="dxa"/>
            <w:tcBorders>
              <w:top w:val="nil"/>
              <w:left w:val="nil"/>
              <w:bottom w:val="nil"/>
              <w:right w:val="nil"/>
            </w:tcBorders>
            <w:shd w:val="clear" w:color="000000" w:fill="D9D9D9"/>
            <w:noWrap/>
            <w:vAlign w:val="bottom"/>
            <w:hideMark/>
          </w:tcPr>
          <w:p w14:paraId="1FE92135"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42</w:t>
            </w:r>
          </w:p>
        </w:tc>
        <w:tc>
          <w:tcPr>
            <w:tcW w:w="700" w:type="dxa"/>
            <w:tcBorders>
              <w:top w:val="nil"/>
              <w:left w:val="nil"/>
              <w:bottom w:val="nil"/>
              <w:right w:val="nil"/>
            </w:tcBorders>
            <w:shd w:val="clear" w:color="000000" w:fill="D9D9D9"/>
            <w:noWrap/>
            <w:vAlign w:val="bottom"/>
            <w:hideMark/>
          </w:tcPr>
          <w:p w14:paraId="4DABA93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29</w:t>
            </w:r>
          </w:p>
        </w:tc>
      </w:tr>
      <w:tr w:rsidR="00B4295F" w:rsidRPr="0033667D" w14:paraId="001225C6" w14:textId="77777777" w:rsidTr="00BC286B">
        <w:trPr>
          <w:gridAfter w:val="1"/>
          <w:wAfter w:w="222" w:type="dxa"/>
          <w:trHeight w:val="240"/>
        </w:trPr>
        <w:tc>
          <w:tcPr>
            <w:tcW w:w="3140" w:type="dxa"/>
            <w:gridSpan w:val="2"/>
            <w:tcBorders>
              <w:top w:val="nil"/>
              <w:left w:val="nil"/>
              <w:right w:val="nil"/>
            </w:tcBorders>
            <w:shd w:val="clear" w:color="000000" w:fill="D9D9D9"/>
            <w:noWrap/>
            <w:vAlign w:val="bottom"/>
            <w:hideMark/>
          </w:tcPr>
          <w:p w14:paraId="6D03F4C3"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No</w:t>
            </w:r>
          </w:p>
        </w:tc>
        <w:tc>
          <w:tcPr>
            <w:tcW w:w="566" w:type="dxa"/>
            <w:tcBorders>
              <w:top w:val="nil"/>
              <w:left w:val="nil"/>
              <w:right w:val="nil"/>
            </w:tcBorders>
            <w:shd w:val="clear" w:color="000000" w:fill="D9D9D9"/>
            <w:noWrap/>
            <w:vAlign w:val="bottom"/>
            <w:hideMark/>
          </w:tcPr>
          <w:p w14:paraId="4BD1D087"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104</w:t>
            </w:r>
          </w:p>
        </w:tc>
        <w:tc>
          <w:tcPr>
            <w:tcW w:w="700" w:type="dxa"/>
            <w:tcBorders>
              <w:top w:val="nil"/>
              <w:left w:val="nil"/>
              <w:right w:val="nil"/>
            </w:tcBorders>
            <w:shd w:val="clear" w:color="000000" w:fill="D9D9D9"/>
            <w:noWrap/>
            <w:vAlign w:val="bottom"/>
            <w:hideMark/>
          </w:tcPr>
          <w:p w14:paraId="4B39B644"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71</w:t>
            </w:r>
          </w:p>
        </w:tc>
      </w:tr>
      <w:tr w:rsidR="00B4295F" w:rsidRPr="0033667D" w14:paraId="69235CFC"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533FD2F4"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Education Level</w:t>
            </w:r>
          </w:p>
        </w:tc>
        <w:tc>
          <w:tcPr>
            <w:tcW w:w="566" w:type="dxa"/>
            <w:tcBorders>
              <w:top w:val="nil"/>
              <w:left w:val="nil"/>
              <w:bottom w:val="nil"/>
              <w:right w:val="nil"/>
            </w:tcBorders>
            <w:shd w:val="clear" w:color="000000" w:fill="auto"/>
            <w:noWrap/>
            <w:vAlign w:val="bottom"/>
            <w:hideMark/>
          </w:tcPr>
          <w:p w14:paraId="528CB30E"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auto"/>
            <w:noWrap/>
            <w:vAlign w:val="bottom"/>
            <w:hideMark/>
          </w:tcPr>
          <w:p w14:paraId="7ABE1472"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2C44E64C"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0CB32E41"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Less than 7th grade</w:t>
            </w:r>
          </w:p>
        </w:tc>
        <w:tc>
          <w:tcPr>
            <w:tcW w:w="566" w:type="dxa"/>
            <w:tcBorders>
              <w:top w:val="nil"/>
              <w:left w:val="nil"/>
              <w:bottom w:val="nil"/>
              <w:right w:val="nil"/>
            </w:tcBorders>
            <w:shd w:val="clear" w:color="000000" w:fill="auto"/>
            <w:noWrap/>
            <w:vAlign w:val="bottom"/>
            <w:hideMark/>
          </w:tcPr>
          <w:p w14:paraId="51022D02"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c>
          <w:tcPr>
            <w:tcW w:w="700" w:type="dxa"/>
            <w:tcBorders>
              <w:top w:val="nil"/>
              <w:left w:val="nil"/>
              <w:bottom w:val="nil"/>
              <w:right w:val="nil"/>
            </w:tcBorders>
            <w:shd w:val="clear" w:color="000000" w:fill="auto"/>
            <w:noWrap/>
            <w:vAlign w:val="bottom"/>
            <w:hideMark/>
          </w:tcPr>
          <w:p w14:paraId="5B8584CF"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w:t>
            </w:r>
          </w:p>
        </w:tc>
      </w:tr>
      <w:tr w:rsidR="00B4295F" w:rsidRPr="0033667D" w14:paraId="7325D5B1"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6A43B711"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Junior high/middle school</w:t>
            </w:r>
          </w:p>
        </w:tc>
        <w:tc>
          <w:tcPr>
            <w:tcW w:w="566" w:type="dxa"/>
            <w:tcBorders>
              <w:top w:val="nil"/>
              <w:left w:val="nil"/>
              <w:bottom w:val="nil"/>
              <w:right w:val="nil"/>
            </w:tcBorders>
            <w:shd w:val="clear" w:color="000000" w:fill="auto"/>
            <w:noWrap/>
            <w:vAlign w:val="bottom"/>
            <w:hideMark/>
          </w:tcPr>
          <w:p w14:paraId="42D2EFA0"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w:t>
            </w:r>
          </w:p>
        </w:tc>
        <w:tc>
          <w:tcPr>
            <w:tcW w:w="700" w:type="dxa"/>
            <w:tcBorders>
              <w:top w:val="nil"/>
              <w:left w:val="nil"/>
              <w:bottom w:val="nil"/>
              <w:right w:val="nil"/>
            </w:tcBorders>
            <w:shd w:val="clear" w:color="000000" w:fill="auto"/>
            <w:noWrap/>
            <w:vAlign w:val="bottom"/>
            <w:hideMark/>
          </w:tcPr>
          <w:p w14:paraId="313FAEE8"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w:t>
            </w:r>
          </w:p>
        </w:tc>
      </w:tr>
      <w:tr w:rsidR="00B4295F" w:rsidRPr="0033667D" w14:paraId="4F6709A5"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0D83D839"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Partial high school</w:t>
            </w:r>
          </w:p>
        </w:tc>
        <w:tc>
          <w:tcPr>
            <w:tcW w:w="566" w:type="dxa"/>
            <w:tcBorders>
              <w:top w:val="nil"/>
              <w:left w:val="nil"/>
              <w:bottom w:val="nil"/>
              <w:right w:val="nil"/>
            </w:tcBorders>
            <w:shd w:val="clear" w:color="000000" w:fill="auto"/>
            <w:noWrap/>
            <w:vAlign w:val="bottom"/>
            <w:hideMark/>
          </w:tcPr>
          <w:p w14:paraId="160AABFF"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w:t>
            </w:r>
          </w:p>
        </w:tc>
        <w:tc>
          <w:tcPr>
            <w:tcW w:w="700" w:type="dxa"/>
            <w:tcBorders>
              <w:top w:val="nil"/>
              <w:left w:val="nil"/>
              <w:bottom w:val="nil"/>
              <w:right w:val="nil"/>
            </w:tcBorders>
            <w:shd w:val="clear" w:color="000000" w:fill="auto"/>
            <w:noWrap/>
            <w:vAlign w:val="bottom"/>
            <w:hideMark/>
          </w:tcPr>
          <w:p w14:paraId="32750C56"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w:t>
            </w:r>
          </w:p>
        </w:tc>
      </w:tr>
      <w:tr w:rsidR="00B4295F" w:rsidRPr="0033667D" w14:paraId="3E49EDD4"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3EE9E6F1"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High school graduate</w:t>
            </w:r>
          </w:p>
        </w:tc>
        <w:tc>
          <w:tcPr>
            <w:tcW w:w="566" w:type="dxa"/>
            <w:tcBorders>
              <w:top w:val="nil"/>
              <w:left w:val="nil"/>
              <w:bottom w:val="nil"/>
              <w:right w:val="nil"/>
            </w:tcBorders>
            <w:shd w:val="clear" w:color="000000" w:fill="auto"/>
            <w:noWrap/>
            <w:vAlign w:val="bottom"/>
            <w:hideMark/>
          </w:tcPr>
          <w:p w14:paraId="2E4D89E3"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12</w:t>
            </w:r>
          </w:p>
        </w:tc>
        <w:tc>
          <w:tcPr>
            <w:tcW w:w="700" w:type="dxa"/>
            <w:tcBorders>
              <w:top w:val="nil"/>
              <w:left w:val="nil"/>
              <w:bottom w:val="nil"/>
              <w:right w:val="nil"/>
            </w:tcBorders>
            <w:shd w:val="clear" w:color="000000" w:fill="auto"/>
            <w:noWrap/>
            <w:vAlign w:val="bottom"/>
            <w:hideMark/>
          </w:tcPr>
          <w:p w14:paraId="6FAF973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8</w:t>
            </w:r>
          </w:p>
        </w:tc>
      </w:tr>
      <w:tr w:rsidR="00B4295F" w:rsidRPr="0033667D" w14:paraId="06E3A87C"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3535C2CC"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Partial college</w:t>
            </w:r>
          </w:p>
        </w:tc>
        <w:tc>
          <w:tcPr>
            <w:tcW w:w="566" w:type="dxa"/>
            <w:tcBorders>
              <w:top w:val="nil"/>
              <w:left w:val="nil"/>
              <w:bottom w:val="nil"/>
              <w:right w:val="nil"/>
            </w:tcBorders>
            <w:shd w:val="clear" w:color="000000" w:fill="auto"/>
            <w:noWrap/>
            <w:vAlign w:val="bottom"/>
            <w:hideMark/>
          </w:tcPr>
          <w:p w14:paraId="6A7ECB5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34</w:t>
            </w:r>
          </w:p>
        </w:tc>
        <w:tc>
          <w:tcPr>
            <w:tcW w:w="700" w:type="dxa"/>
            <w:tcBorders>
              <w:top w:val="nil"/>
              <w:left w:val="nil"/>
              <w:bottom w:val="nil"/>
              <w:right w:val="nil"/>
            </w:tcBorders>
            <w:shd w:val="clear" w:color="000000" w:fill="auto"/>
            <w:noWrap/>
            <w:vAlign w:val="bottom"/>
            <w:hideMark/>
          </w:tcPr>
          <w:p w14:paraId="1D4BFAD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23</w:t>
            </w:r>
          </w:p>
        </w:tc>
      </w:tr>
      <w:tr w:rsidR="00B4295F" w:rsidRPr="0033667D" w14:paraId="1A857639" w14:textId="77777777" w:rsidTr="00BC286B">
        <w:trPr>
          <w:gridAfter w:val="1"/>
          <w:wAfter w:w="222" w:type="dxa"/>
          <w:trHeight w:val="240"/>
        </w:trPr>
        <w:tc>
          <w:tcPr>
            <w:tcW w:w="3140" w:type="dxa"/>
            <w:gridSpan w:val="2"/>
            <w:tcBorders>
              <w:top w:val="nil"/>
              <w:left w:val="nil"/>
              <w:bottom w:val="nil"/>
              <w:right w:val="nil"/>
            </w:tcBorders>
            <w:shd w:val="clear" w:color="000000" w:fill="auto"/>
            <w:noWrap/>
            <w:vAlign w:val="bottom"/>
            <w:hideMark/>
          </w:tcPr>
          <w:p w14:paraId="66C3595D"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College degree</w:t>
            </w:r>
          </w:p>
        </w:tc>
        <w:tc>
          <w:tcPr>
            <w:tcW w:w="566" w:type="dxa"/>
            <w:tcBorders>
              <w:top w:val="nil"/>
              <w:left w:val="nil"/>
              <w:bottom w:val="nil"/>
              <w:right w:val="nil"/>
            </w:tcBorders>
            <w:shd w:val="clear" w:color="000000" w:fill="auto"/>
            <w:noWrap/>
            <w:vAlign w:val="bottom"/>
            <w:hideMark/>
          </w:tcPr>
          <w:p w14:paraId="6F482717"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47</w:t>
            </w:r>
          </w:p>
        </w:tc>
        <w:tc>
          <w:tcPr>
            <w:tcW w:w="700" w:type="dxa"/>
            <w:tcBorders>
              <w:top w:val="nil"/>
              <w:left w:val="nil"/>
              <w:bottom w:val="nil"/>
              <w:right w:val="nil"/>
            </w:tcBorders>
            <w:shd w:val="clear" w:color="000000" w:fill="auto"/>
            <w:noWrap/>
            <w:vAlign w:val="bottom"/>
            <w:hideMark/>
          </w:tcPr>
          <w:p w14:paraId="3E10832F"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32</w:t>
            </w:r>
          </w:p>
        </w:tc>
      </w:tr>
      <w:tr w:rsidR="00B4295F" w:rsidRPr="0033667D" w14:paraId="66A9AEB1" w14:textId="77777777" w:rsidTr="00BC286B">
        <w:trPr>
          <w:gridAfter w:val="1"/>
          <w:wAfter w:w="222" w:type="dxa"/>
          <w:trHeight w:val="240"/>
        </w:trPr>
        <w:tc>
          <w:tcPr>
            <w:tcW w:w="3140" w:type="dxa"/>
            <w:gridSpan w:val="2"/>
            <w:tcBorders>
              <w:top w:val="nil"/>
              <w:left w:val="nil"/>
              <w:right w:val="nil"/>
            </w:tcBorders>
            <w:shd w:val="clear" w:color="000000" w:fill="auto"/>
            <w:noWrap/>
            <w:vAlign w:val="bottom"/>
            <w:hideMark/>
          </w:tcPr>
          <w:p w14:paraId="0D151B83"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Graduate degree</w:t>
            </w:r>
          </w:p>
        </w:tc>
        <w:tc>
          <w:tcPr>
            <w:tcW w:w="566" w:type="dxa"/>
            <w:tcBorders>
              <w:top w:val="nil"/>
              <w:left w:val="nil"/>
              <w:right w:val="nil"/>
            </w:tcBorders>
            <w:shd w:val="clear" w:color="000000" w:fill="auto"/>
            <w:noWrap/>
            <w:vAlign w:val="bottom"/>
            <w:hideMark/>
          </w:tcPr>
          <w:p w14:paraId="7DCD29E8"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47</w:t>
            </w:r>
          </w:p>
        </w:tc>
        <w:tc>
          <w:tcPr>
            <w:tcW w:w="700" w:type="dxa"/>
            <w:tcBorders>
              <w:top w:val="nil"/>
              <w:left w:val="nil"/>
              <w:right w:val="nil"/>
            </w:tcBorders>
            <w:shd w:val="clear" w:color="000000" w:fill="auto"/>
            <w:noWrap/>
            <w:vAlign w:val="bottom"/>
            <w:hideMark/>
          </w:tcPr>
          <w:p w14:paraId="42CDA7C3"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32</w:t>
            </w:r>
          </w:p>
        </w:tc>
      </w:tr>
      <w:tr w:rsidR="00B4295F" w:rsidRPr="0033667D" w14:paraId="6B50E9F3"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169FA7C0"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Family Income</w:t>
            </w:r>
          </w:p>
        </w:tc>
        <w:tc>
          <w:tcPr>
            <w:tcW w:w="566" w:type="dxa"/>
            <w:tcBorders>
              <w:top w:val="nil"/>
              <w:left w:val="nil"/>
              <w:bottom w:val="nil"/>
              <w:right w:val="nil"/>
            </w:tcBorders>
            <w:shd w:val="clear" w:color="000000" w:fill="D9D9D9"/>
            <w:noWrap/>
            <w:vAlign w:val="bottom"/>
            <w:hideMark/>
          </w:tcPr>
          <w:p w14:paraId="05F3365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c>
          <w:tcPr>
            <w:tcW w:w="700" w:type="dxa"/>
            <w:tcBorders>
              <w:top w:val="nil"/>
              <w:left w:val="nil"/>
              <w:bottom w:val="nil"/>
              <w:right w:val="nil"/>
            </w:tcBorders>
            <w:shd w:val="clear" w:color="000000" w:fill="D9D9D9"/>
            <w:noWrap/>
            <w:vAlign w:val="bottom"/>
            <w:hideMark/>
          </w:tcPr>
          <w:p w14:paraId="5E793772"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 </w:t>
            </w:r>
          </w:p>
        </w:tc>
      </w:tr>
      <w:tr w:rsidR="00B4295F" w:rsidRPr="0033667D" w14:paraId="0E4D2B13" w14:textId="77777777" w:rsidTr="00BC286B">
        <w:trPr>
          <w:gridAfter w:val="1"/>
          <w:wAfter w:w="222" w:type="dxa"/>
          <w:trHeight w:val="240"/>
        </w:trPr>
        <w:tc>
          <w:tcPr>
            <w:tcW w:w="3140" w:type="dxa"/>
            <w:gridSpan w:val="2"/>
            <w:tcBorders>
              <w:top w:val="nil"/>
              <w:left w:val="nil"/>
              <w:bottom w:val="nil"/>
              <w:right w:val="nil"/>
            </w:tcBorders>
            <w:shd w:val="clear" w:color="000000" w:fill="D9D9D9"/>
            <w:vAlign w:val="bottom"/>
            <w:hideMark/>
          </w:tcPr>
          <w:p w14:paraId="1A2C11CE"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Less than $20,000</w:t>
            </w:r>
          </w:p>
        </w:tc>
        <w:tc>
          <w:tcPr>
            <w:tcW w:w="566" w:type="dxa"/>
            <w:tcBorders>
              <w:top w:val="nil"/>
              <w:left w:val="nil"/>
              <w:bottom w:val="nil"/>
              <w:right w:val="nil"/>
            </w:tcBorders>
            <w:shd w:val="clear" w:color="000000" w:fill="D9D9D9"/>
            <w:noWrap/>
            <w:vAlign w:val="bottom"/>
            <w:hideMark/>
          </w:tcPr>
          <w:p w14:paraId="27B3CF7F"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11</w:t>
            </w:r>
          </w:p>
        </w:tc>
        <w:tc>
          <w:tcPr>
            <w:tcW w:w="700" w:type="dxa"/>
            <w:tcBorders>
              <w:top w:val="nil"/>
              <w:left w:val="nil"/>
              <w:bottom w:val="nil"/>
              <w:right w:val="nil"/>
            </w:tcBorders>
            <w:shd w:val="clear" w:color="000000" w:fill="D9D9D9"/>
            <w:noWrap/>
            <w:vAlign w:val="bottom"/>
            <w:hideMark/>
          </w:tcPr>
          <w:p w14:paraId="382C15C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8</w:t>
            </w:r>
          </w:p>
        </w:tc>
      </w:tr>
      <w:tr w:rsidR="00B4295F" w:rsidRPr="0033667D" w14:paraId="15E3D86C"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417A23F6"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$20,000 - $40,000</w:t>
            </w:r>
          </w:p>
        </w:tc>
        <w:tc>
          <w:tcPr>
            <w:tcW w:w="566" w:type="dxa"/>
            <w:tcBorders>
              <w:top w:val="nil"/>
              <w:left w:val="nil"/>
              <w:bottom w:val="nil"/>
              <w:right w:val="nil"/>
            </w:tcBorders>
            <w:shd w:val="clear" w:color="000000" w:fill="D9D9D9"/>
            <w:noWrap/>
            <w:vAlign w:val="bottom"/>
            <w:hideMark/>
          </w:tcPr>
          <w:p w14:paraId="05C266B8"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40</w:t>
            </w:r>
          </w:p>
        </w:tc>
        <w:tc>
          <w:tcPr>
            <w:tcW w:w="700" w:type="dxa"/>
            <w:tcBorders>
              <w:top w:val="nil"/>
              <w:left w:val="nil"/>
              <w:bottom w:val="nil"/>
              <w:right w:val="nil"/>
            </w:tcBorders>
            <w:shd w:val="clear" w:color="000000" w:fill="D9D9D9"/>
            <w:noWrap/>
            <w:vAlign w:val="bottom"/>
            <w:hideMark/>
          </w:tcPr>
          <w:p w14:paraId="0DEB45DD"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27</w:t>
            </w:r>
          </w:p>
        </w:tc>
      </w:tr>
      <w:tr w:rsidR="00B4295F" w:rsidRPr="0033667D" w14:paraId="1EC8CBFA" w14:textId="77777777" w:rsidTr="00BC286B">
        <w:trPr>
          <w:gridAfter w:val="1"/>
          <w:wAfter w:w="222" w:type="dxa"/>
          <w:trHeight w:val="240"/>
        </w:trPr>
        <w:tc>
          <w:tcPr>
            <w:tcW w:w="3140" w:type="dxa"/>
            <w:gridSpan w:val="2"/>
            <w:tcBorders>
              <w:top w:val="nil"/>
              <w:left w:val="nil"/>
              <w:bottom w:val="nil"/>
              <w:right w:val="nil"/>
            </w:tcBorders>
            <w:shd w:val="clear" w:color="000000" w:fill="D9D9D9"/>
            <w:noWrap/>
            <w:vAlign w:val="bottom"/>
            <w:hideMark/>
          </w:tcPr>
          <w:p w14:paraId="60F2765B"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$40,000 - 80,000</w:t>
            </w:r>
          </w:p>
        </w:tc>
        <w:tc>
          <w:tcPr>
            <w:tcW w:w="566" w:type="dxa"/>
            <w:tcBorders>
              <w:top w:val="nil"/>
              <w:left w:val="nil"/>
              <w:bottom w:val="nil"/>
              <w:right w:val="nil"/>
            </w:tcBorders>
            <w:shd w:val="clear" w:color="000000" w:fill="D9D9D9"/>
            <w:noWrap/>
            <w:vAlign w:val="bottom"/>
            <w:hideMark/>
          </w:tcPr>
          <w:p w14:paraId="50B37A11"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47</w:t>
            </w:r>
          </w:p>
        </w:tc>
        <w:tc>
          <w:tcPr>
            <w:tcW w:w="700" w:type="dxa"/>
            <w:tcBorders>
              <w:top w:val="nil"/>
              <w:left w:val="nil"/>
              <w:bottom w:val="nil"/>
              <w:right w:val="nil"/>
            </w:tcBorders>
            <w:shd w:val="clear" w:color="000000" w:fill="D9D9D9"/>
            <w:noWrap/>
            <w:vAlign w:val="bottom"/>
            <w:hideMark/>
          </w:tcPr>
          <w:p w14:paraId="105EC56E"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32</w:t>
            </w:r>
          </w:p>
        </w:tc>
      </w:tr>
      <w:tr w:rsidR="00B4295F" w:rsidRPr="0033667D" w14:paraId="4A6808F6" w14:textId="77777777" w:rsidTr="00BC286B">
        <w:trPr>
          <w:gridAfter w:val="1"/>
          <w:wAfter w:w="222" w:type="dxa"/>
          <w:trHeight w:val="240"/>
        </w:trPr>
        <w:tc>
          <w:tcPr>
            <w:tcW w:w="3140" w:type="dxa"/>
            <w:gridSpan w:val="2"/>
            <w:tcBorders>
              <w:top w:val="nil"/>
              <w:left w:val="nil"/>
              <w:bottom w:val="single" w:sz="8" w:space="0" w:color="auto"/>
              <w:right w:val="nil"/>
            </w:tcBorders>
            <w:shd w:val="clear" w:color="000000" w:fill="D9D9D9"/>
            <w:noWrap/>
            <w:vAlign w:val="bottom"/>
            <w:hideMark/>
          </w:tcPr>
          <w:p w14:paraId="18460672" w14:textId="77777777" w:rsidR="00B4295F" w:rsidRPr="0033667D" w:rsidRDefault="00B4295F" w:rsidP="00BC286B">
            <w:pPr>
              <w:jc w:val="right"/>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more than $80,000</w:t>
            </w:r>
          </w:p>
        </w:tc>
        <w:tc>
          <w:tcPr>
            <w:tcW w:w="566" w:type="dxa"/>
            <w:tcBorders>
              <w:top w:val="nil"/>
              <w:left w:val="nil"/>
              <w:bottom w:val="single" w:sz="8" w:space="0" w:color="auto"/>
              <w:right w:val="nil"/>
            </w:tcBorders>
            <w:shd w:val="clear" w:color="000000" w:fill="D9D9D9"/>
            <w:noWrap/>
            <w:vAlign w:val="bottom"/>
            <w:hideMark/>
          </w:tcPr>
          <w:p w14:paraId="517207F9"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48</w:t>
            </w:r>
          </w:p>
        </w:tc>
        <w:tc>
          <w:tcPr>
            <w:tcW w:w="700" w:type="dxa"/>
            <w:tcBorders>
              <w:top w:val="nil"/>
              <w:left w:val="nil"/>
              <w:bottom w:val="single" w:sz="8" w:space="0" w:color="auto"/>
              <w:right w:val="nil"/>
            </w:tcBorders>
            <w:shd w:val="clear" w:color="000000" w:fill="D9D9D9"/>
            <w:noWrap/>
            <w:vAlign w:val="bottom"/>
            <w:hideMark/>
          </w:tcPr>
          <w:p w14:paraId="1EA8BD04" w14:textId="77777777" w:rsidR="00B4295F" w:rsidRPr="0033667D" w:rsidRDefault="00B4295F" w:rsidP="00BC286B">
            <w:pPr>
              <w:jc w:val="cente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33</w:t>
            </w:r>
          </w:p>
        </w:tc>
      </w:tr>
      <w:tr w:rsidR="00B4295F" w:rsidRPr="0033667D" w14:paraId="0E746AF9" w14:textId="77777777" w:rsidTr="00BC286B">
        <w:trPr>
          <w:gridAfter w:val="1"/>
          <w:wAfter w:w="222" w:type="dxa"/>
          <w:trHeight w:val="293"/>
        </w:trPr>
        <w:tc>
          <w:tcPr>
            <w:tcW w:w="4406" w:type="dxa"/>
            <w:gridSpan w:val="4"/>
            <w:vMerge w:val="restart"/>
            <w:tcBorders>
              <w:top w:val="single" w:sz="8" w:space="0" w:color="auto"/>
              <w:left w:val="nil"/>
              <w:bottom w:val="nil"/>
              <w:right w:val="nil"/>
            </w:tcBorders>
            <w:shd w:val="clear" w:color="auto" w:fill="auto"/>
            <w:vAlign w:val="bottom"/>
            <w:hideMark/>
          </w:tcPr>
          <w:p w14:paraId="142C9C49" w14:textId="77777777" w:rsidR="00B4295F" w:rsidRPr="0033667D" w:rsidRDefault="00B4295F" w:rsidP="00BC286B">
            <w:pPr>
              <w:rPr>
                <w:rFonts w:ascii="Times New Roman" w:eastAsia="Times New Roman" w:hAnsi="Times New Roman" w:cs="Times New Roman"/>
                <w:color w:val="000000"/>
                <w:sz w:val="20"/>
                <w:szCs w:val="20"/>
              </w:rPr>
            </w:pPr>
            <w:r w:rsidRPr="0033667D">
              <w:rPr>
                <w:rFonts w:ascii="Times New Roman" w:eastAsia="Times New Roman" w:hAnsi="Times New Roman" w:cs="Times New Roman"/>
                <w:color w:val="000000"/>
                <w:sz w:val="20"/>
                <w:szCs w:val="20"/>
              </w:rPr>
              <w:t>*Includes American Indian, Alaska Native, and Indigenous</w:t>
            </w:r>
          </w:p>
        </w:tc>
      </w:tr>
      <w:tr w:rsidR="00B4295F" w:rsidRPr="0033667D" w14:paraId="036FCC95" w14:textId="77777777" w:rsidTr="00BC286B">
        <w:trPr>
          <w:trHeight w:val="240"/>
        </w:trPr>
        <w:tc>
          <w:tcPr>
            <w:tcW w:w="4406" w:type="dxa"/>
            <w:gridSpan w:val="4"/>
            <w:vMerge/>
            <w:tcBorders>
              <w:top w:val="single" w:sz="8" w:space="0" w:color="auto"/>
              <w:left w:val="nil"/>
              <w:bottom w:val="nil"/>
              <w:right w:val="nil"/>
            </w:tcBorders>
            <w:vAlign w:val="center"/>
            <w:hideMark/>
          </w:tcPr>
          <w:p w14:paraId="23388CC1" w14:textId="77777777" w:rsidR="00B4295F" w:rsidRPr="0033667D" w:rsidRDefault="00B4295F" w:rsidP="00BC286B">
            <w:pPr>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noWrap/>
            <w:vAlign w:val="bottom"/>
            <w:hideMark/>
          </w:tcPr>
          <w:p w14:paraId="4B7C87BA" w14:textId="77777777" w:rsidR="00B4295F" w:rsidRPr="0033667D" w:rsidRDefault="00B4295F" w:rsidP="00BC286B">
            <w:pPr>
              <w:rPr>
                <w:rFonts w:ascii="Times New Roman" w:eastAsia="Times New Roman" w:hAnsi="Times New Roman" w:cs="Times New Roman"/>
                <w:color w:val="000000"/>
                <w:sz w:val="20"/>
                <w:szCs w:val="20"/>
              </w:rPr>
            </w:pPr>
          </w:p>
        </w:tc>
      </w:tr>
    </w:tbl>
    <w:p w14:paraId="730813B8" w14:textId="77777777" w:rsidR="00B4295F" w:rsidRDefault="00B4295F" w:rsidP="00E55CD1">
      <w:pPr>
        <w:spacing w:line="480" w:lineRule="auto"/>
        <w:rPr>
          <w:rFonts w:ascii="Times New Roman" w:hAnsi="Times New Roman" w:cs="Times New Roman"/>
        </w:rPr>
      </w:pPr>
    </w:p>
    <w:p w14:paraId="17E95E66" w14:textId="77777777" w:rsidR="00B4295F" w:rsidRDefault="00B4295F" w:rsidP="00E55CD1">
      <w:pPr>
        <w:spacing w:line="480" w:lineRule="auto"/>
        <w:rPr>
          <w:rFonts w:ascii="Times New Roman" w:hAnsi="Times New Roman" w:cs="Times New Roman"/>
        </w:rPr>
      </w:pPr>
    </w:p>
    <w:p w14:paraId="6ED73FE6" w14:textId="77777777" w:rsidR="00B4295F" w:rsidRDefault="00B4295F" w:rsidP="00E55CD1">
      <w:pPr>
        <w:spacing w:line="480" w:lineRule="auto"/>
        <w:rPr>
          <w:rFonts w:ascii="Times New Roman" w:hAnsi="Times New Roman" w:cs="Times New Roman"/>
        </w:rPr>
      </w:pPr>
    </w:p>
    <w:p w14:paraId="52BB5A62" w14:textId="77777777" w:rsidR="00B4295F" w:rsidRDefault="00B4295F" w:rsidP="00E55CD1">
      <w:pPr>
        <w:spacing w:line="480" w:lineRule="auto"/>
        <w:rPr>
          <w:rFonts w:ascii="Times New Roman" w:hAnsi="Times New Roman" w:cs="Times New Roman"/>
        </w:rPr>
      </w:pPr>
    </w:p>
    <w:p w14:paraId="788736F1" w14:textId="77777777" w:rsidR="00B4295F" w:rsidRDefault="00B4295F" w:rsidP="00E55CD1">
      <w:pPr>
        <w:spacing w:line="480" w:lineRule="auto"/>
        <w:rPr>
          <w:rFonts w:ascii="Times New Roman" w:hAnsi="Times New Roman" w:cs="Times New Roman"/>
        </w:rPr>
      </w:pPr>
    </w:p>
    <w:p w14:paraId="7653B77B" w14:textId="77777777" w:rsidR="00B4295F" w:rsidRDefault="00B4295F" w:rsidP="00302E7F">
      <w:pPr>
        <w:rPr>
          <w:rFonts w:ascii="Times New Roman" w:eastAsia="Times New Roman" w:hAnsi="Times New Roman" w:cs="Times New Roman"/>
          <w:color w:val="000000"/>
        </w:rPr>
        <w:sectPr w:rsidR="00B4295F" w:rsidSect="006871CD">
          <w:pgSz w:w="12240" w:h="15840"/>
          <w:pgMar w:top="1440" w:right="1440" w:bottom="1440" w:left="1440" w:header="720" w:footer="720" w:gutter="0"/>
          <w:cols w:space="720"/>
          <w:docGrid w:linePitch="360"/>
        </w:sectPr>
      </w:pPr>
    </w:p>
    <w:tbl>
      <w:tblPr>
        <w:tblW w:w="14302" w:type="dxa"/>
        <w:tblInd w:w="-675" w:type="dxa"/>
        <w:tblCellMar>
          <w:top w:w="15" w:type="dxa"/>
        </w:tblCellMar>
        <w:tblLook w:val="04A0" w:firstRow="1" w:lastRow="0" w:firstColumn="1" w:lastColumn="0" w:noHBand="0" w:noVBand="1"/>
      </w:tblPr>
      <w:tblGrid>
        <w:gridCol w:w="382"/>
        <w:gridCol w:w="4774"/>
        <w:gridCol w:w="2250"/>
        <w:gridCol w:w="1910"/>
        <w:gridCol w:w="2250"/>
        <w:gridCol w:w="2493"/>
        <w:gridCol w:w="243"/>
      </w:tblGrid>
      <w:tr w:rsidR="00B4295F" w:rsidRPr="00302E7F" w14:paraId="5B87A075" w14:textId="77777777" w:rsidTr="008A7613">
        <w:trPr>
          <w:gridAfter w:val="1"/>
          <w:wAfter w:w="243" w:type="dxa"/>
          <w:trHeight w:val="425"/>
        </w:trPr>
        <w:tc>
          <w:tcPr>
            <w:tcW w:w="14059" w:type="dxa"/>
            <w:gridSpan w:val="6"/>
            <w:tcBorders>
              <w:top w:val="single" w:sz="4" w:space="0" w:color="FFFFFF"/>
              <w:left w:val="single" w:sz="4" w:space="0" w:color="FFFFFF"/>
              <w:bottom w:val="single" w:sz="8" w:space="0" w:color="auto"/>
              <w:right w:val="single" w:sz="4" w:space="0" w:color="FFFFFF"/>
            </w:tcBorders>
            <w:shd w:val="clear" w:color="000000" w:fill="FFFFFF"/>
            <w:noWrap/>
            <w:hideMark/>
          </w:tcPr>
          <w:p w14:paraId="04B2D44F" w14:textId="4785E3EB"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lastRenderedPageBreak/>
              <w:t xml:space="preserve">Table 2. </w:t>
            </w:r>
            <w:r w:rsidR="00261BAA">
              <w:rPr>
                <w:rFonts w:ascii="Times New Roman" w:eastAsia="Times New Roman" w:hAnsi="Times New Roman" w:cs="Times New Roman"/>
                <w:color w:val="000000"/>
              </w:rPr>
              <w:t>Convergent</w:t>
            </w:r>
            <w:r w:rsidRPr="00302E7F">
              <w:rPr>
                <w:rFonts w:ascii="Times New Roman" w:eastAsia="Times New Roman" w:hAnsi="Times New Roman" w:cs="Times New Roman"/>
                <w:color w:val="000000"/>
              </w:rPr>
              <w:t xml:space="preserve"> and Discriminant Validity Table</w:t>
            </w:r>
          </w:p>
        </w:tc>
      </w:tr>
      <w:tr w:rsidR="00B4295F" w:rsidRPr="00302E7F" w14:paraId="0E0062B5" w14:textId="77777777" w:rsidTr="008A7613">
        <w:trPr>
          <w:gridAfter w:val="1"/>
          <w:wAfter w:w="243" w:type="dxa"/>
          <w:trHeight w:val="425"/>
        </w:trPr>
        <w:tc>
          <w:tcPr>
            <w:tcW w:w="382" w:type="dxa"/>
            <w:tcBorders>
              <w:top w:val="nil"/>
              <w:left w:val="single" w:sz="4" w:space="0" w:color="FFFFFF"/>
              <w:bottom w:val="single" w:sz="8" w:space="0" w:color="auto"/>
              <w:right w:val="single" w:sz="4" w:space="0" w:color="FFFFFF"/>
            </w:tcBorders>
            <w:shd w:val="clear" w:color="000000" w:fill="FFFFFF"/>
            <w:noWrap/>
            <w:hideMark/>
          </w:tcPr>
          <w:p w14:paraId="7D238676"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single" w:sz="8" w:space="0" w:color="auto"/>
              <w:right w:val="single" w:sz="4" w:space="0" w:color="FFFFFF"/>
            </w:tcBorders>
            <w:shd w:val="clear" w:color="000000" w:fill="FFFFFF"/>
            <w:noWrap/>
            <w:hideMark/>
          </w:tcPr>
          <w:p w14:paraId="56EA5487"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single" w:sz="8" w:space="0" w:color="auto"/>
              <w:right w:val="single" w:sz="4" w:space="0" w:color="FFFFFF"/>
            </w:tcBorders>
            <w:shd w:val="clear" w:color="000000" w:fill="FFFFFF"/>
            <w:noWrap/>
            <w:hideMark/>
          </w:tcPr>
          <w:p w14:paraId="76B99C07"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β</w:t>
            </w:r>
          </w:p>
        </w:tc>
        <w:tc>
          <w:tcPr>
            <w:tcW w:w="1910" w:type="dxa"/>
            <w:tcBorders>
              <w:top w:val="nil"/>
              <w:left w:val="nil"/>
              <w:bottom w:val="single" w:sz="8" w:space="0" w:color="auto"/>
              <w:right w:val="single" w:sz="4" w:space="0" w:color="FFFFFF"/>
            </w:tcBorders>
            <w:shd w:val="clear" w:color="000000" w:fill="FFFFFF"/>
            <w:noWrap/>
            <w:hideMark/>
          </w:tcPr>
          <w:p w14:paraId="49A3A257"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SE</w:t>
            </w:r>
          </w:p>
        </w:tc>
        <w:tc>
          <w:tcPr>
            <w:tcW w:w="2250" w:type="dxa"/>
            <w:tcBorders>
              <w:top w:val="nil"/>
              <w:left w:val="nil"/>
              <w:bottom w:val="single" w:sz="8" w:space="0" w:color="auto"/>
              <w:right w:val="single" w:sz="4" w:space="0" w:color="FFFFFF"/>
            </w:tcBorders>
            <w:shd w:val="clear" w:color="000000" w:fill="FFFFFF"/>
            <w:noWrap/>
            <w:hideMark/>
          </w:tcPr>
          <w:p w14:paraId="2597CFBB" w14:textId="77777777" w:rsidR="00B4295F" w:rsidRPr="00302E7F" w:rsidRDefault="00B4295F" w:rsidP="00302E7F">
            <w:pPr>
              <w:jc w:val="center"/>
              <w:rPr>
                <w:rFonts w:ascii="Times New Roman" w:eastAsia="Times New Roman" w:hAnsi="Times New Roman" w:cs="Times New Roman"/>
                <w:i/>
                <w:iCs/>
                <w:color w:val="000000"/>
              </w:rPr>
            </w:pPr>
            <w:r w:rsidRPr="00302E7F">
              <w:rPr>
                <w:rFonts w:ascii="Times New Roman" w:eastAsia="Times New Roman" w:hAnsi="Times New Roman" w:cs="Times New Roman"/>
                <w:i/>
                <w:iCs/>
                <w:color w:val="000000"/>
              </w:rPr>
              <w:t>z</w:t>
            </w:r>
          </w:p>
        </w:tc>
        <w:tc>
          <w:tcPr>
            <w:tcW w:w="2493" w:type="dxa"/>
            <w:tcBorders>
              <w:top w:val="nil"/>
              <w:left w:val="nil"/>
              <w:bottom w:val="single" w:sz="8" w:space="0" w:color="auto"/>
              <w:right w:val="single" w:sz="4" w:space="0" w:color="FFFFFF"/>
            </w:tcBorders>
            <w:shd w:val="clear" w:color="000000" w:fill="FFFFFF"/>
            <w:noWrap/>
            <w:hideMark/>
          </w:tcPr>
          <w:p w14:paraId="4C08F088" w14:textId="77777777" w:rsidR="00B4295F" w:rsidRPr="00302E7F" w:rsidRDefault="00B4295F" w:rsidP="00302E7F">
            <w:pPr>
              <w:jc w:val="center"/>
              <w:rPr>
                <w:rFonts w:ascii="Times New Roman" w:eastAsia="Times New Roman" w:hAnsi="Times New Roman" w:cs="Times New Roman"/>
                <w:i/>
                <w:iCs/>
                <w:color w:val="000000"/>
              </w:rPr>
            </w:pPr>
            <w:r w:rsidRPr="00302E7F">
              <w:rPr>
                <w:rFonts w:ascii="Times New Roman" w:eastAsia="Times New Roman" w:hAnsi="Times New Roman" w:cs="Times New Roman"/>
                <w:i/>
                <w:iCs/>
                <w:color w:val="000000"/>
              </w:rPr>
              <w:t>p</w:t>
            </w:r>
          </w:p>
        </w:tc>
      </w:tr>
      <w:tr w:rsidR="00B4295F" w:rsidRPr="00302E7F" w14:paraId="6A966956" w14:textId="77777777" w:rsidTr="008A7613">
        <w:trPr>
          <w:gridAfter w:val="1"/>
          <w:wAfter w:w="243" w:type="dxa"/>
          <w:trHeight w:val="400"/>
        </w:trPr>
        <w:tc>
          <w:tcPr>
            <w:tcW w:w="382" w:type="dxa"/>
            <w:tcBorders>
              <w:top w:val="nil"/>
              <w:left w:val="nil"/>
              <w:bottom w:val="nil"/>
              <w:right w:val="nil"/>
            </w:tcBorders>
            <w:shd w:val="clear" w:color="000000" w:fill="FFFFFF"/>
            <w:noWrap/>
            <w:hideMark/>
          </w:tcPr>
          <w:p w14:paraId="3FD7704D"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nil"/>
              <w:right w:val="nil"/>
            </w:tcBorders>
            <w:shd w:val="clear" w:color="000000" w:fill="FFFFFF"/>
            <w:noWrap/>
            <w:hideMark/>
          </w:tcPr>
          <w:p w14:paraId="46FC1CCE"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hideMark/>
          </w:tcPr>
          <w:p w14:paraId="50E9D4B7"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1910" w:type="dxa"/>
            <w:tcBorders>
              <w:top w:val="nil"/>
              <w:left w:val="nil"/>
              <w:bottom w:val="nil"/>
              <w:right w:val="nil"/>
            </w:tcBorders>
            <w:shd w:val="clear" w:color="000000" w:fill="FFFFFF"/>
            <w:noWrap/>
            <w:hideMark/>
          </w:tcPr>
          <w:p w14:paraId="35924E11"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hideMark/>
          </w:tcPr>
          <w:p w14:paraId="48C9B6FF"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493" w:type="dxa"/>
            <w:tcBorders>
              <w:top w:val="nil"/>
              <w:left w:val="nil"/>
              <w:bottom w:val="nil"/>
              <w:right w:val="nil"/>
            </w:tcBorders>
            <w:shd w:val="clear" w:color="000000" w:fill="FFFFFF"/>
            <w:noWrap/>
            <w:hideMark/>
          </w:tcPr>
          <w:p w14:paraId="7D7E1FC9"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r>
      <w:tr w:rsidR="00B4295F" w:rsidRPr="00302E7F" w14:paraId="756DC44C" w14:textId="77777777" w:rsidTr="008A7613">
        <w:trPr>
          <w:gridAfter w:val="1"/>
          <w:wAfter w:w="243" w:type="dxa"/>
          <w:trHeight w:val="400"/>
        </w:trPr>
        <w:tc>
          <w:tcPr>
            <w:tcW w:w="5156" w:type="dxa"/>
            <w:gridSpan w:val="2"/>
            <w:tcBorders>
              <w:top w:val="nil"/>
              <w:left w:val="nil"/>
              <w:bottom w:val="nil"/>
              <w:right w:val="nil"/>
            </w:tcBorders>
            <w:shd w:val="clear" w:color="000000" w:fill="D9D9D9"/>
            <w:noWrap/>
            <w:hideMark/>
          </w:tcPr>
          <w:p w14:paraId="27540A3F"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AAQ-II</w:t>
            </w:r>
          </w:p>
        </w:tc>
        <w:tc>
          <w:tcPr>
            <w:tcW w:w="2250" w:type="dxa"/>
            <w:tcBorders>
              <w:top w:val="nil"/>
              <w:left w:val="nil"/>
              <w:bottom w:val="nil"/>
              <w:right w:val="nil"/>
            </w:tcBorders>
            <w:shd w:val="clear" w:color="000000" w:fill="D9D9D9"/>
            <w:noWrap/>
            <w:hideMark/>
          </w:tcPr>
          <w:p w14:paraId="5E19CBFB"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1910" w:type="dxa"/>
            <w:tcBorders>
              <w:top w:val="nil"/>
              <w:left w:val="nil"/>
              <w:bottom w:val="nil"/>
              <w:right w:val="nil"/>
            </w:tcBorders>
            <w:shd w:val="clear" w:color="000000" w:fill="D9D9D9"/>
            <w:noWrap/>
            <w:hideMark/>
          </w:tcPr>
          <w:p w14:paraId="1EB345C3"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D9D9D9"/>
            <w:noWrap/>
            <w:hideMark/>
          </w:tcPr>
          <w:p w14:paraId="5E87FAB1"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493" w:type="dxa"/>
            <w:tcBorders>
              <w:top w:val="nil"/>
              <w:left w:val="nil"/>
              <w:bottom w:val="nil"/>
              <w:right w:val="nil"/>
            </w:tcBorders>
            <w:shd w:val="clear" w:color="000000" w:fill="D9D9D9"/>
            <w:noWrap/>
            <w:hideMark/>
          </w:tcPr>
          <w:p w14:paraId="21A942A0"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r>
      <w:tr w:rsidR="00B4295F" w:rsidRPr="00302E7F" w14:paraId="5E816B91" w14:textId="77777777" w:rsidTr="008A7613">
        <w:trPr>
          <w:gridAfter w:val="1"/>
          <w:wAfter w:w="243" w:type="dxa"/>
          <w:trHeight w:val="400"/>
        </w:trPr>
        <w:tc>
          <w:tcPr>
            <w:tcW w:w="382" w:type="dxa"/>
            <w:tcBorders>
              <w:top w:val="nil"/>
              <w:left w:val="nil"/>
              <w:bottom w:val="nil"/>
              <w:right w:val="nil"/>
            </w:tcBorders>
            <w:shd w:val="clear" w:color="000000" w:fill="D9D9D9"/>
            <w:noWrap/>
            <w:hideMark/>
          </w:tcPr>
          <w:p w14:paraId="0F107F17"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nil"/>
              <w:right w:val="nil"/>
            </w:tcBorders>
            <w:shd w:val="clear" w:color="000000" w:fill="D9D9D9"/>
            <w:noWrap/>
            <w:hideMark/>
          </w:tcPr>
          <w:p w14:paraId="06E842FE"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AAQ-AHL</w:t>
            </w:r>
          </w:p>
        </w:tc>
        <w:tc>
          <w:tcPr>
            <w:tcW w:w="2250" w:type="dxa"/>
            <w:tcBorders>
              <w:top w:val="nil"/>
              <w:left w:val="nil"/>
              <w:bottom w:val="nil"/>
              <w:right w:val="nil"/>
            </w:tcBorders>
            <w:shd w:val="clear" w:color="000000" w:fill="D9D9D9"/>
            <w:noWrap/>
            <w:hideMark/>
          </w:tcPr>
          <w:p w14:paraId="175EAF24"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0.71</w:t>
            </w:r>
          </w:p>
        </w:tc>
        <w:tc>
          <w:tcPr>
            <w:tcW w:w="1910" w:type="dxa"/>
            <w:tcBorders>
              <w:top w:val="nil"/>
              <w:left w:val="nil"/>
              <w:bottom w:val="nil"/>
              <w:right w:val="nil"/>
            </w:tcBorders>
            <w:shd w:val="clear" w:color="000000" w:fill="D9D9D9"/>
            <w:noWrap/>
            <w:hideMark/>
          </w:tcPr>
          <w:p w14:paraId="2671B9A4"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0.17</w:t>
            </w:r>
          </w:p>
        </w:tc>
        <w:tc>
          <w:tcPr>
            <w:tcW w:w="2250" w:type="dxa"/>
            <w:tcBorders>
              <w:top w:val="nil"/>
              <w:left w:val="nil"/>
              <w:bottom w:val="nil"/>
              <w:right w:val="nil"/>
            </w:tcBorders>
            <w:shd w:val="clear" w:color="000000" w:fill="D9D9D9"/>
            <w:noWrap/>
            <w:hideMark/>
          </w:tcPr>
          <w:p w14:paraId="73EB9FF1"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5.23</w:t>
            </w:r>
          </w:p>
        </w:tc>
        <w:tc>
          <w:tcPr>
            <w:tcW w:w="2493" w:type="dxa"/>
            <w:tcBorders>
              <w:top w:val="nil"/>
              <w:left w:val="nil"/>
              <w:bottom w:val="nil"/>
              <w:right w:val="nil"/>
            </w:tcBorders>
            <w:shd w:val="clear" w:color="000000" w:fill="D9D9D9"/>
            <w:noWrap/>
            <w:hideMark/>
          </w:tcPr>
          <w:p w14:paraId="3163D8D0"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&lt;.001</w:t>
            </w:r>
          </w:p>
        </w:tc>
      </w:tr>
      <w:tr w:rsidR="00B4295F" w:rsidRPr="00302E7F" w14:paraId="69973269" w14:textId="77777777" w:rsidTr="008A7613">
        <w:trPr>
          <w:gridAfter w:val="1"/>
          <w:wAfter w:w="243" w:type="dxa"/>
          <w:trHeight w:val="400"/>
        </w:trPr>
        <w:tc>
          <w:tcPr>
            <w:tcW w:w="5156" w:type="dxa"/>
            <w:gridSpan w:val="2"/>
            <w:tcBorders>
              <w:top w:val="nil"/>
              <w:left w:val="nil"/>
              <w:bottom w:val="nil"/>
              <w:right w:val="nil"/>
            </w:tcBorders>
            <w:shd w:val="clear" w:color="000000" w:fill="FFFFFF"/>
            <w:noWrap/>
            <w:hideMark/>
          </w:tcPr>
          <w:p w14:paraId="260888DF" w14:textId="2FDCA77C"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MPFI-Inflexib</w:t>
            </w:r>
            <w:r w:rsidR="007B0E74">
              <w:rPr>
                <w:rFonts w:ascii="Times New Roman" w:eastAsia="Times New Roman" w:hAnsi="Times New Roman" w:cs="Times New Roman"/>
                <w:color w:val="000000"/>
              </w:rPr>
              <w:t>i</w:t>
            </w:r>
            <w:r w:rsidRPr="00302E7F">
              <w:rPr>
                <w:rFonts w:ascii="Times New Roman" w:eastAsia="Times New Roman" w:hAnsi="Times New Roman" w:cs="Times New Roman"/>
                <w:color w:val="000000"/>
              </w:rPr>
              <w:t>lity</w:t>
            </w:r>
          </w:p>
        </w:tc>
        <w:tc>
          <w:tcPr>
            <w:tcW w:w="2250" w:type="dxa"/>
            <w:tcBorders>
              <w:top w:val="nil"/>
              <w:left w:val="nil"/>
              <w:bottom w:val="nil"/>
              <w:right w:val="nil"/>
            </w:tcBorders>
            <w:shd w:val="clear" w:color="000000" w:fill="FFFFFF"/>
            <w:noWrap/>
            <w:hideMark/>
          </w:tcPr>
          <w:p w14:paraId="30779BC5"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1910" w:type="dxa"/>
            <w:tcBorders>
              <w:top w:val="nil"/>
              <w:left w:val="nil"/>
              <w:bottom w:val="nil"/>
              <w:right w:val="nil"/>
            </w:tcBorders>
            <w:shd w:val="clear" w:color="000000" w:fill="FFFFFF"/>
            <w:noWrap/>
            <w:hideMark/>
          </w:tcPr>
          <w:p w14:paraId="779F965A"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hideMark/>
          </w:tcPr>
          <w:p w14:paraId="4057E6F8"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493" w:type="dxa"/>
            <w:tcBorders>
              <w:top w:val="nil"/>
              <w:left w:val="nil"/>
              <w:bottom w:val="nil"/>
              <w:right w:val="nil"/>
            </w:tcBorders>
            <w:shd w:val="clear" w:color="000000" w:fill="FFFFFF"/>
            <w:noWrap/>
            <w:hideMark/>
          </w:tcPr>
          <w:p w14:paraId="07447DB5"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r>
      <w:tr w:rsidR="00B4295F" w:rsidRPr="00302E7F" w14:paraId="566BB630" w14:textId="77777777" w:rsidTr="008A7613">
        <w:trPr>
          <w:gridAfter w:val="1"/>
          <w:wAfter w:w="243" w:type="dxa"/>
          <w:trHeight w:val="400"/>
        </w:trPr>
        <w:tc>
          <w:tcPr>
            <w:tcW w:w="382" w:type="dxa"/>
            <w:tcBorders>
              <w:top w:val="nil"/>
              <w:left w:val="nil"/>
              <w:bottom w:val="nil"/>
              <w:right w:val="nil"/>
            </w:tcBorders>
            <w:shd w:val="clear" w:color="000000" w:fill="FFFFFF"/>
            <w:noWrap/>
            <w:hideMark/>
          </w:tcPr>
          <w:p w14:paraId="6875E60C"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nil"/>
              <w:right w:val="nil"/>
            </w:tcBorders>
            <w:shd w:val="clear" w:color="000000" w:fill="FFFFFF"/>
            <w:noWrap/>
            <w:hideMark/>
          </w:tcPr>
          <w:p w14:paraId="0E073686"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AAQ-AHL</w:t>
            </w:r>
          </w:p>
        </w:tc>
        <w:tc>
          <w:tcPr>
            <w:tcW w:w="2250" w:type="dxa"/>
            <w:tcBorders>
              <w:top w:val="nil"/>
              <w:left w:val="nil"/>
              <w:bottom w:val="nil"/>
              <w:right w:val="nil"/>
            </w:tcBorders>
            <w:shd w:val="clear" w:color="000000" w:fill="FFFFFF"/>
            <w:noWrap/>
            <w:hideMark/>
          </w:tcPr>
          <w:p w14:paraId="45C37631"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0.71</w:t>
            </w:r>
          </w:p>
        </w:tc>
        <w:tc>
          <w:tcPr>
            <w:tcW w:w="1910" w:type="dxa"/>
            <w:tcBorders>
              <w:top w:val="nil"/>
              <w:left w:val="nil"/>
              <w:bottom w:val="nil"/>
              <w:right w:val="nil"/>
            </w:tcBorders>
            <w:shd w:val="clear" w:color="000000" w:fill="FFFFFF"/>
            <w:noWrap/>
            <w:hideMark/>
          </w:tcPr>
          <w:p w14:paraId="769A0286"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0.13</w:t>
            </w:r>
          </w:p>
        </w:tc>
        <w:tc>
          <w:tcPr>
            <w:tcW w:w="2250" w:type="dxa"/>
            <w:tcBorders>
              <w:top w:val="nil"/>
              <w:left w:val="nil"/>
              <w:bottom w:val="nil"/>
              <w:right w:val="nil"/>
            </w:tcBorders>
            <w:shd w:val="clear" w:color="000000" w:fill="FFFFFF"/>
            <w:noWrap/>
            <w:hideMark/>
          </w:tcPr>
          <w:p w14:paraId="0D5FCEE3"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1.95</w:t>
            </w:r>
          </w:p>
        </w:tc>
        <w:tc>
          <w:tcPr>
            <w:tcW w:w="2493" w:type="dxa"/>
            <w:tcBorders>
              <w:top w:val="nil"/>
              <w:left w:val="nil"/>
              <w:bottom w:val="nil"/>
              <w:right w:val="nil"/>
            </w:tcBorders>
            <w:shd w:val="clear" w:color="000000" w:fill="FFFFFF"/>
            <w:noWrap/>
            <w:hideMark/>
          </w:tcPr>
          <w:p w14:paraId="2F9085DA"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0.051</w:t>
            </w:r>
          </w:p>
        </w:tc>
      </w:tr>
      <w:tr w:rsidR="00B4295F" w:rsidRPr="00302E7F" w14:paraId="437C3D7B" w14:textId="77777777" w:rsidTr="008A7613">
        <w:trPr>
          <w:gridAfter w:val="1"/>
          <w:wAfter w:w="243" w:type="dxa"/>
          <w:trHeight w:val="400"/>
        </w:trPr>
        <w:tc>
          <w:tcPr>
            <w:tcW w:w="5156" w:type="dxa"/>
            <w:gridSpan w:val="2"/>
            <w:tcBorders>
              <w:top w:val="nil"/>
              <w:left w:val="nil"/>
              <w:bottom w:val="nil"/>
              <w:right w:val="nil"/>
            </w:tcBorders>
            <w:shd w:val="clear" w:color="000000" w:fill="D9D9D9"/>
            <w:noWrap/>
            <w:hideMark/>
          </w:tcPr>
          <w:p w14:paraId="7D393FE7"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MARS-HA</w:t>
            </w:r>
          </w:p>
        </w:tc>
        <w:tc>
          <w:tcPr>
            <w:tcW w:w="2250" w:type="dxa"/>
            <w:tcBorders>
              <w:top w:val="nil"/>
              <w:left w:val="nil"/>
              <w:bottom w:val="nil"/>
              <w:right w:val="nil"/>
            </w:tcBorders>
            <w:shd w:val="clear" w:color="000000" w:fill="D9D9D9"/>
            <w:noWrap/>
            <w:hideMark/>
          </w:tcPr>
          <w:p w14:paraId="18557369"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1910" w:type="dxa"/>
            <w:tcBorders>
              <w:top w:val="nil"/>
              <w:left w:val="nil"/>
              <w:bottom w:val="nil"/>
              <w:right w:val="nil"/>
            </w:tcBorders>
            <w:shd w:val="clear" w:color="000000" w:fill="D9D9D9"/>
            <w:noWrap/>
            <w:hideMark/>
          </w:tcPr>
          <w:p w14:paraId="21394B9A"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D9D9D9"/>
            <w:noWrap/>
            <w:hideMark/>
          </w:tcPr>
          <w:p w14:paraId="2E161F39"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493" w:type="dxa"/>
            <w:tcBorders>
              <w:top w:val="nil"/>
              <w:left w:val="nil"/>
              <w:bottom w:val="nil"/>
              <w:right w:val="nil"/>
            </w:tcBorders>
            <w:shd w:val="clear" w:color="000000" w:fill="D9D9D9"/>
            <w:noWrap/>
            <w:hideMark/>
          </w:tcPr>
          <w:p w14:paraId="21B8A41A"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r>
      <w:tr w:rsidR="00B4295F" w:rsidRPr="00302E7F" w14:paraId="4384F8EC" w14:textId="77777777" w:rsidTr="008A7613">
        <w:trPr>
          <w:gridAfter w:val="1"/>
          <w:wAfter w:w="243" w:type="dxa"/>
          <w:trHeight w:val="400"/>
        </w:trPr>
        <w:tc>
          <w:tcPr>
            <w:tcW w:w="382" w:type="dxa"/>
            <w:tcBorders>
              <w:top w:val="nil"/>
              <w:left w:val="nil"/>
              <w:bottom w:val="nil"/>
              <w:right w:val="nil"/>
            </w:tcBorders>
            <w:shd w:val="clear" w:color="000000" w:fill="D9D9D9"/>
            <w:noWrap/>
            <w:hideMark/>
          </w:tcPr>
          <w:p w14:paraId="104F6ED4"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nil"/>
              <w:right w:val="nil"/>
            </w:tcBorders>
            <w:shd w:val="clear" w:color="000000" w:fill="D9D9D9"/>
            <w:noWrap/>
            <w:hideMark/>
          </w:tcPr>
          <w:p w14:paraId="525B7802"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AAQ-AHL</w:t>
            </w:r>
          </w:p>
        </w:tc>
        <w:tc>
          <w:tcPr>
            <w:tcW w:w="2250" w:type="dxa"/>
            <w:tcBorders>
              <w:top w:val="nil"/>
              <w:left w:val="nil"/>
              <w:bottom w:val="nil"/>
              <w:right w:val="nil"/>
            </w:tcBorders>
            <w:shd w:val="clear" w:color="000000" w:fill="D9D9D9"/>
            <w:noWrap/>
            <w:hideMark/>
          </w:tcPr>
          <w:p w14:paraId="1A17B906"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-0.47</w:t>
            </w:r>
          </w:p>
        </w:tc>
        <w:tc>
          <w:tcPr>
            <w:tcW w:w="1910" w:type="dxa"/>
            <w:tcBorders>
              <w:top w:val="nil"/>
              <w:left w:val="nil"/>
              <w:bottom w:val="nil"/>
              <w:right w:val="nil"/>
            </w:tcBorders>
            <w:shd w:val="clear" w:color="000000" w:fill="D9D9D9"/>
            <w:noWrap/>
            <w:hideMark/>
          </w:tcPr>
          <w:p w14:paraId="1B21DBEC"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2.02</w:t>
            </w:r>
          </w:p>
        </w:tc>
        <w:tc>
          <w:tcPr>
            <w:tcW w:w="2250" w:type="dxa"/>
            <w:tcBorders>
              <w:top w:val="nil"/>
              <w:left w:val="nil"/>
              <w:bottom w:val="nil"/>
              <w:right w:val="nil"/>
            </w:tcBorders>
            <w:shd w:val="clear" w:color="000000" w:fill="D9D9D9"/>
            <w:noWrap/>
            <w:hideMark/>
          </w:tcPr>
          <w:p w14:paraId="7CFE9DCF"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-3.52</w:t>
            </w:r>
          </w:p>
        </w:tc>
        <w:tc>
          <w:tcPr>
            <w:tcW w:w="2493" w:type="dxa"/>
            <w:tcBorders>
              <w:top w:val="nil"/>
              <w:left w:val="nil"/>
              <w:bottom w:val="nil"/>
              <w:right w:val="nil"/>
            </w:tcBorders>
            <w:shd w:val="clear" w:color="000000" w:fill="D9D9D9"/>
            <w:noWrap/>
            <w:hideMark/>
          </w:tcPr>
          <w:p w14:paraId="4EF90D6D"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&lt;.001</w:t>
            </w:r>
          </w:p>
        </w:tc>
      </w:tr>
      <w:tr w:rsidR="00B4295F" w:rsidRPr="00302E7F" w14:paraId="08ADDD2B" w14:textId="77777777" w:rsidTr="008A7613">
        <w:trPr>
          <w:gridAfter w:val="1"/>
          <w:wAfter w:w="243" w:type="dxa"/>
          <w:trHeight w:val="400"/>
        </w:trPr>
        <w:tc>
          <w:tcPr>
            <w:tcW w:w="5156" w:type="dxa"/>
            <w:gridSpan w:val="2"/>
            <w:tcBorders>
              <w:top w:val="nil"/>
              <w:left w:val="nil"/>
              <w:bottom w:val="nil"/>
              <w:right w:val="nil"/>
            </w:tcBorders>
            <w:shd w:val="clear" w:color="000000" w:fill="FFFFFF"/>
            <w:noWrap/>
            <w:hideMark/>
          </w:tcPr>
          <w:p w14:paraId="5F4E45E8"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IOI-HA</w:t>
            </w:r>
          </w:p>
        </w:tc>
        <w:tc>
          <w:tcPr>
            <w:tcW w:w="2250" w:type="dxa"/>
            <w:tcBorders>
              <w:top w:val="nil"/>
              <w:left w:val="nil"/>
              <w:bottom w:val="nil"/>
              <w:right w:val="nil"/>
            </w:tcBorders>
            <w:shd w:val="clear" w:color="000000" w:fill="FFFFFF"/>
            <w:noWrap/>
            <w:hideMark/>
          </w:tcPr>
          <w:p w14:paraId="58DCBCC2"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1910" w:type="dxa"/>
            <w:tcBorders>
              <w:top w:val="nil"/>
              <w:left w:val="nil"/>
              <w:bottom w:val="nil"/>
              <w:right w:val="nil"/>
            </w:tcBorders>
            <w:shd w:val="clear" w:color="000000" w:fill="FFFFFF"/>
            <w:noWrap/>
            <w:hideMark/>
          </w:tcPr>
          <w:p w14:paraId="27423266"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hideMark/>
          </w:tcPr>
          <w:p w14:paraId="31943751"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493" w:type="dxa"/>
            <w:tcBorders>
              <w:top w:val="nil"/>
              <w:left w:val="nil"/>
              <w:bottom w:val="nil"/>
              <w:right w:val="nil"/>
            </w:tcBorders>
            <w:shd w:val="clear" w:color="000000" w:fill="FFFFFF"/>
            <w:noWrap/>
            <w:hideMark/>
          </w:tcPr>
          <w:p w14:paraId="1E1AE41D"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r>
      <w:tr w:rsidR="00B4295F" w:rsidRPr="00302E7F" w14:paraId="1080CF94" w14:textId="77777777" w:rsidTr="008A7613">
        <w:trPr>
          <w:gridAfter w:val="1"/>
          <w:wAfter w:w="243" w:type="dxa"/>
          <w:trHeight w:val="400"/>
        </w:trPr>
        <w:tc>
          <w:tcPr>
            <w:tcW w:w="382" w:type="dxa"/>
            <w:tcBorders>
              <w:top w:val="nil"/>
              <w:left w:val="nil"/>
              <w:bottom w:val="nil"/>
              <w:right w:val="nil"/>
            </w:tcBorders>
            <w:shd w:val="clear" w:color="000000" w:fill="FFFFFF"/>
            <w:noWrap/>
            <w:hideMark/>
          </w:tcPr>
          <w:p w14:paraId="110A69AE"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nil"/>
              <w:right w:val="nil"/>
            </w:tcBorders>
            <w:shd w:val="clear" w:color="000000" w:fill="FFFFFF"/>
            <w:noWrap/>
            <w:hideMark/>
          </w:tcPr>
          <w:p w14:paraId="5784EE62"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AAQ-AHL</w:t>
            </w:r>
          </w:p>
        </w:tc>
        <w:tc>
          <w:tcPr>
            <w:tcW w:w="2250" w:type="dxa"/>
            <w:tcBorders>
              <w:top w:val="nil"/>
              <w:left w:val="nil"/>
              <w:bottom w:val="nil"/>
              <w:right w:val="nil"/>
            </w:tcBorders>
            <w:shd w:val="clear" w:color="000000" w:fill="FFFFFF"/>
            <w:noWrap/>
            <w:hideMark/>
          </w:tcPr>
          <w:p w14:paraId="21BA0BF5"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-0.43</w:t>
            </w:r>
          </w:p>
        </w:tc>
        <w:tc>
          <w:tcPr>
            <w:tcW w:w="1910" w:type="dxa"/>
            <w:tcBorders>
              <w:top w:val="nil"/>
              <w:left w:val="nil"/>
              <w:bottom w:val="nil"/>
              <w:right w:val="nil"/>
            </w:tcBorders>
            <w:shd w:val="clear" w:color="000000" w:fill="FFFFFF"/>
            <w:noWrap/>
            <w:hideMark/>
          </w:tcPr>
          <w:p w14:paraId="79696E1F"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0.1</w:t>
            </w:r>
          </w:p>
        </w:tc>
        <w:tc>
          <w:tcPr>
            <w:tcW w:w="2250" w:type="dxa"/>
            <w:tcBorders>
              <w:top w:val="nil"/>
              <w:left w:val="nil"/>
              <w:bottom w:val="nil"/>
              <w:right w:val="nil"/>
            </w:tcBorders>
            <w:shd w:val="clear" w:color="000000" w:fill="FFFFFF"/>
            <w:noWrap/>
            <w:hideMark/>
          </w:tcPr>
          <w:p w14:paraId="5CB29D56"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-3.05</w:t>
            </w:r>
          </w:p>
        </w:tc>
        <w:tc>
          <w:tcPr>
            <w:tcW w:w="2493" w:type="dxa"/>
            <w:tcBorders>
              <w:top w:val="nil"/>
              <w:left w:val="nil"/>
              <w:bottom w:val="nil"/>
              <w:right w:val="nil"/>
            </w:tcBorders>
            <w:shd w:val="clear" w:color="000000" w:fill="FFFFFF"/>
            <w:noWrap/>
            <w:hideMark/>
          </w:tcPr>
          <w:p w14:paraId="4B4AD2AB"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0.002</w:t>
            </w:r>
          </w:p>
        </w:tc>
      </w:tr>
      <w:tr w:rsidR="00B4295F" w:rsidRPr="00302E7F" w14:paraId="43FC6349" w14:textId="77777777" w:rsidTr="008A7613">
        <w:trPr>
          <w:gridAfter w:val="1"/>
          <w:wAfter w:w="243" w:type="dxa"/>
          <w:trHeight w:val="400"/>
        </w:trPr>
        <w:tc>
          <w:tcPr>
            <w:tcW w:w="5156" w:type="dxa"/>
            <w:gridSpan w:val="2"/>
            <w:tcBorders>
              <w:top w:val="nil"/>
              <w:left w:val="nil"/>
              <w:bottom w:val="nil"/>
              <w:right w:val="nil"/>
            </w:tcBorders>
            <w:shd w:val="clear" w:color="000000" w:fill="D9D9D9"/>
            <w:noWrap/>
            <w:hideMark/>
          </w:tcPr>
          <w:p w14:paraId="38A811FF"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Hearing Loss Severity</w:t>
            </w:r>
          </w:p>
        </w:tc>
        <w:tc>
          <w:tcPr>
            <w:tcW w:w="2250" w:type="dxa"/>
            <w:tcBorders>
              <w:top w:val="nil"/>
              <w:left w:val="nil"/>
              <w:bottom w:val="nil"/>
              <w:right w:val="nil"/>
            </w:tcBorders>
            <w:shd w:val="clear" w:color="000000" w:fill="D9D9D9"/>
            <w:noWrap/>
            <w:hideMark/>
          </w:tcPr>
          <w:p w14:paraId="22C72414"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1910" w:type="dxa"/>
            <w:tcBorders>
              <w:top w:val="nil"/>
              <w:left w:val="nil"/>
              <w:bottom w:val="nil"/>
              <w:right w:val="nil"/>
            </w:tcBorders>
            <w:shd w:val="clear" w:color="000000" w:fill="D9D9D9"/>
            <w:noWrap/>
            <w:hideMark/>
          </w:tcPr>
          <w:p w14:paraId="4CBFCED5"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D9D9D9"/>
            <w:noWrap/>
            <w:hideMark/>
          </w:tcPr>
          <w:p w14:paraId="756EAABA"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493" w:type="dxa"/>
            <w:tcBorders>
              <w:top w:val="nil"/>
              <w:left w:val="nil"/>
              <w:bottom w:val="nil"/>
              <w:right w:val="nil"/>
            </w:tcBorders>
            <w:shd w:val="clear" w:color="000000" w:fill="D9D9D9"/>
            <w:noWrap/>
            <w:hideMark/>
          </w:tcPr>
          <w:p w14:paraId="31988A3F"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r>
      <w:tr w:rsidR="00B4295F" w:rsidRPr="00302E7F" w14:paraId="087B625B" w14:textId="77777777" w:rsidTr="008A7613">
        <w:trPr>
          <w:gridAfter w:val="1"/>
          <w:wAfter w:w="243" w:type="dxa"/>
          <w:trHeight w:val="400"/>
        </w:trPr>
        <w:tc>
          <w:tcPr>
            <w:tcW w:w="382" w:type="dxa"/>
            <w:tcBorders>
              <w:top w:val="nil"/>
              <w:left w:val="nil"/>
              <w:bottom w:val="nil"/>
              <w:right w:val="nil"/>
            </w:tcBorders>
            <w:shd w:val="clear" w:color="000000" w:fill="D9D9D9"/>
            <w:noWrap/>
            <w:hideMark/>
          </w:tcPr>
          <w:p w14:paraId="4479BD8A"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nil"/>
              <w:right w:val="nil"/>
            </w:tcBorders>
            <w:shd w:val="clear" w:color="000000" w:fill="D9D9D9"/>
            <w:noWrap/>
            <w:hideMark/>
          </w:tcPr>
          <w:p w14:paraId="0D691EB1"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AAQ-AHL</w:t>
            </w:r>
          </w:p>
        </w:tc>
        <w:tc>
          <w:tcPr>
            <w:tcW w:w="2250" w:type="dxa"/>
            <w:tcBorders>
              <w:top w:val="nil"/>
              <w:left w:val="nil"/>
              <w:bottom w:val="nil"/>
              <w:right w:val="nil"/>
            </w:tcBorders>
            <w:shd w:val="clear" w:color="000000" w:fill="D9D9D9"/>
            <w:noWrap/>
            <w:hideMark/>
          </w:tcPr>
          <w:p w14:paraId="14CB31B0"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-0.07</w:t>
            </w:r>
          </w:p>
        </w:tc>
        <w:tc>
          <w:tcPr>
            <w:tcW w:w="1910" w:type="dxa"/>
            <w:tcBorders>
              <w:top w:val="nil"/>
              <w:left w:val="nil"/>
              <w:bottom w:val="nil"/>
              <w:right w:val="nil"/>
            </w:tcBorders>
            <w:shd w:val="clear" w:color="000000" w:fill="D9D9D9"/>
            <w:noWrap/>
            <w:hideMark/>
          </w:tcPr>
          <w:p w14:paraId="523DE80E"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0.13</w:t>
            </w:r>
          </w:p>
        </w:tc>
        <w:tc>
          <w:tcPr>
            <w:tcW w:w="2250" w:type="dxa"/>
            <w:tcBorders>
              <w:top w:val="nil"/>
              <w:left w:val="nil"/>
              <w:bottom w:val="nil"/>
              <w:right w:val="nil"/>
            </w:tcBorders>
            <w:shd w:val="clear" w:color="000000" w:fill="D9D9D9"/>
            <w:noWrap/>
            <w:hideMark/>
          </w:tcPr>
          <w:p w14:paraId="2BFC46FD"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-0.79</w:t>
            </w:r>
          </w:p>
        </w:tc>
        <w:tc>
          <w:tcPr>
            <w:tcW w:w="2493" w:type="dxa"/>
            <w:tcBorders>
              <w:top w:val="nil"/>
              <w:left w:val="nil"/>
              <w:bottom w:val="nil"/>
              <w:right w:val="nil"/>
            </w:tcBorders>
            <w:shd w:val="clear" w:color="000000" w:fill="D9D9D9"/>
            <w:noWrap/>
            <w:hideMark/>
          </w:tcPr>
          <w:p w14:paraId="083C32F4"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0.43</w:t>
            </w:r>
          </w:p>
        </w:tc>
      </w:tr>
      <w:tr w:rsidR="00B4295F" w:rsidRPr="00302E7F" w14:paraId="534A9A32" w14:textId="77777777" w:rsidTr="008A7613">
        <w:trPr>
          <w:gridAfter w:val="1"/>
          <w:wAfter w:w="243" w:type="dxa"/>
          <w:trHeight w:val="400"/>
        </w:trPr>
        <w:tc>
          <w:tcPr>
            <w:tcW w:w="5156" w:type="dxa"/>
            <w:gridSpan w:val="2"/>
            <w:tcBorders>
              <w:top w:val="nil"/>
              <w:left w:val="nil"/>
              <w:bottom w:val="nil"/>
              <w:right w:val="nil"/>
            </w:tcBorders>
            <w:shd w:val="clear" w:color="000000" w:fill="FFFFFF"/>
            <w:noWrap/>
            <w:hideMark/>
          </w:tcPr>
          <w:p w14:paraId="0078FAE1"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Gender</w:t>
            </w:r>
          </w:p>
        </w:tc>
        <w:tc>
          <w:tcPr>
            <w:tcW w:w="2250" w:type="dxa"/>
            <w:tcBorders>
              <w:top w:val="nil"/>
              <w:left w:val="nil"/>
              <w:bottom w:val="nil"/>
              <w:right w:val="nil"/>
            </w:tcBorders>
            <w:shd w:val="clear" w:color="000000" w:fill="FFFFFF"/>
            <w:noWrap/>
            <w:hideMark/>
          </w:tcPr>
          <w:p w14:paraId="3C3D3798"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1910" w:type="dxa"/>
            <w:tcBorders>
              <w:top w:val="nil"/>
              <w:left w:val="nil"/>
              <w:bottom w:val="nil"/>
              <w:right w:val="nil"/>
            </w:tcBorders>
            <w:shd w:val="clear" w:color="000000" w:fill="FFFFFF"/>
            <w:noWrap/>
            <w:hideMark/>
          </w:tcPr>
          <w:p w14:paraId="138AA25B"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250" w:type="dxa"/>
            <w:tcBorders>
              <w:top w:val="nil"/>
              <w:left w:val="nil"/>
              <w:bottom w:val="nil"/>
              <w:right w:val="nil"/>
            </w:tcBorders>
            <w:shd w:val="clear" w:color="000000" w:fill="FFFFFF"/>
            <w:noWrap/>
            <w:hideMark/>
          </w:tcPr>
          <w:p w14:paraId="48833DB9"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2493" w:type="dxa"/>
            <w:tcBorders>
              <w:top w:val="nil"/>
              <w:left w:val="nil"/>
              <w:bottom w:val="nil"/>
              <w:right w:val="nil"/>
            </w:tcBorders>
            <w:shd w:val="clear" w:color="000000" w:fill="FFFFFF"/>
            <w:noWrap/>
            <w:hideMark/>
          </w:tcPr>
          <w:p w14:paraId="6DE3B2AD"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r>
      <w:tr w:rsidR="00B4295F" w:rsidRPr="00302E7F" w14:paraId="1AD2B366" w14:textId="77777777" w:rsidTr="008A7613">
        <w:trPr>
          <w:gridAfter w:val="1"/>
          <w:wAfter w:w="243" w:type="dxa"/>
          <w:trHeight w:val="425"/>
        </w:trPr>
        <w:tc>
          <w:tcPr>
            <w:tcW w:w="382" w:type="dxa"/>
            <w:tcBorders>
              <w:top w:val="nil"/>
              <w:left w:val="nil"/>
              <w:bottom w:val="nil"/>
              <w:right w:val="nil"/>
            </w:tcBorders>
            <w:shd w:val="clear" w:color="000000" w:fill="FFFFFF"/>
            <w:noWrap/>
            <w:hideMark/>
          </w:tcPr>
          <w:p w14:paraId="700A5A09" w14:textId="77777777" w:rsidR="00B4295F" w:rsidRPr="00302E7F" w:rsidRDefault="00B4295F" w:rsidP="00302E7F">
            <w:pPr>
              <w:jc w:val="right"/>
              <w:rPr>
                <w:rFonts w:ascii="Times New Roman" w:eastAsia="Times New Roman" w:hAnsi="Times New Roman" w:cs="Times New Roman"/>
                <w:color w:val="000000"/>
              </w:rPr>
            </w:pPr>
            <w:r w:rsidRPr="00302E7F">
              <w:rPr>
                <w:rFonts w:ascii="Times New Roman" w:eastAsia="Times New Roman" w:hAnsi="Times New Roman" w:cs="Times New Roman"/>
                <w:color w:val="000000"/>
              </w:rPr>
              <w:t> </w:t>
            </w:r>
          </w:p>
        </w:tc>
        <w:tc>
          <w:tcPr>
            <w:tcW w:w="4774" w:type="dxa"/>
            <w:tcBorders>
              <w:top w:val="nil"/>
              <w:left w:val="nil"/>
              <w:bottom w:val="nil"/>
              <w:right w:val="nil"/>
            </w:tcBorders>
            <w:shd w:val="clear" w:color="000000" w:fill="FFFFFF"/>
            <w:noWrap/>
            <w:hideMark/>
          </w:tcPr>
          <w:p w14:paraId="582CFE5C" w14:textId="77777777"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color w:val="000000"/>
              </w:rPr>
              <w:t>AAQ-AHL</w:t>
            </w:r>
          </w:p>
        </w:tc>
        <w:tc>
          <w:tcPr>
            <w:tcW w:w="2250" w:type="dxa"/>
            <w:tcBorders>
              <w:top w:val="nil"/>
              <w:left w:val="nil"/>
              <w:bottom w:val="nil"/>
              <w:right w:val="nil"/>
            </w:tcBorders>
            <w:shd w:val="clear" w:color="000000" w:fill="FFFFFF"/>
            <w:noWrap/>
            <w:hideMark/>
          </w:tcPr>
          <w:p w14:paraId="5126E943"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-0.22</w:t>
            </w:r>
          </w:p>
        </w:tc>
        <w:tc>
          <w:tcPr>
            <w:tcW w:w="1910" w:type="dxa"/>
            <w:tcBorders>
              <w:top w:val="nil"/>
              <w:left w:val="nil"/>
              <w:bottom w:val="nil"/>
              <w:right w:val="nil"/>
            </w:tcBorders>
            <w:shd w:val="clear" w:color="000000" w:fill="FFFFFF"/>
            <w:noWrap/>
            <w:hideMark/>
          </w:tcPr>
          <w:p w14:paraId="5CCF8103"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0.06</w:t>
            </w:r>
          </w:p>
        </w:tc>
        <w:tc>
          <w:tcPr>
            <w:tcW w:w="2250" w:type="dxa"/>
            <w:tcBorders>
              <w:top w:val="nil"/>
              <w:left w:val="nil"/>
              <w:bottom w:val="nil"/>
              <w:right w:val="nil"/>
            </w:tcBorders>
            <w:shd w:val="clear" w:color="000000" w:fill="FFFFFF"/>
            <w:noWrap/>
            <w:hideMark/>
          </w:tcPr>
          <w:p w14:paraId="1F95297B"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-2.18</w:t>
            </w:r>
          </w:p>
        </w:tc>
        <w:tc>
          <w:tcPr>
            <w:tcW w:w="2493" w:type="dxa"/>
            <w:tcBorders>
              <w:top w:val="nil"/>
              <w:left w:val="nil"/>
              <w:bottom w:val="nil"/>
              <w:right w:val="nil"/>
            </w:tcBorders>
            <w:shd w:val="clear" w:color="000000" w:fill="FFFFFF"/>
            <w:noWrap/>
            <w:hideMark/>
          </w:tcPr>
          <w:p w14:paraId="386521E9" w14:textId="77777777" w:rsidR="00B4295F" w:rsidRPr="00302E7F" w:rsidRDefault="00B4295F" w:rsidP="00302E7F">
            <w:pPr>
              <w:jc w:val="center"/>
              <w:rPr>
                <w:rFonts w:ascii="Times New Roman" w:eastAsia="Times New Roman" w:hAnsi="Times New Roman" w:cs="Times New Roman"/>
                <w:color w:val="000000"/>
              </w:rPr>
            </w:pPr>
            <w:r w:rsidRPr="00302E7F">
              <w:rPr>
                <w:rFonts w:ascii="Times New Roman" w:eastAsia="Times New Roman" w:hAnsi="Times New Roman" w:cs="Times New Roman"/>
                <w:color w:val="000000"/>
              </w:rPr>
              <w:t>0.029</w:t>
            </w:r>
          </w:p>
        </w:tc>
      </w:tr>
      <w:tr w:rsidR="00B4295F" w:rsidRPr="00302E7F" w14:paraId="49F53FCA" w14:textId="77777777" w:rsidTr="008A7613">
        <w:trPr>
          <w:gridAfter w:val="1"/>
          <w:wAfter w:w="243" w:type="dxa"/>
          <w:trHeight w:val="400"/>
        </w:trPr>
        <w:tc>
          <w:tcPr>
            <w:tcW w:w="14059" w:type="dxa"/>
            <w:gridSpan w:val="6"/>
            <w:vMerge w:val="restart"/>
            <w:tcBorders>
              <w:top w:val="single" w:sz="8" w:space="0" w:color="auto"/>
              <w:left w:val="nil"/>
              <w:bottom w:val="nil"/>
              <w:right w:val="nil"/>
            </w:tcBorders>
            <w:shd w:val="clear" w:color="000000" w:fill="FFFFFF"/>
            <w:hideMark/>
          </w:tcPr>
          <w:p w14:paraId="20391C09" w14:textId="31A66B99" w:rsidR="00B4295F" w:rsidRPr="00302E7F" w:rsidRDefault="00B4295F" w:rsidP="00302E7F">
            <w:pPr>
              <w:rPr>
                <w:rFonts w:ascii="Times New Roman" w:eastAsia="Times New Roman" w:hAnsi="Times New Roman" w:cs="Times New Roman"/>
                <w:color w:val="000000"/>
              </w:rPr>
            </w:pPr>
            <w:r w:rsidRPr="00302E7F">
              <w:rPr>
                <w:rFonts w:ascii="Times New Roman" w:eastAsia="Times New Roman" w:hAnsi="Times New Roman" w:cs="Times New Roman"/>
                <w:i/>
                <w:iCs/>
                <w:color w:val="000000"/>
              </w:rPr>
              <w:t>Note.</w:t>
            </w:r>
            <w:r w:rsidRPr="00302E7F">
              <w:rPr>
                <w:rFonts w:ascii="Times New Roman" w:eastAsia="Times New Roman" w:hAnsi="Times New Roman" w:cs="Times New Roman"/>
                <w:color w:val="000000"/>
              </w:rPr>
              <w:t xml:space="preserve"> AAQ-II=Acceptance and Action Questionnaire II; AAQ-AHL = Acceptance and Action Questionnaire Adult Hearing Loss; MPFI=Multidimensional Psychological Flexibility Inventory-Inflexibility; MARS-HA = Measure of Audiologic Rehabilitation Self-Efficacy for Hearing Aids; IOI-HA = International </w:t>
            </w:r>
            <w:r w:rsidR="007B0E74" w:rsidRPr="00302E7F">
              <w:rPr>
                <w:rFonts w:ascii="Times New Roman" w:eastAsia="Times New Roman" w:hAnsi="Times New Roman" w:cs="Times New Roman"/>
                <w:color w:val="000000"/>
              </w:rPr>
              <w:t>Outcome</w:t>
            </w:r>
            <w:r w:rsidRPr="00302E7F">
              <w:rPr>
                <w:rFonts w:ascii="Times New Roman" w:eastAsia="Times New Roman" w:hAnsi="Times New Roman" w:cs="Times New Roman"/>
                <w:color w:val="000000"/>
              </w:rPr>
              <w:t xml:space="preserve"> Inventory – Hearing Aids</w:t>
            </w:r>
          </w:p>
        </w:tc>
      </w:tr>
      <w:tr w:rsidR="00B4295F" w:rsidRPr="00302E7F" w14:paraId="4BBF0264" w14:textId="77777777" w:rsidTr="008A7613">
        <w:trPr>
          <w:trHeight w:val="400"/>
        </w:trPr>
        <w:tc>
          <w:tcPr>
            <w:tcW w:w="14059" w:type="dxa"/>
            <w:gridSpan w:val="6"/>
            <w:vMerge/>
            <w:tcBorders>
              <w:top w:val="single" w:sz="8" w:space="0" w:color="auto"/>
              <w:left w:val="nil"/>
              <w:bottom w:val="nil"/>
              <w:right w:val="nil"/>
            </w:tcBorders>
            <w:hideMark/>
          </w:tcPr>
          <w:p w14:paraId="609CFCE6" w14:textId="77777777" w:rsidR="00B4295F" w:rsidRPr="00302E7F" w:rsidRDefault="00B4295F" w:rsidP="00302E7F">
            <w:pPr>
              <w:rPr>
                <w:rFonts w:ascii="Times New Roman" w:eastAsia="Times New Roman" w:hAnsi="Times New Roman" w:cs="Times New Roman"/>
                <w:color w:val="000000"/>
              </w:rPr>
            </w:pPr>
          </w:p>
        </w:tc>
        <w:tc>
          <w:tcPr>
            <w:tcW w:w="243" w:type="dxa"/>
            <w:tcBorders>
              <w:top w:val="nil"/>
              <w:left w:val="nil"/>
              <w:bottom w:val="nil"/>
              <w:right w:val="nil"/>
            </w:tcBorders>
            <w:shd w:val="clear" w:color="auto" w:fill="auto"/>
            <w:noWrap/>
            <w:hideMark/>
          </w:tcPr>
          <w:p w14:paraId="019EFF91" w14:textId="77777777" w:rsidR="00B4295F" w:rsidRPr="00302E7F" w:rsidRDefault="00B4295F" w:rsidP="00302E7F">
            <w:pPr>
              <w:rPr>
                <w:rFonts w:ascii="Times New Roman" w:eastAsia="Times New Roman" w:hAnsi="Times New Roman" w:cs="Times New Roman"/>
                <w:color w:val="000000"/>
              </w:rPr>
            </w:pPr>
          </w:p>
        </w:tc>
      </w:tr>
      <w:tr w:rsidR="00B4295F" w:rsidRPr="00302E7F" w14:paraId="05721DB5" w14:textId="77777777" w:rsidTr="008A7613">
        <w:trPr>
          <w:trHeight w:val="400"/>
        </w:trPr>
        <w:tc>
          <w:tcPr>
            <w:tcW w:w="14059" w:type="dxa"/>
            <w:gridSpan w:val="6"/>
            <w:vMerge/>
            <w:tcBorders>
              <w:top w:val="single" w:sz="8" w:space="0" w:color="auto"/>
              <w:left w:val="nil"/>
              <w:bottom w:val="nil"/>
              <w:right w:val="nil"/>
            </w:tcBorders>
            <w:hideMark/>
          </w:tcPr>
          <w:p w14:paraId="79CB9051" w14:textId="77777777" w:rsidR="00B4295F" w:rsidRPr="00302E7F" w:rsidRDefault="00B4295F" w:rsidP="00302E7F">
            <w:pPr>
              <w:rPr>
                <w:rFonts w:ascii="Times New Roman" w:eastAsia="Times New Roman" w:hAnsi="Times New Roman" w:cs="Times New Roman"/>
                <w:color w:val="000000"/>
              </w:rPr>
            </w:pPr>
          </w:p>
        </w:tc>
        <w:tc>
          <w:tcPr>
            <w:tcW w:w="243" w:type="dxa"/>
            <w:tcBorders>
              <w:top w:val="nil"/>
              <w:left w:val="nil"/>
              <w:bottom w:val="nil"/>
              <w:right w:val="nil"/>
            </w:tcBorders>
            <w:shd w:val="clear" w:color="auto" w:fill="auto"/>
            <w:noWrap/>
            <w:hideMark/>
          </w:tcPr>
          <w:p w14:paraId="116C5E80" w14:textId="77777777" w:rsidR="00B4295F" w:rsidRPr="00302E7F" w:rsidRDefault="00B4295F" w:rsidP="00302E7F">
            <w:pPr>
              <w:rPr>
                <w:rFonts w:ascii="Times New Roman" w:eastAsia="Times New Roman" w:hAnsi="Times New Roman" w:cs="Times New Roman"/>
                <w:sz w:val="20"/>
                <w:szCs w:val="20"/>
              </w:rPr>
            </w:pPr>
          </w:p>
        </w:tc>
      </w:tr>
    </w:tbl>
    <w:p w14:paraId="05EA6DFE" w14:textId="77777777" w:rsidR="00B4295F" w:rsidRDefault="00B4295F" w:rsidP="00E55CD1">
      <w:pPr>
        <w:spacing w:line="480" w:lineRule="auto"/>
        <w:rPr>
          <w:rFonts w:ascii="Times New Roman" w:hAnsi="Times New Roman" w:cs="Times New Roman"/>
        </w:rPr>
        <w:sectPr w:rsidR="00B4295F" w:rsidSect="006871CD">
          <w:pgSz w:w="15840" w:h="12240" w:orient="landscape"/>
          <w:pgMar w:top="1440" w:right="1440" w:bottom="1440" w:left="1440" w:header="720" w:footer="720" w:gutter="0"/>
          <w:cols w:space="720"/>
          <w:docGrid w:linePitch="360"/>
        </w:sectPr>
      </w:pPr>
    </w:p>
    <w:p w14:paraId="0D8A5675" w14:textId="5AB3755A" w:rsidR="00B4295F" w:rsidRDefault="00B4295F" w:rsidP="00697568">
      <w:pPr>
        <w:spacing w:line="480" w:lineRule="auto"/>
        <w:rPr>
          <w:rFonts w:ascii="Times New Roman" w:hAnsi="Times New Roman" w:cs="Times New Roman"/>
        </w:rPr>
      </w:pPr>
      <w:r w:rsidRPr="000D7095">
        <w:rPr>
          <w:rFonts w:ascii="Times New Roman" w:hAnsi="Times New Roman" w:cs="Times New Roman"/>
        </w:rPr>
        <w:lastRenderedPageBreak/>
        <w:t xml:space="preserve"> </w:t>
      </w:r>
      <w:r>
        <w:rPr>
          <w:rFonts w:ascii="Times New Roman" w:hAnsi="Times New Roman" w:cs="Times New Roman"/>
        </w:rPr>
        <w:t xml:space="preserve">Figure 1. </w:t>
      </w:r>
      <w:r w:rsidR="00301DBA">
        <w:rPr>
          <w:rFonts w:ascii="Times New Roman" w:hAnsi="Times New Roman" w:cs="Times New Roman"/>
        </w:rPr>
        <w:t xml:space="preserve">The second unidimensional model of the AAQ-AHL using confirmatory factor analysis. The circle </w:t>
      </w:r>
      <w:r w:rsidR="00F82BE3">
        <w:rPr>
          <w:rFonts w:ascii="Times New Roman" w:hAnsi="Times New Roman" w:cs="Times New Roman"/>
        </w:rPr>
        <w:t>represents</w:t>
      </w:r>
      <w:r w:rsidR="00301DBA">
        <w:rPr>
          <w:rFonts w:ascii="Times New Roman" w:hAnsi="Times New Roman" w:cs="Times New Roman"/>
        </w:rPr>
        <w:t xml:space="preserve"> the latent variable (AAQ-AHL)</w:t>
      </w:r>
      <w:r w:rsidR="00F82BE3">
        <w:rPr>
          <w:rFonts w:ascii="Times New Roman" w:hAnsi="Times New Roman" w:cs="Times New Roman"/>
        </w:rPr>
        <w:t>.</w:t>
      </w:r>
      <w:r w:rsidR="00301DBA">
        <w:rPr>
          <w:rFonts w:ascii="Times New Roman" w:hAnsi="Times New Roman" w:cs="Times New Roman"/>
        </w:rPr>
        <w:t xml:space="preserve"> </w:t>
      </w:r>
      <w:r w:rsidR="00F82BE3">
        <w:rPr>
          <w:rFonts w:ascii="Times New Roman" w:hAnsi="Times New Roman" w:cs="Times New Roman"/>
        </w:rPr>
        <w:t>T</w:t>
      </w:r>
      <w:r w:rsidR="009B1B02">
        <w:rPr>
          <w:rFonts w:ascii="Times New Roman" w:hAnsi="Times New Roman" w:cs="Times New Roman"/>
        </w:rPr>
        <w:t xml:space="preserve">he </w:t>
      </w:r>
      <w:r w:rsidR="00C469C5">
        <w:rPr>
          <w:rFonts w:ascii="Times New Roman" w:hAnsi="Times New Roman" w:cs="Times New Roman"/>
        </w:rPr>
        <w:t>straight arrows</w:t>
      </w:r>
      <w:r w:rsidR="009B1B02">
        <w:rPr>
          <w:rFonts w:ascii="Times New Roman" w:hAnsi="Times New Roman" w:cs="Times New Roman"/>
        </w:rPr>
        <w:t xml:space="preserve"> are </w:t>
      </w:r>
      <w:r w:rsidR="00E500DE">
        <w:rPr>
          <w:rFonts w:ascii="Times New Roman" w:hAnsi="Times New Roman" w:cs="Times New Roman"/>
        </w:rPr>
        <w:t xml:space="preserve">standardized factor </w:t>
      </w:r>
      <w:r w:rsidR="009B1B02">
        <w:rPr>
          <w:rFonts w:ascii="Times New Roman" w:hAnsi="Times New Roman" w:cs="Times New Roman"/>
        </w:rPr>
        <w:t>loadings</w:t>
      </w:r>
      <w:r w:rsidR="00C469C5">
        <w:rPr>
          <w:rFonts w:ascii="Times New Roman" w:hAnsi="Times New Roman" w:cs="Times New Roman"/>
        </w:rPr>
        <w:t xml:space="preserve"> </w:t>
      </w:r>
      <w:r w:rsidR="00E500DE">
        <w:rPr>
          <w:rFonts w:ascii="Times New Roman" w:hAnsi="Times New Roman" w:cs="Times New Roman"/>
        </w:rPr>
        <w:t xml:space="preserve">for </w:t>
      </w:r>
      <w:r w:rsidR="00C469C5">
        <w:rPr>
          <w:rFonts w:ascii="Times New Roman" w:hAnsi="Times New Roman" w:cs="Times New Roman"/>
        </w:rPr>
        <w:t xml:space="preserve">their </w:t>
      </w:r>
      <w:r w:rsidR="00E500DE">
        <w:rPr>
          <w:rFonts w:ascii="Times New Roman" w:hAnsi="Times New Roman" w:cs="Times New Roman"/>
        </w:rPr>
        <w:t>respective items</w:t>
      </w:r>
      <w:r w:rsidR="00564C82">
        <w:rPr>
          <w:rFonts w:ascii="Times New Roman" w:hAnsi="Times New Roman" w:cs="Times New Roman"/>
        </w:rPr>
        <w:t>.</w:t>
      </w:r>
      <w:r w:rsidR="009B1B02">
        <w:rPr>
          <w:rFonts w:ascii="Times New Roman" w:hAnsi="Times New Roman" w:cs="Times New Roman"/>
        </w:rPr>
        <w:t xml:space="preserve"> </w:t>
      </w:r>
      <w:r w:rsidR="00564C82">
        <w:rPr>
          <w:rFonts w:ascii="Times New Roman" w:hAnsi="Times New Roman" w:cs="Times New Roman"/>
        </w:rPr>
        <w:t xml:space="preserve">The </w:t>
      </w:r>
      <w:r w:rsidR="009B1B02">
        <w:rPr>
          <w:rFonts w:ascii="Times New Roman" w:hAnsi="Times New Roman" w:cs="Times New Roman"/>
        </w:rPr>
        <w:t xml:space="preserve">rectangles </w:t>
      </w:r>
      <w:r w:rsidR="00564C82">
        <w:rPr>
          <w:rFonts w:ascii="Times New Roman" w:hAnsi="Times New Roman" w:cs="Times New Roman"/>
        </w:rPr>
        <w:t xml:space="preserve">represent each item </w:t>
      </w:r>
      <w:r w:rsidR="00C469C5">
        <w:rPr>
          <w:rFonts w:ascii="Times New Roman" w:hAnsi="Times New Roman" w:cs="Times New Roman"/>
        </w:rPr>
        <w:t>i</w:t>
      </w:r>
      <w:r w:rsidR="00564C82">
        <w:rPr>
          <w:rFonts w:ascii="Times New Roman" w:hAnsi="Times New Roman" w:cs="Times New Roman"/>
        </w:rPr>
        <w:t>n the AAQ-AHL (e.g., Item 1 = first item of the AAQ-AHL).</w:t>
      </w:r>
      <w:r w:rsidR="009B1B02">
        <w:rPr>
          <w:rFonts w:ascii="Times New Roman" w:hAnsi="Times New Roman" w:cs="Times New Roman"/>
        </w:rPr>
        <w:t xml:space="preserve"> </w:t>
      </w:r>
      <w:r w:rsidR="00564C82">
        <w:rPr>
          <w:rFonts w:ascii="Times New Roman" w:hAnsi="Times New Roman" w:cs="Times New Roman"/>
        </w:rPr>
        <w:t>T</w:t>
      </w:r>
      <w:r w:rsidR="009B1B02">
        <w:rPr>
          <w:rFonts w:ascii="Times New Roman" w:hAnsi="Times New Roman" w:cs="Times New Roman"/>
        </w:rPr>
        <w:t>he e’s are error terms, and the bowed arrows between the error terms show correlations between error terms</w:t>
      </w:r>
      <w:r w:rsidR="00C469C5">
        <w:rPr>
          <w:rFonts w:ascii="Times New Roman" w:hAnsi="Times New Roman" w:cs="Times New Roman"/>
        </w:rPr>
        <w:t xml:space="preserve"> that were allowed to covary</w:t>
      </w:r>
      <w:r w:rsidR="009B1B02">
        <w:rPr>
          <w:rFonts w:ascii="Times New Roman" w:hAnsi="Times New Roman" w:cs="Times New Roman"/>
        </w:rPr>
        <w:t xml:space="preserve">. </w:t>
      </w:r>
    </w:p>
    <w:p w14:paraId="0F238E4A" w14:textId="77777777" w:rsidR="00B4295F" w:rsidRDefault="00B4295F" w:rsidP="00697568">
      <w:pPr>
        <w:spacing w:line="480" w:lineRule="auto"/>
        <w:rPr>
          <w:rFonts w:ascii="Times New Roman" w:hAnsi="Times New Roman" w:cs="Times New Roman"/>
        </w:rPr>
      </w:pPr>
      <w:r>
        <w:rPr>
          <w:rFonts w:ascii="Times New Roman" w:hAnsi="Times New Roman" w:cs="Times New Roman"/>
          <w:noProof/>
        </w:rPr>
        <w:drawing>
          <wp:inline distT="0" distB="0" distL="0" distR="0" wp14:anchorId="4B0CDD85" wp14:editId="479B0E02">
            <wp:extent cx="5676900" cy="41402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6900" cy="4140200"/>
                    </a:xfrm>
                    <a:prstGeom prst="rect">
                      <a:avLst/>
                    </a:prstGeom>
                  </pic:spPr>
                </pic:pic>
              </a:graphicData>
            </a:graphic>
          </wp:inline>
        </w:drawing>
      </w:r>
    </w:p>
    <w:p w14:paraId="621660CE" w14:textId="77777777" w:rsidR="00B4295F" w:rsidRDefault="00B4295F" w:rsidP="00697568">
      <w:pPr>
        <w:spacing w:line="480" w:lineRule="auto"/>
        <w:rPr>
          <w:rFonts w:ascii="Times New Roman" w:hAnsi="Times New Roman" w:cs="Times New Roman"/>
        </w:rPr>
      </w:pPr>
    </w:p>
    <w:p w14:paraId="0F8CBA52" w14:textId="77777777" w:rsidR="00B4295F" w:rsidRDefault="00B4295F" w:rsidP="00697568">
      <w:pPr>
        <w:spacing w:line="480" w:lineRule="auto"/>
        <w:rPr>
          <w:rFonts w:ascii="Times New Roman" w:hAnsi="Times New Roman" w:cs="Times New Roman"/>
        </w:rPr>
      </w:pPr>
    </w:p>
    <w:p w14:paraId="24D49C74" w14:textId="77777777" w:rsidR="00B4295F" w:rsidRDefault="00B4295F" w:rsidP="00697568">
      <w:pPr>
        <w:spacing w:line="480" w:lineRule="auto"/>
        <w:rPr>
          <w:rFonts w:ascii="Times New Roman" w:hAnsi="Times New Roman" w:cs="Times New Roman"/>
        </w:rPr>
      </w:pPr>
    </w:p>
    <w:p w14:paraId="0B82DE9E" w14:textId="77777777" w:rsidR="00B4295F" w:rsidRDefault="00B4295F" w:rsidP="00697568">
      <w:pPr>
        <w:spacing w:line="480" w:lineRule="auto"/>
        <w:rPr>
          <w:rFonts w:ascii="Times New Roman" w:hAnsi="Times New Roman" w:cs="Times New Roman"/>
        </w:rPr>
      </w:pPr>
    </w:p>
    <w:p w14:paraId="4D18CA11" w14:textId="77777777" w:rsidR="002A52D3" w:rsidRDefault="002A52D3"/>
    <w:sectPr w:rsidR="002A52D3" w:rsidSect="00BC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3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941E7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46F516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AF737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37494D"/>
    <w:multiLevelType w:val="multilevel"/>
    <w:tmpl w:val="8B2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F01AD"/>
    <w:multiLevelType w:val="multilevel"/>
    <w:tmpl w:val="2258D4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D5FAB"/>
    <w:multiLevelType w:val="hybridMultilevel"/>
    <w:tmpl w:val="DCF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371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BF09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3"/>
  </w:num>
  <w:num w:numId="5">
    <w:abstractNumId w:val="0"/>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4295F"/>
    <w:rsid w:val="00007D8A"/>
    <w:rsid w:val="0002000C"/>
    <w:rsid w:val="00046056"/>
    <w:rsid w:val="000461A8"/>
    <w:rsid w:val="00066876"/>
    <w:rsid w:val="00072C78"/>
    <w:rsid w:val="00085816"/>
    <w:rsid w:val="000D263A"/>
    <w:rsid w:val="000D4856"/>
    <w:rsid w:val="000E5A53"/>
    <w:rsid w:val="00145379"/>
    <w:rsid w:val="0014715E"/>
    <w:rsid w:val="00186D78"/>
    <w:rsid w:val="001D2722"/>
    <w:rsid w:val="001D28BB"/>
    <w:rsid w:val="001E5845"/>
    <w:rsid w:val="00220A98"/>
    <w:rsid w:val="00226A16"/>
    <w:rsid w:val="002315FB"/>
    <w:rsid w:val="0023247B"/>
    <w:rsid w:val="00235A8A"/>
    <w:rsid w:val="00261BAA"/>
    <w:rsid w:val="00276968"/>
    <w:rsid w:val="00290A63"/>
    <w:rsid w:val="002A4627"/>
    <w:rsid w:val="002A52D3"/>
    <w:rsid w:val="002B06FD"/>
    <w:rsid w:val="002D3E3C"/>
    <w:rsid w:val="002D577A"/>
    <w:rsid w:val="002F2726"/>
    <w:rsid w:val="002F608B"/>
    <w:rsid w:val="00301DBA"/>
    <w:rsid w:val="003171DB"/>
    <w:rsid w:val="00327055"/>
    <w:rsid w:val="00330CF1"/>
    <w:rsid w:val="00350DE5"/>
    <w:rsid w:val="00376A4A"/>
    <w:rsid w:val="003770B2"/>
    <w:rsid w:val="003B5675"/>
    <w:rsid w:val="003E1A64"/>
    <w:rsid w:val="003E2350"/>
    <w:rsid w:val="003E7573"/>
    <w:rsid w:val="003F50BF"/>
    <w:rsid w:val="003F7350"/>
    <w:rsid w:val="00427F47"/>
    <w:rsid w:val="00434F1D"/>
    <w:rsid w:val="0045120D"/>
    <w:rsid w:val="004523EC"/>
    <w:rsid w:val="00464864"/>
    <w:rsid w:val="004C1FE1"/>
    <w:rsid w:val="004D43FD"/>
    <w:rsid w:val="004D78E5"/>
    <w:rsid w:val="004E3035"/>
    <w:rsid w:val="0050512F"/>
    <w:rsid w:val="00524313"/>
    <w:rsid w:val="00525E93"/>
    <w:rsid w:val="005404AA"/>
    <w:rsid w:val="00545DEA"/>
    <w:rsid w:val="00557DDF"/>
    <w:rsid w:val="00560C9F"/>
    <w:rsid w:val="00564237"/>
    <w:rsid w:val="00564C82"/>
    <w:rsid w:val="00584528"/>
    <w:rsid w:val="00597983"/>
    <w:rsid w:val="005C2781"/>
    <w:rsid w:val="005C6C82"/>
    <w:rsid w:val="005D2F28"/>
    <w:rsid w:val="005E20EE"/>
    <w:rsid w:val="005E27D6"/>
    <w:rsid w:val="00614D40"/>
    <w:rsid w:val="006273C9"/>
    <w:rsid w:val="00632D4C"/>
    <w:rsid w:val="0064388A"/>
    <w:rsid w:val="00684DF2"/>
    <w:rsid w:val="00685845"/>
    <w:rsid w:val="00696763"/>
    <w:rsid w:val="00697562"/>
    <w:rsid w:val="006A7602"/>
    <w:rsid w:val="006B23AD"/>
    <w:rsid w:val="006C3FFE"/>
    <w:rsid w:val="006C7774"/>
    <w:rsid w:val="006D524D"/>
    <w:rsid w:val="006E1F3F"/>
    <w:rsid w:val="0070082D"/>
    <w:rsid w:val="00710B07"/>
    <w:rsid w:val="00711AB2"/>
    <w:rsid w:val="0071561E"/>
    <w:rsid w:val="0071708B"/>
    <w:rsid w:val="00725771"/>
    <w:rsid w:val="00760B6B"/>
    <w:rsid w:val="007748BE"/>
    <w:rsid w:val="0078207B"/>
    <w:rsid w:val="00787948"/>
    <w:rsid w:val="00790A3C"/>
    <w:rsid w:val="00793E4C"/>
    <w:rsid w:val="00795822"/>
    <w:rsid w:val="007A5B41"/>
    <w:rsid w:val="007B0E74"/>
    <w:rsid w:val="007B6E34"/>
    <w:rsid w:val="007B7645"/>
    <w:rsid w:val="007C2A2F"/>
    <w:rsid w:val="007C474F"/>
    <w:rsid w:val="007D59B3"/>
    <w:rsid w:val="007E1DA2"/>
    <w:rsid w:val="008051CC"/>
    <w:rsid w:val="00843130"/>
    <w:rsid w:val="008507E1"/>
    <w:rsid w:val="0085506E"/>
    <w:rsid w:val="008606C5"/>
    <w:rsid w:val="0088054A"/>
    <w:rsid w:val="0088568F"/>
    <w:rsid w:val="00890E1A"/>
    <w:rsid w:val="008921DC"/>
    <w:rsid w:val="008957BC"/>
    <w:rsid w:val="008A7819"/>
    <w:rsid w:val="008A7ECE"/>
    <w:rsid w:val="008C06D1"/>
    <w:rsid w:val="008E3124"/>
    <w:rsid w:val="009168EB"/>
    <w:rsid w:val="00955E44"/>
    <w:rsid w:val="00963F4C"/>
    <w:rsid w:val="00973013"/>
    <w:rsid w:val="009837F4"/>
    <w:rsid w:val="009933AF"/>
    <w:rsid w:val="00995C04"/>
    <w:rsid w:val="009B1B02"/>
    <w:rsid w:val="009B5DDE"/>
    <w:rsid w:val="009C3B7C"/>
    <w:rsid w:val="009D497F"/>
    <w:rsid w:val="009E2183"/>
    <w:rsid w:val="009F7727"/>
    <w:rsid w:val="00A21021"/>
    <w:rsid w:val="00A32D41"/>
    <w:rsid w:val="00A41851"/>
    <w:rsid w:val="00A53C18"/>
    <w:rsid w:val="00A61956"/>
    <w:rsid w:val="00A667C5"/>
    <w:rsid w:val="00AA0E5B"/>
    <w:rsid w:val="00AB22B6"/>
    <w:rsid w:val="00AB6846"/>
    <w:rsid w:val="00AD5B9B"/>
    <w:rsid w:val="00AE1D05"/>
    <w:rsid w:val="00AF0107"/>
    <w:rsid w:val="00AF229E"/>
    <w:rsid w:val="00B07D84"/>
    <w:rsid w:val="00B15BC7"/>
    <w:rsid w:val="00B17D7A"/>
    <w:rsid w:val="00B31109"/>
    <w:rsid w:val="00B33744"/>
    <w:rsid w:val="00B35F0A"/>
    <w:rsid w:val="00B4295F"/>
    <w:rsid w:val="00B52074"/>
    <w:rsid w:val="00B63B64"/>
    <w:rsid w:val="00B65A1C"/>
    <w:rsid w:val="00B77239"/>
    <w:rsid w:val="00B86C9A"/>
    <w:rsid w:val="00B92EB7"/>
    <w:rsid w:val="00BC1B1A"/>
    <w:rsid w:val="00BD789B"/>
    <w:rsid w:val="00C469C5"/>
    <w:rsid w:val="00C51E17"/>
    <w:rsid w:val="00C571CF"/>
    <w:rsid w:val="00C74B25"/>
    <w:rsid w:val="00C871C2"/>
    <w:rsid w:val="00CA025A"/>
    <w:rsid w:val="00CA0F48"/>
    <w:rsid w:val="00CD4E31"/>
    <w:rsid w:val="00CF1BE0"/>
    <w:rsid w:val="00D01956"/>
    <w:rsid w:val="00D049CA"/>
    <w:rsid w:val="00D13AAF"/>
    <w:rsid w:val="00D22E32"/>
    <w:rsid w:val="00D36355"/>
    <w:rsid w:val="00D56D7E"/>
    <w:rsid w:val="00D64124"/>
    <w:rsid w:val="00D75C18"/>
    <w:rsid w:val="00D9307D"/>
    <w:rsid w:val="00DC528C"/>
    <w:rsid w:val="00DD6C0D"/>
    <w:rsid w:val="00DF2A09"/>
    <w:rsid w:val="00DF334B"/>
    <w:rsid w:val="00DF6132"/>
    <w:rsid w:val="00E004CA"/>
    <w:rsid w:val="00E04EB7"/>
    <w:rsid w:val="00E15BFB"/>
    <w:rsid w:val="00E360C2"/>
    <w:rsid w:val="00E500DE"/>
    <w:rsid w:val="00E542C8"/>
    <w:rsid w:val="00E56AB4"/>
    <w:rsid w:val="00E70C78"/>
    <w:rsid w:val="00EA0D35"/>
    <w:rsid w:val="00EA46D3"/>
    <w:rsid w:val="00EE7948"/>
    <w:rsid w:val="00EF2995"/>
    <w:rsid w:val="00EF51E7"/>
    <w:rsid w:val="00F025E0"/>
    <w:rsid w:val="00F324C9"/>
    <w:rsid w:val="00F57221"/>
    <w:rsid w:val="00F70FC2"/>
    <w:rsid w:val="00F82BE3"/>
    <w:rsid w:val="00F937A4"/>
    <w:rsid w:val="00FA59B8"/>
    <w:rsid w:val="00FB0BD7"/>
    <w:rsid w:val="00FC2FE3"/>
    <w:rsid w:val="00FE0A91"/>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532A"/>
  <w15:chartTrackingRefBased/>
  <w15:docId w15:val="{6C04BF14-900F-B744-B92E-A83F713A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5F"/>
  </w:style>
  <w:style w:type="paragraph" w:styleId="Heading1">
    <w:name w:val="heading 1"/>
    <w:basedOn w:val="Normal"/>
    <w:next w:val="Normal"/>
    <w:link w:val="Heading1Char"/>
    <w:uiPriority w:val="9"/>
    <w:qFormat/>
    <w:rsid w:val="00B4295F"/>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95F"/>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295F"/>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4295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295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295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295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295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295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29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4295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429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429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429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429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429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295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4295F"/>
    <w:pPr>
      <w:ind w:left="720"/>
      <w:contextualSpacing/>
    </w:pPr>
  </w:style>
  <w:style w:type="paragraph" w:customStyle="1" w:styleId="EndNoteBibliographyTitle">
    <w:name w:val="EndNote Bibliography Title"/>
    <w:basedOn w:val="Normal"/>
    <w:link w:val="EndNoteBibliographyTitleChar"/>
    <w:rsid w:val="00B4295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4295F"/>
    <w:rPr>
      <w:rFonts w:ascii="Calibri" w:hAnsi="Calibri" w:cs="Calibri"/>
    </w:rPr>
  </w:style>
  <w:style w:type="paragraph" w:customStyle="1" w:styleId="EndNoteBibliography">
    <w:name w:val="EndNote Bibliography"/>
    <w:basedOn w:val="Normal"/>
    <w:link w:val="EndNoteBibliographyChar"/>
    <w:rsid w:val="00B4295F"/>
    <w:pPr>
      <w:jc w:val="center"/>
    </w:pPr>
    <w:rPr>
      <w:rFonts w:ascii="Calibri" w:hAnsi="Calibri" w:cs="Calibri"/>
    </w:rPr>
  </w:style>
  <w:style w:type="character" w:customStyle="1" w:styleId="EndNoteBibliographyChar">
    <w:name w:val="EndNote Bibliography Char"/>
    <w:basedOn w:val="DefaultParagraphFont"/>
    <w:link w:val="EndNoteBibliography"/>
    <w:rsid w:val="00B4295F"/>
    <w:rPr>
      <w:rFonts w:ascii="Calibri" w:hAnsi="Calibri" w:cs="Calibri"/>
    </w:rPr>
  </w:style>
  <w:style w:type="paragraph" w:customStyle="1" w:styleId="paragraph">
    <w:name w:val="paragraph"/>
    <w:basedOn w:val="Normal"/>
    <w:rsid w:val="00B4295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4295F"/>
  </w:style>
  <w:style w:type="character" w:customStyle="1" w:styleId="eop">
    <w:name w:val="eop"/>
    <w:basedOn w:val="DefaultParagraphFont"/>
    <w:rsid w:val="00B4295F"/>
  </w:style>
  <w:style w:type="character" w:styleId="Hyperlink">
    <w:name w:val="Hyperlink"/>
    <w:basedOn w:val="DefaultParagraphFont"/>
    <w:uiPriority w:val="99"/>
    <w:unhideWhenUsed/>
    <w:rsid w:val="00B4295F"/>
    <w:rPr>
      <w:color w:val="0563C1" w:themeColor="hyperlink"/>
      <w:u w:val="single"/>
    </w:rPr>
  </w:style>
  <w:style w:type="character" w:styleId="UnresolvedMention">
    <w:name w:val="Unresolved Mention"/>
    <w:basedOn w:val="DefaultParagraphFont"/>
    <w:uiPriority w:val="99"/>
    <w:semiHidden/>
    <w:unhideWhenUsed/>
    <w:rsid w:val="00B4295F"/>
    <w:rPr>
      <w:color w:val="605E5C"/>
      <w:shd w:val="clear" w:color="auto" w:fill="E1DFDD"/>
    </w:rPr>
  </w:style>
  <w:style w:type="character" w:styleId="CommentReference">
    <w:name w:val="annotation reference"/>
    <w:basedOn w:val="DefaultParagraphFont"/>
    <w:uiPriority w:val="99"/>
    <w:semiHidden/>
    <w:unhideWhenUsed/>
    <w:rsid w:val="00B4295F"/>
    <w:rPr>
      <w:sz w:val="16"/>
      <w:szCs w:val="16"/>
    </w:rPr>
  </w:style>
  <w:style w:type="paragraph" w:styleId="CommentText">
    <w:name w:val="annotation text"/>
    <w:basedOn w:val="Normal"/>
    <w:link w:val="CommentTextChar"/>
    <w:uiPriority w:val="99"/>
    <w:semiHidden/>
    <w:unhideWhenUsed/>
    <w:rsid w:val="00B4295F"/>
    <w:rPr>
      <w:sz w:val="20"/>
      <w:szCs w:val="20"/>
    </w:rPr>
  </w:style>
  <w:style w:type="character" w:customStyle="1" w:styleId="CommentTextChar">
    <w:name w:val="Comment Text Char"/>
    <w:basedOn w:val="DefaultParagraphFont"/>
    <w:link w:val="CommentText"/>
    <w:uiPriority w:val="99"/>
    <w:semiHidden/>
    <w:rsid w:val="00B4295F"/>
    <w:rPr>
      <w:sz w:val="20"/>
      <w:szCs w:val="20"/>
    </w:rPr>
  </w:style>
  <w:style w:type="paragraph" w:styleId="CommentSubject">
    <w:name w:val="annotation subject"/>
    <w:basedOn w:val="CommentText"/>
    <w:next w:val="CommentText"/>
    <w:link w:val="CommentSubjectChar"/>
    <w:uiPriority w:val="99"/>
    <w:semiHidden/>
    <w:unhideWhenUsed/>
    <w:rsid w:val="00B4295F"/>
    <w:rPr>
      <w:b/>
      <w:bCs/>
    </w:rPr>
  </w:style>
  <w:style w:type="character" w:customStyle="1" w:styleId="CommentSubjectChar">
    <w:name w:val="Comment Subject Char"/>
    <w:basedOn w:val="CommentTextChar"/>
    <w:link w:val="CommentSubject"/>
    <w:uiPriority w:val="99"/>
    <w:semiHidden/>
    <w:rsid w:val="00B4295F"/>
    <w:rPr>
      <w:b/>
      <w:bCs/>
      <w:sz w:val="20"/>
      <w:szCs w:val="20"/>
    </w:rPr>
  </w:style>
  <w:style w:type="paragraph" w:styleId="Revision">
    <w:name w:val="Revision"/>
    <w:hidden/>
    <w:uiPriority w:val="99"/>
    <w:semiHidden/>
    <w:rsid w:val="00B4295F"/>
  </w:style>
  <w:style w:type="paragraph" w:styleId="BalloonText">
    <w:name w:val="Balloon Text"/>
    <w:basedOn w:val="Normal"/>
    <w:link w:val="BalloonTextChar"/>
    <w:uiPriority w:val="99"/>
    <w:semiHidden/>
    <w:unhideWhenUsed/>
    <w:rsid w:val="00B429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95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4295F"/>
    <w:rPr>
      <w:color w:val="954F72" w:themeColor="followedHyperlink"/>
      <w:u w:val="single"/>
    </w:rPr>
  </w:style>
  <w:style w:type="paragraph" w:styleId="NormalWeb">
    <w:name w:val="Normal (Web)"/>
    <w:basedOn w:val="Normal"/>
    <w:uiPriority w:val="99"/>
    <w:unhideWhenUsed/>
    <w:rsid w:val="00B4295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4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178">
      <w:bodyDiv w:val="1"/>
      <w:marLeft w:val="0"/>
      <w:marRight w:val="0"/>
      <w:marTop w:val="0"/>
      <w:marBottom w:val="0"/>
      <w:divBdr>
        <w:top w:val="none" w:sz="0" w:space="0" w:color="auto"/>
        <w:left w:val="none" w:sz="0" w:space="0" w:color="auto"/>
        <w:bottom w:val="none" w:sz="0" w:space="0" w:color="auto"/>
        <w:right w:val="none" w:sz="0" w:space="0" w:color="auto"/>
      </w:divBdr>
    </w:div>
    <w:div w:id="73161777">
      <w:bodyDiv w:val="1"/>
      <w:marLeft w:val="0"/>
      <w:marRight w:val="0"/>
      <w:marTop w:val="0"/>
      <w:marBottom w:val="0"/>
      <w:divBdr>
        <w:top w:val="none" w:sz="0" w:space="0" w:color="auto"/>
        <w:left w:val="none" w:sz="0" w:space="0" w:color="auto"/>
        <w:bottom w:val="none" w:sz="0" w:space="0" w:color="auto"/>
        <w:right w:val="none" w:sz="0" w:space="0" w:color="auto"/>
      </w:divBdr>
    </w:div>
    <w:div w:id="281310620">
      <w:bodyDiv w:val="1"/>
      <w:marLeft w:val="0"/>
      <w:marRight w:val="0"/>
      <w:marTop w:val="0"/>
      <w:marBottom w:val="0"/>
      <w:divBdr>
        <w:top w:val="none" w:sz="0" w:space="0" w:color="auto"/>
        <w:left w:val="none" w:sz="0" w:space="0" w:color="auto"/>
        <w:bottom w:val="none" w:sz="0" w:space="0" w:color="auto"/>
        <w:right w:val="none" w:sz="0" w:space="0" w:color="auto"/>
      </w:divBdr>
    </w:div>
    <w:div w:id="380177454">
      <w:bodyDiv w:val="1"/>
      <w:marLeft w:val="0"/>
      <w:marRight w:val="0"/>
      <w:marTop w:val="0"/>
      <w:marBottom w:val="0"/>
      <w:divBdr>
        <w:top w:val="none" w:sz="0" w:space="0" w:color="auto"/>
        <w:left w:val="none" w:sz="0" w:space="0" w:color="auto"/>
        <w:bottom w:val="none" w:sz="0" w:space="0" w:color="auto"/>
        <w:right w:val="none" w:sz="0" w:space="0" w:color="auto"/>
      </w:divBdr>
    </w:div>
    <w:div w:id="435951160">
      <w:bodyDiv w:val="1"/>
      <w:marLeft w:val="0"/>
      <w:marRight w:val="0"/>
      <w:marTop w:val="0"/>
      <w:marBottom w:val="0"/>
      <w:divBdr>
        <w:top w:val="none" w:sz="0" w:space="0" w:color="auto"/>
        <w:left w:val="none" w:sz="0" w:space="0" w:color="auto"/>
        <w:bottom w:val="none" w:sz="0" w:space="0" w:color="auto"/>
        <w:right w:val="none" w:sz="0" w:space="0" w:color="auto"/>
      </w:divBdr>
    </w:div>
    <w:div w:id="441609034">
      <w:bodyDiv w:val="1"/>
      <w:marLeft w:val="0"/>
      <w:marRight w:val="0"/>
      <w:marTop w:val="0"/>
      <w:marBottom w:val="0"/>
      <w:divBdr>
        <w:top w:val="none" w:sz="0" w:space="0" w:color="auto"/>
        <w:left w:val="none" w:sz="0" w:space="0" w:color="auto"/>
        <w:bottom w:val="none" w:sz="0" w:space="0" w:color="auto"/>
        <w:right w:val="none" w:sz="0" w:space="0" w:color="auto"/>
      </w:divBdr>
      <w:divsChild>
        <w:div w:id="1680044000">
          <w:marLeft w:val="0"/>
          <w:marRight w:val="0"/>
          <w:marTop w:val="0"/>
          <w:marBottom w:val="0"/>
          <w:divBdr>
            <w:top w:val="none" w:sz="0" w:space="0" w:color="auto"/>
            <w:left w:val="none" w:sz="0" w:space="0" w:color="auto"/>
            <w:bottom w:val="none" w:sz="0" w:space="0" w:color="auto"/>
            <w:right w:val="none" w:sz="0" w:space="0" w:color="auto"/>
          </w:divBdr>
          <w:divsChild>
            <w:div w:id="510728166">
              <w:marLeft w:val="0"/>
              <w:marRight w:val="0"/>
              <w:marTop w:val="0"/>
              <w:marBottom w:val="0"/>
              <w:divBdr>
                <w:top w:val="none" w:sz="0" w:space="0" w:color="auto"/>
                <w:left w:val="none" w:sz="0" w:space="0" w:color="auto"/>
                <w:bottom w:val="none" w:sz="0" w:space="0" w:color="auto"/>
                <w:right w:val="none" w:sz="0" w:space="0" w:color="auto"/>
              </w:divBdr>
              <w:divsChild>
                <w:div w:id="7834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94528">
      <w:bodyDiv w:val="1"/>
      <w:marLeft w:val="0"/>
      <w:marRight w:val="0"/>
      <w:marTop w:val="0"/>
      <w:marBottom w:val="0"/>
      <w:divBdr>
        <w:top w:val="none" w:sz="0" w:space="0" w:color="auto"/>
        <w:left w:val="none" w:sz="0" w:space="0" w:color="auto"/>
        <w:bottom w:val="none" w:sz="0" w:space="0" w:color="auto"/>
        <w:right w:val="none" w:sz="0" w:space="0" w:color="auto"/>
      </w:divBdr>
    </w:div>
    <w:div w:id="503859340">
      <w:bodyDiv w:val="1"/>
      <w:marLeft w:val="0"/>
      <w:marRight w:val="0"/>
      <w:marTop w:val="0"/>
      <w:marBottom w:val="0"/>
      <w:divBdr>
        <w:top w:val="none" w:sz="0" w:space="0" w:color="auto"/>
        <w:left w:val="none" w:sz="0" w:space="0" w:color="auto"/>
        <w:bottom w:val="none" w:sz="0" w:space="0" w:color="auto"/>
        <w:right w:val="none" w:sz="0" w:space="0" w:color="auto"/>
      </w:divBdr>
    </w:div>
    <w:div w:id="558175300">
      <w:bodyDiv w:val="1"/>
      <w:marLeft w:val="0"/>
      <w:marRight w:val="0"/>
      <w:marTop w:val="0"/>
      <w:marBottom w:val="0"/>
      <w:divBdr>
        <w:top w:val="none" w:sz="0" w:space="0" w:color="auto"/>
        <w:left w:val="none" w:sz="0" w:space="0" w:color="auto"/>
        <w:bottom w:val="none" w:sz="0" w:space="0" w:color="auto"/>
        <w:right w:val="none" w:sz="0" w:space="0" w:color="auto"/>
      </w:divBdr>
    </w:div>
    <w:div w:id="705302421">
      <w:bodyDiv w:val="1"/>
      <w:marLeft w:val="0"/>
      <w:marRight w:val="0"/>
      <w:marTop w:val="0"/>
      <w:marBottom w:val="0"/>
      <w:divBdr>
        <w:top w:val="none" w:sz="0" w:space="0" w:color="auto"/>
        <w:left w:val="none" w:sz="0" w:space="0" w:color="auto"/>
        <w:bottom w:val="none" w:sz="0" w:space="0" w:color="auto"/>
        <w:right w:val="none" w:sz="0" w:space="0" w:color="auto"/>
      </w:divBdr>
      <w:divsChild>
        <w:div w:id="1114135216">
          <w:marLeft w:val="0"/>
          <w:marRight w:val="0"/>
          <w:marTop w:val="0"/>
          <w:marBottom w:val="0"/>
          <w:divBdr>
            <w:top w:val="none" w:sz="0" w:space="0" w:color="auto"/>
            <w:left w:val="none" w:sz="0" w:space="0" w:color="auto"/>
            <w:bottom w:val="none" w:sz="0" w:space="0" w:color="auto"/>
            <w:right w:val="none" w:sz="0" w:space="0" w:color="auto"/>
          </w:divBdr>
          <w:divsChild>
            <w:div w:id="1753971492">
              <w:marLeft w:val="0"/>
              <w:marRight w:val="0"/>
              <w:marTop w:val="0"/>
              <w:marBottom w:val="0"/>
              <w:divBdr>
                <w:top w:val="none" w:sz="0" w:space="0" w:color="auto"/>
                <w:left w:val="none" w:sz="0" w:space="0" w:color="auto"/>
                <w:bottom w:val="none" w:sz="0" w:space="0" w:color="auto"/>
                <w:right w:val="none" w:sz="0" w:space="0" w:color="auto"/>
              </w:divBdr>
              <w:divsChild>
                <w:div w:id="2421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78901">
      <w:bodyDiv w:val="1"/>
      <w:marLeft w:val="0"/>
      <w:marRight w:val="0"/>
      <w:marTop w:val="0"/>
      <w:marBottom w:val="0"/>
      <w:divBdr>
        <w:top w:val="none" w:sz="0" w:space="0" w:color="auto"/>
        <w:left w:val="none" w:sz="0" w:space="0" w:color="auto"/>
        <w:bottom w:val="none" w:sz="0" w:space="0" w:color="auto"/>
        <w:right w:val="none" w:sz="0" w:space="0" w:color="auto"/>
      </w:divBdr>
    </w:div>
    <w:div w:id="753358214">
      <w:bodyDiv w:val="1"/>
      <w:marLeft w:val="0"/>
      <w:marRight w:val="0"/>
      <w:marTop w:val="0"/>
      <w:marBottom w:val="0"/>
      <w:divBdr>
        <w:top w:val="none" w:sz="0" w:space="0" w:color="auto"/>
        <w:left w:val="none" w:sz="0" w:space="0" w:color="auto"/>
        <w:bottom w:val="none" w:sz="0" w:space="0" w:color="auto"/>
        <w:right w:val="none" w:sz="0" w:space="0" w:color="auto"/>
      </w:divBdr>
    </w:div>
    <w:div w:id="1038318567">
      <w:bodyDiv w:val="1"/>
      <w:marLeft w:val="0"/>
      <w:marRight w:val="0"/>
      <w:marTop w:val="0"/>
      <w:marBottom w:val="0"/>
      <w:divBdr>
        <w:top w:val="none" w:sz="0" w:space="0" w:color="auto"/>
        <w:left w:val="none" w:sz="0" w:space="0" w:color="auto"/>
        <w:bottom w:val="none" w:sz="0" w:space="0" w:color="auto"/>
        <w:right w:val="none" w:sz="0" w:space="0" w:color="auto"/>
      </w:divBdr>
    </w:div>
    <w:div w:id="1055548021">
      <w:bodyDiv w:val="1"/>
      <w:marLeft w:val="0"/>
      <w:marRight w:val="0"/>
      <w:marTop w:val="0"/>
      <w:marBottom w:val="0"/>
      <w:divBdr>
        <w:top w:val="none" w:sz="0" w:space="0" w:color="auto"/>
        <w:left w:val="none" w:sz="0" w:space="0" w:color="auto"/>
        <w:bottom w:val="none" w:sz="0" w:space="0" w:color="auto"/>
        <w:right w:val="none" w:sz="0" w:space="0" w:color="auto"/>
      </w:divBdr>
    </w:div>
    <w:div w:id="1070805368">
      <w:bodyDiv w:val="1"/>
      <w:marLeft w:val="0"/>
      <w:marRight w:val="0"/>
      <w:marTop w:val="0"/>
      <w:marBottom w:val="0"/>
      <w:divBdr>
        <w:top w:val="none" w:sz="0" w:space="0" w:color="auto"/>
        <w:left w:val="none" w:sz="0" w:space="0" w:color="auto"/>
        <w:bottom w:val="none" w:sz="0" w:space="0" w:color="auto"/>
        <w:right w:val="none" w:sz="0" w:space="0" w:color="auto"/>
      </w:divBdr>
      <w:divsChild>
        <w:div w:id="1376856205">
          <w:marLeft w:val="0"/>
          <w:marRight w:val="0"/>
          <w:marTop w:val="0"/>
          <w:marBottom w:val="0"/>
          <w:divBdr>
            <w:top w:val="none" w:sz="0" w:space="0" w:color="auto"/>
            <w:left w:val="none" w:sz="0" w:space="0" w:color="auto"/>
            <w:bottom w:val="none" w:sz="0" w:space="0" w:color="auto"/>
            <w:right w:val="none" w:sz="0" w:space="0" w:color="auto"/>
          </w:divBdr>
          <w:divsChild>
            <w:div w:id="1411542816">
              <w:marLeft w:val="0"/>
              <w:marRight w:val="0"/>
              <w:marTop w:val="0"/>
              <w:marBottom w:val="0"/>
              <w:divBdr>
                <w:top w:val="none" w:sz="0" w:space="0" w:color="auto"/>
                <w:left w:val="none" w:sz="0" w:space="0" w:color="auto"/>
                <w:bottom w:val="none" w:sz="0" w:space="0" w:color="auto"/>
                <w:right w:val="none" w:sz="0" w:space="0" w:color="auto"/>
              </w:divBdr>
              <w:divsChild>
                <w:div w:id="13792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8082">
      <w:bodyDiv w:val="1"/>
      <w:marLeft w:val="0"/>
      <w:marRight w:val="0"/>
      <w:marTop w:val="0"/>
      <w:marBottom w:val="0"/>
      <w:divBdr>
        <w:top w:val="none" w:sz="0" w:space="0" w:color="auto"/>
        <w:left w:val="none" w:sz="0" w:space="0" w:color="auto"/>
        <w:bottom w:val="none" w:sz="0" w:space="0" w:color="auto"/>
        <w:right w:val="none" w:sz="0" w:space="0" w:color="auto"/>
      </w:divBdr>
    </w:div>
    <w:div w:id="1138836057">
      <w:bodyDiv w:val="1"/>
      <w:marLeft w:val="0"/>
      <w:marRight w:val="0"/>
      <w:marTop w:val="0"/>
      <w:marBottom w:val="0"/>
      <w:divBdr>
        <w:top w:val="none" w:sz="0" w:space="0" w:color="auto"/>
        <w:left w:val="none" w:sz="0" w:space="0" w:color="auto"/>
        <w:bottom w:val="none" w:sz="0" w:space="0" w:color="auto"/>
        <w:right w:val="none" w:sz="0" w:space="0" w:color="auto"/>
      </w:divBdr>
      <w:divsChild>
        <w:div w:id="1778866017">
          <w:marLeft w:val="0"/>
          <w:marRight w:val="0"/>
          <w:marTop w:val="0"/>
          <w:marBottom w:val="0"/>
          <w:divBdr>
            <w:top w:val="none" w:sz="0" w:space="0" w:color="auto"/>
            <w:left w:val="none" w:sz="0" w:space="0" w:color="auto"/>
            <w:bottom w:val="none" w:sz="0" w:space="0" w:color="auto"/>
            <w:right w:val="none" w:sz="0" w:space="0" w:color="auto"/>
          </w:divBdr>
          <w:divsChild>
            <w:div w:id="969937320">
              <w:marLeft w:val="0"/>
              <w:marRight w:val="0"/>
              <w:marTop w:val="0"/>
              <w:marBottom w:val="0"/>
              <w:divBdr>
                <w:top w:val="none" w:sz="0" w:space="0" w:color="auto"/>
                <w:left w:val="none" w:sz="0" w:space="0" w:color="auto"/>
                <w:bottom w:val="none" w:sz="0" w:space="0" w:color="auto"/>
                <w:right w:val="none" w:sz="0" w:space="0" w:color="auto"/>
              </w:divBdr>
              <w:divsChild>
                <w:div w:id="648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0312">
      <w:bodyDiv w:val="1"/>
      <w:marLeft w:val="0"/>
      <w:marRight w:val="0"/>
      <w:marTop w:val="0"/>
      <w:marBottom w:val="0"/>
      <w:divBdr>
        <w:top w:val="none" w:sz="0" w:space="0" w:color="auto"/>
        <w:left w:val="none" w:sz="0" w:space="0" w:color="auto"/>
        <w:bottom w:val="none" w:sz="0" w:space="0" w:color="auto"/>
        <w:right w:val="none" w:sz="0" w:space="0" w:color="auto"/>
      </w:divBdr>
      <w:divsChild>
        <w:div w:id="232546216">
          <w:marLeft w:val="102"/>
          <w:marRight w:val="102"/>
          <w:marTop w:val="0"/>
          <w:marBottom w:val="0"/>
          <w:divBdr>
            <w:top w:val="none" w:sz="0" w:space="0" w:color="auto"/>
            <w:left w:val="none" w:sz="0" w:space="0" w:color="auto"/>
            <w:bottom w:val="none" w:sz="0" w:space="0" w:color="auto"/>
            <w:right w:val="none" w:sz="0" w:space="0" w:color="auto"/>
          </w:divBdr>
          <w:divsChild>
            <w:div w:id="797576917">
              <w:marLeft w:val="0"/>
              <w:marRight w:val="0"/>
              <w:marTop w:val="0"/>
              <w:marBottom w:val="0"/>
              <w:divBdr>
                <w:top w:val="none" w:sz="0" w:space="0" w:color="auto"/>
                <w:left w:val="none" w:sz="0" w:space="0" w:color="auto"/>
                <w:bottom w:val="none" w:sz="0" w:space="0" w:color="auto"/>
                <w:right w:val="none" w:sz="0" w:space="0" w:color="auto"/>
              </w:divBdr>
              <w:divsChild>
                <w:div w:id="600382430">
                  <w:marLeft w:val="0"/>
                  <w:marRight w:val="0"/>
                  <w:marTop w:val="0"/>
                  <w:marBottom w:val="0"/>
                  <w:divBdr>
                    <w:top w:val="none" w:sz="0" w:space="0" w:color="auto"/>
                    <w:left w:val="none" w:sz="0" w:space="0" w:color="auto"/>
                    <w:bottom w:val="none" w:sz="0" w:space="0" w:color="auto"/>
                    <w:right w:val="none" w:sz="0" w:space="0" w:color="auto"/>
                  </w:divBdr>
                  <w:divsChild>
                    <w:div w:id="1410233426">
                      <w:marLeft w:val="0"/>
                      <w:marRight w:val="0"/>
                      <w:marTop w:val="0"/>
                      <w:marBottom w:val="0"/>
                      <w:divBdr>
                        <w:top w:val="none" w:sz="0" w:space="0" w:color="auto"/>
                        <w:left w:val="none" w:sz="0" w:space="0" w:color="auto"/>
                        <w:bottom w:val="none" w:sz="0" w:space="0" w:color="auto"/>
                        <w:right w:val="none" w:sz="0" w:space="0" w:color="auto"/>
                      </w:divBdr>
                      <w:divsChild>
                        <w:div w:id="1108891653">
                          <w:marLeft w:val="0"/>
                          <w:marRight w:val="0"/>
                          <w:marTop w:val="0"/>
                          <w:marBottom w:val="0"/>
                          <w:divBdr>
                            <w:top w:val="none" w:sz="0" w:space="0" w:color="auto"/>
                            <w:left w:val="none" w:sz="0" w:space="0" w:color="auto"/>
                            <w:bottom w:val="none" w:sz="0" w:space="0" w:color="auto"/>
                            <w:right w:val="none" w:sz="0" w:space="0" w:color="auto"/>
                          </w:divBdr>
                          <w:divsChild>
                            <w:div w:id="1800803611">
                              <w:marLeft w:val="0"/>
                              <w:marRight w:val="0"/>
                              <w:marTop w:val="0"/>
                              <w:marBottom w:val="0"/>
                              <w:divBdr>
                                <w:top w:val="none" w:sz="0" w:space="0" w:color="auto"/>
                                <w:left w:val="none" w:sz="0" w:space="0" w:color="auto"/>
                                <w:bottom w:val="none" w:sz="0" w:space="0" w:color="auto"/>
                                <w:right w:val="none" w:sz="0" w:space="0" w:color="auto"/>
                              </w:divBdr>
                              <w:divsChild>
                                <w:div w:id="1141118670">
                                  <w:marLeft w:val="0"/>
                                  <w:marRight w:val="0"/>
                                  <w:marTop w:val="0"/>
                                  <w:marBottom w:val="0"/>
                                  <w:divBdr>
                                    <w:top w:val="none" w:sz="0" w:space="0" w:color="auto"/>
                                    <w:left w:val="none" w:sz="0" w:space="0" w:color="auto"/>
                                    <w:bottom w:val="none" w:sz="0" w:space="0" w:color="auto"/>
                                    <w:right w:val="none" w:sz="0" w:space="0" w:color="auto"/>
                                  </w:divBdr>
                                  <w:divsChild>
                                    <w:div w:id="421530063">
                                      <w:marLeft w:val="0"/>
                                      <w:marRight w:val="0"/>
                                      <w:marTop w:val="0"/>
                                      <w:marBottom w:val="0"/>
                                      <w:divBdr>
                                        <w:top w:val="none" w:sz="0" w:space="0" w:color="auto"/>
                                        <w:left w:val="none" w:sz="0" w:space="0" w:color="auto"/>
                                        <w:bottom w:val="none" w:sz="0" w:space="0" w:color="auto"/>
                                        <w:right w:val="none" w:sz="0" w:space="0" w:color="auto"/>
                                      </w:divBdr>
                                      <w:divsChild>
                                        <w:div w:id="1322275886">
                                          <w:marLeft w:val="0"/>
                                          <w:marRight w:val="0"/>
                                          <w:marTop w:val="0"/>
                                          <w:marBottom w:val="0"/>
                                          <w:divBdr>
                                            <w:top w:val="none" w:sz="0" w:space="0" w:color="auto"/>
                                            <w:left w:val="none" w:sz="0" w:space="0" w:color="auto"/>
                                            <w:bottom w:val="none" w:sz="0" w:space="0" w:color="auto"/>
                                            <w:right w:val="none" w:sz="0" w:space="0" w:color="auto"/>
                                          </w:divBdr>
                                          <w:divsChild>
                                            <w:div w:id="602803730">
                                              <w:marLeft w:val="0"/>
                                              <w:marRight w:val="0"/>
                                              <w:marTop w:val="0"/>
                                              <w:marBottom w:val="0"/>
                                              <w:divBdr>
                                                <w:top w:val="none" w:sz="0" w:space="0" w:color="auto"/>
                                                <w:left w:val="none" w:sz="0" w:space="0" w:color="auto"/>
                                                <w:bottom w:val="none" w:sz="0" w:space="0" w:color="auto"/>
                                                <w:right w:val="none" w:sz="0" w:space="0" w:color="auto"/>
                                              </w:divBdr>
                                              <w:divsChild>
                                                <w:div w:id="1097293905">
                                                  <w:marLeft w:val="0"/>
                                                  <w:marRight w:val="0"/>
                                                  <w:marTop w:val="0"/>
                                                  <w:marBottom w:val="0"/>
                                                  <w:divBdr>
                                                    <w:top w:val="none" w:sz="0" w:space="0" w:color="auto"/>
                                                    <w:left w:val="none" w:sz="0" w:space="0" w:color="auto"/>
                                                    <w:bottom w:val="none" w:sz="0" w:space="0" w:color="auto"/>
                                                    <w:right w:val="none" w:sz="0" w:space="0" w:color="auto"/>
                                                  </w:divBdr>
                                                  <w:divsChild>
                                                    <w:div w:id="1269124510">
                                                      <w:marLeft w:val="0"/>
                                                      <w:marRight w:val="0"/>
                                                      <w:marTop w:val="0"/>
                                                      <w:marBottom w:val="0"/>
                                                      <w:divBdr>
                                                        <w:top w:val="none" w:sz="0" w:space="0" w:color="auto"/>
                                                        <w:left w:val="none" w:sz="0" w:space="0" w:color="auto"/>
                                                        <w:bottom w:val="none" w:sz="0" w:space="0" w:color="auto"/>
                                                        <w:right w:val="none" w:sz="0" w:space="0" w:color="auto"/>
                                                      </w:divBdr>
                                                      <w:divsChild>
                                                        <w:div w:id="1396469236">
                                                          <w:marLeft w:val="0"/>
                                                          <w:marRight w:val="0"/>
                                                          <w:marTop w:val="0"/>
                                                          <w:marBottom w:val="0"/>
                                                          <w:divBdr>
                                                            <w:top w:val="none" w:sz="0" w:space="0" w:color="auto"/>
                                                            <w:left w:val="none" w:sz="0" w:space="0" w:color="auto"/>
                                                            <w:bottom w:val="none" w:sz="0" w:space="0" w:color="auto"/>
                                                            <w:right w:val="none" w:sz="0" w:space="0" w:color="auto"/>
                                                          </w:divBdr>
                                                          <w:divsChild>
                                                            <w:div w:id="19293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232194">
      <w:bodyDiv w:val="1"/>
      <w:marLeft w:val="0"/>
      <w:marRight w:val="0"/>
      <w:marTop w:val="0"/>
      <w:marBottom w:val="0"/>
      <w:divBdr>
        <w:top w:val="none" w:sz="0" w:space="0" w:color="auto"/>
        <w:left w:val="none" w:sz="0" w:space="0" w:color="auto"/>
        <w:bottom w:val="none" w:sz="0" w:space="0" w:color="auto"/>
        <w:right w:val="none" w:sz="0" w:space="0" w:color="auto"/>
      </w:divBdr>
      <w:divsChild>
        <w:div w:id="1524397600">
          <w:marLeft w:val="0"/>
          <w:marRight w:val="0"/>
          <w:marTop w:val="0"/>
          <w:marBottom w:val="0"/>
          <w:divBdr>
            <w:top w:val="none" w:sz="0" w:space="0" w:color="auto"/>
            <w:left w:val="none" w:sz="0" w:space="0" w:color="auto"/>
            <w:bottom w:val="none" w:sz="0" w:space="0" w:color="auto"/>
            <w:right w:val="none" w:sz="0" w:space="0" w:color="auto"/>
          </w:divBdr>
          <w:divsChild>
            <w:div w:id="1996033527">
              <w:marLeft w:val="0"/>
              <w:marRight w:val="0"/>
              <w:marTop w:val="0"/>
              <w:marBottom w:val="0"/>
              <w:divBdr>
                <w:top w:val="none" w:sz="0" w:space="0" w:color="auto"/>
                <w:left w:val="none" w:sz="0" w:space="0" w:color="auto"/>
                <w:bottom w:val="none" w:sz="0" w:space="0" w:color="auto"/>
                <w:right w:val="none" w:sz="0" w:space="0" w:color="auto"/>
              </w:divBdr>
              <w:divsChild>
                <w:div w:id="748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237">
      <w:bodyDiv w:val="1"/>
      <w:marLeft w:val="0"/>
      <w:marRight w:val="0"/>
      <w:marTop w:val="0"/>
      <w:marBottom w:val="0"/>
      <w:divBdr>
        <w:top w:val="none" w:sz="0" w:space="0" w:color="auto"/>
        <w:left w:val="none" w:sz="0" w:space="0" w:color="auto"/>
        <w:bottom w:val="none" w:sz="0" w:space="0" w:color="auto"/>
        <w:right w:val="none" w:sz="0" w:space="0" w:color="auto"/>
      </w:divBdr>
    </w:div>
    <w:div w:id="1399982049">
      <w:bodyDiv w:val="1"/>
      <w:marLeft w:val="0"/>
      <w:marRight w:val="0"/>
      <w:marTop w:val="0"/>
      <w:marBottom w:val="0"/>
      <w:divBdr>
        <w:top w:val="none" w:sz="0" w:space="0" w:color="auto"/>
        <w:left w:val="none" w:sz="0" w:space="0" w:color="auto"/>
        <w:bottom w:val="none" w:sz="0" w:space="0" w:color="auto"/>
        <w:right w:val="none" w:sz="0" w:space="0" w:color="auto"/>
      </w:divBdr>
      <w:divsChild>
        <w:div w:id="1016151300">
          <w:marLeft w:val="0"/>
          <w:marRight w:val="0"/>
          <w:marTop w:val="0"/>
          <w:marBottom w:val="0"/>
          <w:divBdr>
            <w:top w:val="none" w:sz="0" w:space="0" w:color="auto"/>
            <w:left w:val="none" w:sz="0" w:space="0" w:color="auto"/>
            <w:bottom w:val="none" w:sz="0" w:space="0" w:color="auto"/>
            <w:right w:val="none" w:sz="0" w:space="0" w:color="auto"/>
          </w:divBdr>
          <w:divsChild>
            <w:div w:id="583954928">
              <w:marLeft w:val="0"/>
              <w:marRight w:val="0"/>
              <w:marTop w:val="0"/>
              <w:marBottom w:val="0"/>
              <w:divBdr>
                <w:top w:val="none" w:sz="0" w:space="0" w:color="auto"/>
                <w:left w:val="none" w:sz="0" w:space="0" w:color="auto"/>
                <w:bottom w:val="none" w:sz="0" w:space="0" w:color="auto"/>
                <w:right w:val="none" w:sz="0" w:space="0" w:color="auto"/>
              </w:divBdr>
              <w:divsChild>
                <w:div w:id="17730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7834">
      <w:bodyDiv w:val="1"/>
      <w:marLeft w:val="0"/>
      <w:marRight w:val="0"/>
      <w:marTop w:val="0"/>
      <w:marBottom w:val="0"/>
      <w:divBdr>
        <w:top w:val="none" w:sz="0" w:space="0" w:color="auto"/>
        <w:left w:val="none" w:sz="0" w:space="0" w:color="auto"/>
        <w:bottom w:val="none" w:sz="0" w:space="0" w:color="auto"/>
        <w:right w:val="none" w:sz="0" w:space="0" w:color="auto"/>
      </w:divBdr>
    </w:div>
    <w:div w:id="1465856176">
      <w:bodyDiv w:val="1"/>
      <w:marLeft w:val="0"/>
      <w:marRight w:val="0"/>
      <w:marTop w:val="0"/>
      <w:marBottom w:val="0"/>
      <w:divBdr>
        <w:top w:val="none" w:sz="0" w:space="0" w:color="auto"/>
        <w:left w:val="none" w:sz="0" w:space="0" w:color="auto"/>
        <w:bottom w:val="none" w:sz="0" w:space="0" w:color="auto"/>
        <w:right w:val="none" w:sz="0" w:space="0" w:color="auto"/>
      </w:divBdr>
    </w:div>
    <w:div w:id="1494031377">
      <w:bodyDiv w:val="1"/>
      <w:marLeft w:val="0"/>
      <w:marRight w:val="0"/>
      <w:marTop w:val="0"/>
      <w:marBottom w:val="0"/>
      <w:divBdr>
        <w:top w:val="none" w:sz="0" w:space="0" w:color="auto"/>
        <w:left w:val="none" w:sz="0" w:space="0" w:color="auto"/>
        <w:bottom w:val="none" w:sz="0" w:space="0" w:color="auto"/>
        <w:right w:val="none" w:sz="0" w:space="0" w:color="auto"/>
      </w:divBdr>
      <w:divsChild>
        <w:div w:id="232980612">
          <w:marLeft w:val="0"/>
          <w:marRight w:val="0"/>
          <w:marTop w:val="0"/>
          <w:marBottom w:val="0"/>
          <w:divBdr>
            <w:top w:val="none" w:sz="0" w:space="0" w:color="auto"/>
            <w:left w:val="none" w:sz="0" w:space="0" w:color="auto"/>
            <w:bottom w:val="none" w:sz="0" w:space="0" w:color="auto"/>
            <w:right w:val="none" w:sz="0" w:space="0" w:color="auto"/>
          </w:divBdr>
          <w:divsChild>
            <w:div w:id="603348101">
              <w:marLeft w:val="0"/>
              <w:marRight w:val="0"/>
              <w:marTop w:val="0"/>
              <w:marBottom w:val="0"/>
              <w:divBdr>
                <w:top w:val="none" w:sz="0" w:space="0" w:color="auto"/>
                <w:left w:val="none" w:sz="0" w:space="0" w:color="auto"/>
                <w:bottom w:val="none" w:sz="0" w:space="0" w:color="auto"/>
                <w:right w:val="none" w:sz="0" w:space="0" w:color="auto"/>
              </w:divBdr>
              <w:divsChild>
                <w:div w:id="8449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8641">
      <w:bodyDiv w:val="1"/>
      <w:marLeft w:val="0"/>
      <w:marRight w:val="0"/>
      <w:marTop w:val="0"/>
      <w:marBottom w:val="0"/>
      <w:divBdr>
        <w:top w:val="none" w:sz="0" w:space="0" w:color="auto"/>
        <w:left w:val="none" w:sz="0" w:space="0" w:color="auto"/>
        <w:bottom w:val="none" w:sz="0" w:space="0" w:color="auto"/>
        <w:right w:val="none" w:sz="0" w:space="0" w:color="auto"/>
      </w:divBdr>
    </w:div>
    <w:div w:id="1645113307">
      <w:bodyDiv w:val="1"/>
      <w:marLeft w:val="0"/>
      <w:marRight w:val="0"/>
      <w:marTop w:val="0"/>
      <w:marBottom w:val="0"/>
      <w:divBdr>
        <w:top w:val="none" w:sz="0" w:space="0" w:color="auto"/>
        <w:left w:val="none" w:sz="0" w:space="0" w:color="auto"/>
        <w:bottom w:val="none" w:sz="0" w:space="0" w:color="auto"/>
        <w:right w:val="none" w:sz="0" w:space="0" w:color="auto"/>
      </w:divBdr>
    </w:div>
    <w:div w:id="1669479918">
      <w:bodyDiv w:val="1"/>
      <w:marLeft w:val="0"/>
      <w:marRight w:val="0"/>
      <w:marTop w:val="0"/>
      <w:marBottom w:val="0"/>
      <w:divBdr>
        <w:top w:val="none" w:sz="0" w:space="0" w:color="auto"/>
        <w:left w:val="none" w:sz="0" w:space="0" w:color="auto"/>
        <w:bottom w:val="none" w:sz="0" w:space="0" w:color="auto"/>
        <w:right w:val="none" w:sz="0" w:space="0" w:color="auto"/>
      </w:divBdr>
    </w:div>
    <w:div w:id="1763187027">
      <w:bodyDiv w:val="1"/>
      <w:marLeft w:val="0"/>
      <w:marRight w:val="0"/>
      <w:marTop w:val="0"/>
      <w:marBottom w:val="0"/>
      <w:divBdr>
        <w:top w:val="none" w:sz="0" w:space="0" w:color="auto"/>
        <w:left w:val="none" w:sz="0" w:space="0" w:color="auto"/>
        <w:bottom w:val="none" w:sz="0" w:space="0" w:color="auto"/>
        <w:right w:val="none" w:sz="0" w:space="0" w:color="auto"/>
      </w:divBdr>
      <w:divsChild>
        <w:div w:id="1575046502">
          <w:marLeft w:val="0"/>
          <w:marRight w:val="0"/>
          <w:marTop w:val="0"/>
          <w:marBottom w:val="0"/>
          <w:divBdr>
            <w:top w:val="none" w:sz="0" w:space="0" w:color="auto"/>
            <w:left w:val="none" w:sz="0" w:space="0" w:color="auto"/>
            <w:bottom w:val="none" w:sz="0" w:space="0" w:color="auto"/>
            <w:right w:val="none" w:sz="0" w:space="0" w:color="auto"/>
          </w:divBdr>
          <w:divsChild>
            <w:div w:id="488062993">
              <w:marLeft w:val="0"/>
              <w:marRight w:val="0"/>
              <w:marTop w:val="0"/>
              <w:marBottom w:val="0"/>
              <w:divBdr>
                <w:top w:val="none" w:sz="0" w:space="0" w:color="auto"/>
                <w:left w:val="none" w:sz="0" w:space="0" w:color="auto"/>
                <w:bottom w:val="none" w:sz="0" w:space="0" w:color="auto"/>
                <w:right w:val="none" w:sz="0" w:space="0" w:color="auto"/>
              </w:divBdr>
              <w:divsChild>
                <w:div w:id="18963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3442">
      <w:bodyDiv w:val="1"/>
      <w:marLeft w:val="0"/>
      <w:marRight w:val="0"/>
      <w:marTop w:val="0"/>
      <w:marBottom w:val="0"/>
      <w:divBdr>
        <w:top w:val="none" w:sz="0" w:space="0" w:color="auto"/>
        <w:left w:val="none" w:sz="0" w:space="0" w:color="auto"/>
        <w:bottom w:val="none" w:sz="0" w:space="0" w:color="auto"/>
        <w:right w:val="none" w:sz="0" w:space="0" w:color="auto"/>
      </w:divBdr>
    </w:div>
    <w:div w:id="1796673056">
      <w:bodyDiv w:val="1"/>
      <w:marLeft w:val="0"/>
      <w:marRight w:val="0"/>
      <w:marTop w:val="0"/>
      <w:marBottom w:val="0"/>
      <w:divBdr>
        <w:top w:val="none" w:sz="0" w:space="0" w:color="auto"/>
        <w:left w:val="none" w:sz="0" w:space="0" w:color="auto"/>
        <w:bottom w:val="none" w:sz="0" w:space="0" w:color="auto"/>
        <w:right w:val="none" w:sz="0" w:space="0" w:color="auto"/>
      </w:divBdr>
      <w:divsChild>
        <w:div w:id="2085255800">
          <w:marLeft w:val="102"/>
          <w:marRight w:val="102"/>
          <w:marTop w:val="0"/>
          <w:marBottom w:val="0"/>
          <w:divBdr>
            <w:top w:val="none" w:sz="0" w:space="0" w:color="auto"/>
            <w:left w:val="none" w:sz="0" w:space="0" w:color="auto"/>
            <w:bottom w:val="none" w:sz="0" w:space="0" w:color="auto"/>
            <w:right w:val="none" w:sz="0" w:space="0" w:color="auto"/>
          </w:divBdr>
          <w:divsChild>
            <w:div w:id="1599826304">
              <w:marLeft w:val="0"/>
              <w:marRight w:val="0"/>
              <w:marTop w:val="0"/>
              <w:marBottom w:val="0"/>
              <w:divBdr>
                <w:top w:val="none" w:sz="0" w:space="0" w:color="auto"/>
                <w:left w:val="none" w:sz="0" w:space="0" w:color="auto"/>
                <w:bottom w:val="none" w:sz="0" w:space="0" w:color="auto"/>
                <w:right w:val="none" w:sz="0" w:space="0" w:color="auto"/>
              </w:divBdr>
              <w:divsChild>
                <w:div w:id="1778793242">
                  <w:marLeft w:val="0"/>
                  <w:marRight w:val="0"/>
                  <w:marTop w:val="0"/>
                  <w:marBottom w:val="0"/>
                  <w:divBdr>
                    <w:top w:val="none" w:sz="0" w:space="0" w:color="auto"/>
                    <w:left w:val="none" w:sz="0" w:space="0" w:color="auto"/>
                    <w:bottom w:val="none" w:sz="0" w:space="0" w:color="auto"/>
                    <w:right w:val="none" w:sz="0" w:space="0" w:color="auto"/>
                  </w:divBdr>
                  <w:divsChild>
                    <w:div w:id="1333025054">
                      <w:marLeft w:val="0"/>
                      <w:marRight w:val="0"/>
                      <w:marTop w:val="0"/>
                      <w:marBottom w:val="0"/>
                      <w:divBdr>
                        <w:top w:val="none" w:sz="0" w:space="0" w:color="auto"/>
                        <w:left w:val="none" w:sz="0" w:space="0" w:color="auto"/>
                        <w:bottom w:val="none" w:sz="0" w:space="0" w:color="auto"/>
                        <w:right w:val="none" w:sz="0" w:space="0" w:color="auto"/>
                      </w:divBdr>
                      <w:divsChild>
                        <w:div w:id="1874221444">
                          <w:marLeft w:val="0"/>
                          <w:marRight w:val="0"/>
                          <w:marTop w:val="0"/>
                          <w:marBottom w:val="0"/>
                          <w:divBdr>
                            <w:top w:val="none" w:sz="0" w:space="0" w:color="auto"/>
                            <w:left w:val="none" w:sz="0" w:space="0" w:color="auto"/>
                            <w:bottom w:val="none" w:sz="0" w:space="0" w:color="auto"/>
                            <w:right w:val="none" w:sz="0" w:space="0" w:color="auto"/>
                          </w:divBdr>
                          <w:divsChild>
                            <w:div w:id="1343430704">
                              <w:marLeft w:val="0"/>
                              <w:marRight w:val="0"/>
                              <w:marTop w:val="0"/>
                              <w:marBottom w:val="0"/>
                              <w:divBdr>
                                <w:top w:val="none" w:sz="0" w:space="0" w:color="auto"/>
                                <w:left w:val="none" w:sz="0" w:space="0" w:color="auto"/>
                                <w:bottom w:val="none" w:sz="0" w:space="0" w:color="auto"/>
                                <w:right w:val="none" w:sz="0" w:space="0" w:color="auto"/>
                              </w:divBdr>
                              <w:divsChild>
                                <w:div w:id="302546922">
                                  <w:marLeft w:val="0"/>
                                  <w:marRight w:val="0"/>
                                  <w:marTop w:val="0"/>
                                  <w:marBottom w:val="0"/>
                                  <w:divBdr>
                                    <w:top w:val="none" w:sz="0" w:space="0" w:color="auto"/>
                                    <w:left w:val="none" w:sz="0" w:space="0" w:color="auto"/>
                                    <w:bottom w:val="none" w:sz="0" w:space="0" w:color="auto"/>
                                    <w:right w:val="none" w:sz="0" w:space="0" w:color="auto"/>
                                  </w:divBdr>
                                  <w:divsChild>
                                    <w:div w:id="1244994989">
                                      <w:marLeft w:val="0"/>
                                      <w:marRight w:val="0"/>
                                      <w:marTop w:val="0"/>
                                      <w:marBottom w:val="0"/>
                                      <w:divBdr>
                                        <w:top w:val="none" w:sz="0" w:space="0" w:color="auto"/>
                                        <w:left w:val="none" w:sz="0" w:space="0" w:color="auto"/>
                                        <w:bottom w:val="none" w:sz="0" w:space="0" w:color="auto"/>
                                        <w:right w:val="none" w:sz="0" w:space="0" w:color="auto"/>
                                      </w:divBdr>
                                      <w:divsChild>
                                        <w:div w:id="2091928570">
                                          <w:marLeft w:val="0"/>
                                          <w:marRight w:val="0"/>
                                          <w:marTop w:val="0"/>
                                          <w:marBottom w:val="0"/>
                                          <w:divBdr>
                                            <w:top w:val="none" w:sz="0" w:space="0" w:color="auto"/>
                                            <w:left w:val="none" w:sz="0" w:space="0" w:color="auto"/>
                                            <w:bottom w:val="none" w:sz="0" w:space="0" w:color="auto"/>
                                            <w:right w:val="none" w:sz="0" w:space="0" w:color="auto"/>
                                          </w:divBdr>
                                          <w:divsChild>
                                            <w:div w:id="1096437855">
                                              <w:marLeft w:val="0"/>
                                              <w:marRight w:val="0"/>
                                              <w:marTop w:val="0"/>
                                              <w:marBottom w:val="0"/>
                                              <w:divBdr>
                                                <w:top w:val="none" w:sz="0" w:space="0" w:color="auto"/>
                                                <w:left w:val="none" w:sz="0" w:space="0" w:color="auto"/>
                                                <w:bottom w:val="none" w:sz="0" w:space="0" w:color="auto"/>
                                                <w:right w:val="none" w:sz="0" w:space="0" w:color="auto"/>
                                              </w:divBdr>
                                              <w:divsChild>
                                                <w:div w:id="696850996">
                                                  <w:marLeft w:val="0"/>
                                                  <w:marRight w:val="0"/>
                                                  <w:marTop w:val="0"/>
                                                  <w:marBottom w:val="0"/>
                                                  <w:divBdr>
                                                    <w:top w:val="none" w:sz="0" w:space="0" w:color="auto"/>
                                                    <w:left w:val="none" w:sz="0" w:space="0" w:color="auto"/>
                                                    <w:bottom w:val="none" w:sz="0" w:space="0" w:color="auto"/>
                                                    <w:right w:val="none" w:sz="0" w:space="0" w:color="auto"/>
                                                  </w:divBdr>
                                                  <w:divsChild>
                                                    <w:div w:id="2018385032">
                                                      <w:marLeft w:val="0"/>
                                                      <w:marRight w:val="0"/>
                                                      <w:marTop w:val="0"/>
                                                      <w:marBottom w:val="0"/>
                                                      <w:divBdr>
                                                        <w:top w:val="none" w:sz="0" w:space="0" w:color="auto"/>
                                                        <w:left w:val="none" w:sz="0" w:space="0" w:color="auto"/>
                                                        <w:bottom w:val="none" w:sz="0" w:space="0" w:color="auto"/>
                                                        <w:right w:val="none" w:sz="0" w:space="0" w:color="auto"/>
                                                      </w:divBdr>
                                                      <w:divsChild>
                                                        <w:div w:id="1272056038">
                                                          <w:marLeft w:val="0"/>
                                                          <w:marRight w:val="0"/>
                                                          <w:marTop w:val="0"/>
                                                          <w:marBottom w:val="0"/>
                                                          <w:divBdr>
                                                            <w:top w:val="none" w:sz="0" w:space="0" w:color="auto"/>
                                                            <w:left w:val="none" w:sz="0" w:space="0" w:color="auto"/>
                                                            <w:bottom w:val="none" w:sz="0" w:space="0" w:color="auto"/>
                                                            <w:right w:val="none" w:sz="0" w:space="0" w:color="auto"/>
                                                          </w:divBdr>
                                                          <w:divsChild>
                                                            <w:div w:id="8288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722367">
      <w:bodyDiv w:val="1"/>
      <w:marLeft w:val="0"/>
      <w:marRight w:val="0"/>
      <w:marTop w:val="0"/>
      <w:marBottom w:val="0"/>
      <w:divBdr>
        <w:top w:val="none" w:sz="0" w:space="0" w:color="auto"/>
        <w:left w:val="none" w:sz="0" w:space="0" w:color="auto"/>
        <w:bottom w:val="none" w:sz="0" w:space="0" w:color="auto"/>
        <w:right w:val="none" w:sz="0" w:space="0" w:color="auto"/>
      </w:divBdr>
    </w:div>
    <w:div w:id="1884905860">
      <w:bodyDiv w:val="1"/>
      <w:marLeft w:val="0"/>
      <w:marRight w:val="0"/>
      <w:marTop w:val="0"/>
      <w:marBottom w:val="0"/>
      <w:divBdr>
        <w:top w:val="none" w:sz="0" w:space="0" w:color="auto"/>
        <w:left w:val="none" w:sz="0" w:space="0" w:color="auto"/>
        <w:bottom w:val="none" w:sz="0" w:space="0" w:color="auto"/>
        <w:right w:val="none" w:sz="0" w:space="0" w:color="auto"/>
      </w:divBdr>
    </w:div>
    <w:div w:id="20976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29D3-10E3-CC48-8165-A744841D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25</Pages>
  <Words>5779</Words>
  <Characters>32942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San Miguel</dc:creator>
  <cp:keywords/>
  <dc:description/>
  <cp:lastModifiedBy>Gabe San Miguel</cp:lastModifiedBy>
  <cp:revision>43</cp:revision>
  <dcterms:created xsi:type="dcterms:W3CDTF">2022-08-03T22:08:00Z</dcterms:created>
  <dcterms:modified xsi:type="dcterms:W3CDTF">2022-10-15T20:25:00Z</dcterms:modified>
</cp:coreProperties>
</file>