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42D9" w14:textId="77777777" w:rsidR="00161095" w:rsidRDefault="00161095" w:rsidP="00161095">
      <w:pPr>
        <w:jc w:val="center"/>
      </w:pPr>
    </w:p>
    <w:p w14:paraId="35B130F6" w14:textId="77777777" w:rsidR="00161095" w:rsidRDefault="00161095" w:rsidP="00161095">
      <w:pPr>
        <w:jc w:val="center"/>
      </w:pPr>
    </w:p>
    <w:p w14:paraId="69B014B2" w14:textId="77777777" w:rsidR="00161095" w:rsidRDefault="00161095" w:rsidP="00161095">
      <w:pPr>
        <w:jc w:val="center"/>
      </w:pPr>
    </w:p>
    <w:p w14:paraId="2316EDDF" w14:textId="77777777" w:rsidR="00161095" w:rsidRDefault="00161095" w:rsidP="00161095">
      <w:pPr>
        <w:jc w:val="center"/>
      </w:pPr>
    </w:p>
    <w:p w14:paraId="41B04B7E" w14:textId="77777777" w:rsidR="00161095" w:rsidRDefault="00161095" w:rsidP="00161095">
      <w:pPr>
        <w:jc w:val="center"/>
      </w:pPr>
    </w:p>
    <w:p w14:paraId="234D058E" w14:textId="77777777" w:rsidR="00161095" w:rsidRDefault="00161095" w:rsidP="00161095">
      <w:pPr>
        <w:jc w:val="center"/>
      </w:pPr>
    </w:p>
    <w:p w14:paraId="5CDAD7D3" w14:textId="77777777" w:rsidR="00161095" w:rsidRDefault="00161095" w:rsidP="00161095">
      <w:pPr>
        <w:jc w:val="center"/>
      </w:pPr>
    </w:p>
    <w:p w14:paraId="52969F2E" w14:textId="77777777" w:rsidR="00161095" w:rsidRDefault="00161095" w:rsidP="00161095">
      <w:pPr>
        <w:jc w:val="center"/>
      </w:pPr>
    </w:p>
    <w:p w14:paraId="77658644" w14:textId="77777777" w:rsidR="00161095" w:rsidRDefault="00161095" w:rsidP="00161095">
      <w:pPr>
        <w:jc w:val="center"/>
      </w:pPr>
    </w:p>
    <w:p w14:paraId="0CDCE7C0" w14:textId="77777777" w:rsidR="00161095" w:rsidRDefault="00161095" w:rsidP="00161095">
      <w:pPr>
        <w:jc w:val="center"/>
      </w:pPr>
    </w:p>
    <w:p w14:paraId="11B36CC5" w14:textId="77777777" w:rsidR="00161095" w:rsidRDefault="00161095" w:rsidP="00161095">
      <w:pPr>
        <w:jc w:val="center"/>
      </w:pPr>
    </w:p>
    <w:p w14:paraId="2B608800" w14:textId="77777777" w:rsidR="00161095" w:rsidRPr="00D62317" w:rsidRDefault="00161095" w:rsidP="00161095">
      <w:pPr>
        <w:spacing w:line="480" w:lineRule="auto"/>
        <w:jc w:val="center"/>
      </w:pPr>
      <w:r w:rsidRPr="00D62317">
        <w:rPr>
          <w:color w:val="222222"/>
          <w:shd w:val="clear" w:color="auto" w:fill="FFFFFF"/>
        </w:rPr>
        <w:t xml:space="preserve">Longitudinal outcomes from a pilot randomized controlled trial of telehealth </w:t>
      </w:r>
      <w:r>
        <w:rPr>
          <w:color w:val="222222"/>
          <w:shd w:val="clear" w:color="auto" w:fill="FFFFFF"/>
        </w:rPr>
        <w:t>acceptance</w:t>
      </w:r>
      <w:r w:rsidRPr="00D62317">
        <w:rPr>
          <w:color w:val="222222"/>
          <w:shd w:val="clear" w:color="auto" w:fill="FFFFFF"/>
        </w:rPr>
        <w:t>-enhanced behavior therapy for adolescents with trichotillomania</w:t>
      </w:r>
      <w:r w:rsidRPr="00D62317">
        <w:t xml:space="preserve"> </w:t>
      </w:r>
    </w:p>
    <w:p w14:paraId="314E37F3" w14:textId="77777777" w:rsidR="00161095" w:rsidRPr="00A76162" w:rsidRDefault="00161095" w:rsidP="00161095">
      <w:pPr>
        <w:spacing w:line="480" w:lineRule="auto"/>
        <w:jc w:val="center"/>
        <w:rPr>
          <w:vertAlign w:val="superscript"/>
        </w:rPr>
      </w:pPr>
      <w:r>
        <w:t>Julie M. Petersen, M.S.</w:t>
      </w:r>
      <w:r>
        <w:rPr>
          <w:vertAlign w:val="superscript"/>
        </w:rPr>
        <w:t>1</w:t>
      </w:r>
    </w:p>
    <w:p w14:paraId="20C537DA" w14:textId="77777777" w:rsidR="00161095" w:rsidRPr="00A76162" w:rsidRDefault="00161095" w:rsidP="00161095">
      <w:pPr>
        <w:spacing w:line="480" w:lineRule="auto"/>
        <w:jc w:val="center"/>
        <w:rPr>
          <w:vertAlign w:val="superscript"/>
        </w:rPr>
      </w:pPr>
      <w:r>
        <w:t>Jennifer L. Barney, M.S.</w:t>
      </w:r>
      <w:r>
        <w:rPr>
          <w:vertAlign w:val="superscript"/>
        </w:rPr>
        <w:t>1</w:t>
      </w:r>
    </w:p>
    <w:p w14:paraId="48FC601D" w14:textId="77777777" w:rsidR="00161095" w:rsidRPr="00A76162" w:rsidRDefault="00161095" w:rsidP="00161095">
      <w:pPr>
        <w:spacing w:line="480" w:lineRule="auto"/>
        <w:jc w:val="center"/>
        <w:rPr>
          <w:vertAlign w:val="superscript"/>
        </w:rPr>
      </w:pPr>
      <w:r>
        <w:t xml:space="preserve">Jeremy </w:t>
      </w:r>
      <w:proofErr w:type="spellStart"/>
      <w:r>
        <w:t>Fruge</w:t>
      </w:r>
      <w:proofErr w:type="spellEnd"/>
      <w:r>
        <w:t>, M.S.</w:t>
      </w:r>
      <w:r>
        <w:rPr>
          <w:vertAlign w:val="superscript"/>
        </w:rPr>
        <w:t>1</w:t>
      </w:r>
    </w:p>
    <w:p w14:paraId="1500220A" w14:textId="77777777" w:rsidR="00161095" w:rsidRPr="00A76162" w:rsidRDefault="00161095" w:rsidP="00161095">
      <w:pPr>
        <w:spacing w:line="480" w:lineRule="auto"/>
        <w:jc w:val="center"/>
        <w:rPr>
          <w:vertAlign w:val="superscript"/>
        </w:rPr>
      </w:pPr>
      <w:r>
        <w:t>Eric B. Lee, Ph.D.</w:t>
      </w:r>
      <w:r>
        <w:rPr>
          <w:vertAlign w:val="superscript"/>
        </w:rPr>
        <w:t>2</w:t>
      </w:r>
    </w:p>
    <w:p w14:paraId="41268385" w14:textId="77777777" w:rsidR="00161095" w:rsidRDefault="00161095" w:rsidP="00161095">
      <w:pPr>
        <w:spacing w:line="480" w:lineRule="auto"/>
        <w:jc w:val="center"/>
      </w:pPr>
      <w:r>
        <w:t>Michael E. Levin, Ph.D.</w:t>
      </w:r>
      <w:r w:rsidRPr="00A76162">
        <w:rPr>
          <w:vertAlign w:val="superscript"/>
        </w:rPr>
        <w:t>1</w:t>
      </w:r>
    </w:p>
    <w:p w14:paraId="7D904D65" w14:textId="77777777" w:rsidR="00161095" w:rsidRDefault="00161095" w:rsidP="00161095">
      <w:pPr>
        <w:spacing w:line="480" w:lineRule="auto"/>
        <w:jc w:val="center"/>
      </w:pPr>
      <w:r>
        <w:t>Michael P. Twohig, Ph.D.</w:t>
      </w:r>
      <w:r w:rsidRPr="00A76162">
        <w:rPr>
          <w:vertAlign w:val="superscript"/>
        </w:rPr>
        <w:t>1</w:t>
      </w:r>
    </w:p>
    <w:p w14:paraId="23F611DB" w14:textId="77777777" w:rsidR="00161095" w:rsidRDefault="00161095" w:rsidP="00161095">
      <w:pPr>
        <w:spacing w:line="480" w:lineRule="auto"/>
        <w:jc w:val="center"/>
      </w:pPr>
      <w:r>
        <w:rPr>
          <w:vertAlign w:val="superscript"/>
        </w:rPr>
        <w:t>1</w:t>
      </w:r>
      <w:r>
        <w:t>Utah State University</w:t>
      </w:r>
    </w:p>
    <w:p w14:paraId="3217C345" w14:textId="77777777" w:rsidR="00161095" w:rsidRDefault="00161095" w:rsidP="00161095">
      <w:pPr>
        <w:spacing w:line="480" w:lineRule="auto"/>
        <w:jc w:val="center"/>
      </w:pPr>
      <w:r>
        <w:rPr>
          <w:vertAlign w:val="superscript"/>
        </w:rPr>
        <w:t>2</w:t>
      </w:r>
      <w:r>
        <w:t>Southern Illinois University</w:t>
      </w:r>
    </w:p>
    <w:p w14:paraId="54AAF732" w14:textId="77777777" w:rsidR="00161095" w:rsidRDefault="00161095" w:rsidP="00161095">
      <w:pPr>
        <w:jc w:val="center"/>
      </w:pPr>
    </w:p>
    <w:p w14:paraId="3DDA1DCB" w14:textId="77777777" w:rsidR="00161095" w:rsidRDefault="00161095" w:rsidP="00161095"/>
    <w:p w14:paraId="73B5CC69" w14:textId="77777777" w:rsidR="00161095" w:rsidRDefault="00161095" w:rsidP="00161095">
      <w:pPr>
        <w:spacing w:line="480" w:lineRule="auto"/>
        <w:jc w:val="center"/>
      </w:pPr>
    </w:p>
    <w:p w14:paraId="206FC5EB" w14:textId="77777777" w:rsidR="00161095" w:rsidRDefault="00161095" w:rsidP="00161095">
      <w:pPr>
        <w:spacing w:line="480" w:lineRule="auto"/>
        <w:jc w:val="center"/>
      </w:pPr>
    </w:p>
    <w:p w14:paraId="7B087FE4" w14:textId="77777777" w:rsidR="00161095" w:rsidRDefault="00161095" w:rsidP="00161095">
      <w:pPr>
        <w:spacing w:line="480" w:lineRule="auto"/>
      </w:pPr>
    </w:p>
    <w:p w14:paraId="101F3E86" w14:textId="77777777" w:rsidR="00161095" w:rsidRDefault="00161095" w:rsidP="00161095">
      <w:pPr>
        <w:spacing w:line="480" w:lineRule="auto"/>
      </w:pPr>
    </w:p>
    <w:p w14:paraId="19AE555A" w14:textId="77777777" w:rsidR="00161095" w:rsidRPr="007346CC" w:rsidRDefault="00161095" w:rsidP="00161095">
      <w:r w:rsidRPr="007346CC">
        <w:t xml:space="preserve">Correspondence concerning this article should be addressed to Julie Petersen, Department of Psychology, Utah State University, 2810 Old Main Hill, Logan, UT 84322, United States. Phone: (435) 527-5140, Email: </w:t>
      </w:r>
      <w:r>
        <w:t>Juliana.Petersen@usu.edu</w:t>
      </w:r>
    </w:p>
    <w:p w14:paraId="585E7B5B" w14:textId="77777777" w:rsidR="00943995" w:rsidRDefault="00943995">
      <w:pPr>
        <w:rPr>
          <w:b/>
          <w:bCs/>
        </w:rPr>
      </w:pPr>
      <w:r>
        <w:rPr>
          <w:b/>
          <w:bCs/>
        </w:rPr>
        <w:br w:type="page"/>
      </w:r>
    </w:p>
    <w:p w14:paraId="6345739F" w14:textId="77777777" w:rsidR="00943995" w:rsidRPr="00943995" w:rsidRDefault="00943995" w:rsidP="00943995">
      <w:pPr>
        <w:spacing w:line="480" w:lineRule="auto"/>
        <w:jc w:val="center"/>
        <w:rPr>
          <w:i/>
          <w:iCs/>
        </w:rPr>
      </w:pPr>
      <w:r w:rsidRPr="00943995">
        <w:rPr>
          <w:i/>
          <w:iCs/>
        </w:rPr>
        <w:lastRenderedPageBreak/>
        <w:t>Highlights</w:t>
      </w:r>
    </w:p>
    <w:p w14:paraId="7A718083" w14:textId="77777777" w:rsidR="00943995" w:rsidRPr="00943995" w:rsidRDefault="00943995" w:rsidP="00943995">
      <w:pPr>
        <w:pStyle w:val="ListParagraph"/>
        <w:numPr>
          <w:ilvl w:val="0"/>
          <w:numId w:val="1"/>
        </w:numPr>
        <w:spacing w:line="480" w:lineRule="auto"/>
        <w:rPr>
          <w:rFonts w:ascii="Times New Roman" w:hAnsi="Times New Roman" w:cs="Times New Roman"/>
        </w:rPr>
      </w:pPr>
      <w:r w:rsidRPr="00943995">
        <w:rPr>
          <w:rFonts w:ascii="Times New Roman" w:hAnsi="Times New Roman" w:cs="Times New Roman"/>
        </w:rPr>
        <w:t>Medium to large decreases were found over time for trichotillomania severity</w:t>
      </w:r>
    </w:p>
    <w:p w14:paraId="6F5C150D" w14:textId="77777777" w:rsidR="00943995" w:rsidRPr="00943995" w:rsidRDefault="00943995" w:rsidP="00943995">
      <w:pPr>
        <w:pStyle w:val="ListParagraph"/>
        <w:numPr>
          <w:ilvl w:val="0"/>
          <w:numId w:val="1"/>
        </w:numPr>
        <w:spacing w:line="480" w:lineRule="auto"/>
        <w:rPr>
          <w:rFonts w:ascii="Times New Roman" w:hAnsi="Times New Roman" w:cs="Times New Roman"/>
        </w:rPr>
      </w:pPr>
      <w:r w:rsidRPr="00943995">
        <w:rPr>
          <w:rFonts w:ascii="Times New Roman" w:hAnsi="Times New Roman" w:cs="Times New Roman"/>
        </w:rPr>
        <w:t>Medium to large decreases were found over time for trichotillomania distress</w:t>
      </w:r>
    </w:p>
    <w:p w14:paraId="3AA0907B" w14:textId="77777777" w:rsidR="00943995" w:rsidRPr="00943995" w:rsidRDefault="00943995" w:rsidP="00943995">
      <w:pPr>
        <w:pStyle w:val="ListParagraph"/>
        <w:numPr>
          <w:ilvl w:val="0"/>
          <w:numId w:val="1"/>
        </w:numPr>
        <w:spacing w:line="480" w:lineRule="auto"/>
        <w:rPr>
          <w:rFonts w:ascii="Times New Roman" w:hAnsi="Times New Roman" w:cs="Times New Roman"/>
        </w:rPr>
      </w:pPr>
      <w:r w:rsidRPr="00943995">
        <w:rPr>
          <w:rFonts w:ascii="Times New Roman" w:hAnsi="Times New Roman" w:cs="Times New Roman"/>
        </w:rPr>
        <w:t>Improvements over time were also found for general functioning</w:t>
      </w:r>
    </w:p>
    <w:p w14:paraId="3CD382CB" w14:textId="77777777" w:rsidR="00943995" w:rsidRPr="00943995" w:rsidRDefault="00943995" w:rsidP="00943995">
      <w:pPr>
        <w:pStyle w:val="ListParagraph"/>
        <w:numPr>
          <w:ilvl w:val="0"/>
          <w:numId w:val="1"/>
        </w:numPr>
        <w:spacing w:line="480" w:lineRule="auto"/>
        <w:rPr>
          <w:rFonts w:ascii="Times New Roman" w:hAnsi="Times New Roman" w:cs="Times New Roman"/>
        </w:rPr>
      </w:pPr>
      <w:r w:rsidRPr="00943995">
        <w:rPr>
          <w:rFonts w:ascii="Times New Roman" w:hAnsi="Times New Roman" w:cs="Times New Roman"/>
        </w:rPr>
        <w:t>Trichotillomania-related psychological inflexibility improved</w:t>
      </w:r>
    </w:p>
    <w:p w14:paraId="194D83DC" w14:textId="77777777" w:rsidR="00943995" w:rsidRPr="00943995" w:rsidRDefault="00943995" w:rsidP="00943995">
      <w:pPr>
        <w:pStyle w:val="ListParagraph"/>
        <w:numPr>
          <w:ilvl w:val="0"/>
          <w:numId w:val="1"/>
        </w:numPr>
        <w:spacing w:line="480" w:lineRule="auto"/>
        <w:rPr>
          <w:rFonts w:ascii="Times New Roman" w:hAnsi="Times New Roman" w:cs="Times New Roman"/>
        </w:rPr>
      </w:pPr>
      <w:r w:rsidRPr="00943995">
        <w:rPr>
          <w:rFonts w:ascii="Times New Roman" w:hAnsi="Times New Roman" w:cs="Times New Roman"/>
        </w:rPr>
        <w:t>No significant effects were found for general or parent psychological inflexibility</w:t>
      </w:r>
    </w:p>
    <w:p w14:paraId="6D5F27A1" w14:textId="2086208B" w:rsidR="00161095" w:rsidRPr="00943995" w:rsidRDefault="00161095">
      <w:r w:rsidRPr="00943995">
        <w:rPr>
          <w:b/>
          <w:bCs/>
        </w:rPr>
        <w:br w:type="page"/>
      </w:r>
    </w:p>
    <w:p w14:paraId="2F4B4E0B" w14:textId="41762B12" w:rsidR="003B1ECB" w:rsidRPr="00675C2E" w:rsidRDefault="003B1ECB" w:rsidP="00ED3E8F">
      <w:pPr>
        <w:jc w:val="center"/>
        <w:rPr>
          <w:b/>
          <w:bCs/>
        </w:rPr>
      </w:pPr>
      <w:r>
        <w:rPr>
          <w:b/>
          <w:bCs/>
        </w:rPr>
        <w:lastRenderedPageBreak/>
        <w:t>Abstract</w:t>
      </w:r>
    </w:p>
    <w:p w14:paraId="76FDC7BF" w14:textId="77777777" w:rsidR="003B1ECB" w:rsidRDefault="003B1ECB" w:rsidP="00ED3E8F">
      <w:pPr>
        <w:jc w:val="center"/>
      </w:pPr>
    </w:p>
    <w:p w14:paraId="00E4DCBB" w14:textId="56FA366E" w:rsidR="007822B0" w:rsidRDefault="00830AA6" w:rsidP="0044342E">
      <w:pPr>
        <w:spacing w:line="480" w:lineRule="auto"/>
      </w:pPr>
      <w:r>
        <w:tab/>
        <w:t>Trichotillomania is a chronic and impairing disorder</w:t>
      </w:r>
      <w:r w:rsidR="009B5905">
        <w:t xml:space="preserve"> typically</w:t>
      </w:r>
      <w:r>
        <w:t xml:space="preserve"> beginning in youth. There is growing research on the use of acceptance-enhanced behavior therapy (AEBT) for trichotillomania in youth. However, few studies explore long</w:t>
      </w:r>
      <w:r w:rsidR="00821F31">
        <w:t xml:space="preserve">-term </w:t>
      </w:r>
      <w:r>
        <w:t>outcome</w:t>
      </w:r>
      <w:r w:rsidR="00A85015">
        <w:t>s</w:t>
      </w:r>
      <w:r>
        <w:t xml:space="preserve"> for youth who receive treatment for trichotillomania</w:t>
      </w:r>
      <w:r w:rsidR="0001114D">
        <w:t>, particularly AEBT</w:t>
      </w:r>
      <w:r>
        <w:t>. The</w:t>
      </w:r>
      <w:r w:rsidR="009C149A">
        <w:t xml:space="preserve"> current</w:t>
      </w:r>
      <w:r>
        <w:t xml:space="preserve"> stud</w:t>
      </w:r>
      <w:r w:rsidR="00584154">
        <w:t>y</w:t>
      </w:r>
      <w:r>
        <w:t xml:space="preserve"> </w:t>
      </w:r>
      <w:r w:rsidR="009C149A">
        <w:t xml:space="preserve">presents </w:t>
      </w:r>
      <w:r>
        <w:t>longitudinal data from a</w:t>
      </w:r>
      <w:r w:rsidR="00645C8C">
        <w:t xml:space="preserve"> pilot</w:t>
      </w:r>
      <w:r>
        <w:t xml:space="preserve"> randomized controlled trial </w:t>
      </w:r>
      <w:r w:rsidR="009B6733">
        <w:t xml:space="preserve">utilizing </w:t>
      </w:r>
      <w:r>
        <w:t xml:space="preserve">AEBT </w:t>
      </w:r>
      <w:r w:rsidR="009B6733">
        <w:t xml:space="preserve">for </w:t>
      </w:r>
      <w:r>
        <w:t xml:space="preserve">adolescents </w:t>
      </w:r>
      <w:r w:rsidR="009B6733">
        <w:t>with</w:t>
      </w:r>
      <w:r>
        <w:t xml:space="preserve"> trichotillomania. </w:t>
      </w:r>
      <w:r w:rsidR="00B2234B">
        <w:t xml:space="preserve">Twenty-eight adolescents and </w:t>
      </w:r>
      <w:r w:rsidR="00A60F0E">
        <w:t xml:space="preserve">their </w:t>
      </w:r>
      <w:r w:rsidR="00B2234B">
        <w:t>caretaker</w:t>
      </w:r>
      <w:r w:rsidR="00A60F0E">
        <w:t>s</w:t>
      </w:r>
      <w:r w:rsidR="00B2234B">
        <w:t xml:space="preserve"> completed measures at pre-treatment, post-treatment, three</w:t>
      </w:r>
      <w:r w:rsidR="00022F61">
        <w:t>-</w:t>
      </w:r>
      <w:r w:rsidR="00B2234B">
        <w:t>, six</w:t>
      </w:r>
      <w:r w:rsidR="00022F61">
        <w:t>-</w:t>
      </w:r>
      <w:r w:rsidR="00B2234B">
        <w:t>, and 12-month follow-up</w:t>
      </w:r>
      <w:r w:rsidR="00D34BF8">
        <w:t xml:space="preserve"> timepoints. </w:t>
      </w:r>
      <w:r w:rsidR="007822B0">
        <w:t>Medium to large decreases were found over time for adolescent and parent-reported trichotillomania severity</w:t>
      </w:r>
      <w:r w:rsidR="000529B1">
        <w:t xml:space="preserve">, trichotillomania-related </w:t>
      </w:r>
      <w:r w:rsidR="007822B0">
        <w:t>distress</w:t>
      </w:r>
      <w:r w:rsidR="001C5BFB">
        <w:t>,</w:t>
      </w:r>
      <w:r w:rsidR="007822B0">
        <w:t xml:space="preserve"> and</w:t>
      </w:r>
      <w:r w:rsidR="007C711D">
        <w:t xml:space="preserve"> </w:t>
      </w:r>
      <w:r w:rsidR="007822B0">
        <w:t xml:space="preserve">mental health functioning. Results also indicated small and medium improvements in adolescent-reported trichotillomania-related psychological inflexibility. No significant effects were found for </w:t>
      </w:r>
      <w:r w:rsidR="00936E50">
        <w:t>youth-reported</w:t>
      </w:r>
      <w:r w:rsidR="003322F6">
        <w:t xml:space="preserve"> general</w:t>
      </w:r>
      <w:r w:rsidR="007822B0">
        <w:t xml:space="preserve"> psychological inflexibility or parent</w:t>
      </w:r>
      <w:r w:rsidR="00936E50">
        <w:t>al</w:t>
      </w:r>
      <w:r w:rsidR="007822B0">
        <w:t xml:space="preserve"> psychological inflexibility. These results present pr</w:t>
      </w:r>
      <w:r w:rsidR="0048666C">
        <w:t>eliminary and promising</w:t>
      </w:r>
      <w:r w:rsidR="007822B0">
        <w:t xml:space="preserve"> long-term outcomes following AEBT for trichotillomania in adolescents, </w:t>
      </w:r>
      <w:r w:rsidR="0050726A">
        <w:t>adding to growing evidence</w:t>
      </w:r>
      <w:r w:rsidR="007822B0">
        <w:t xml:space="preserve"> that AEBT </w:t>
      </w:r>
      <w:r w:rsidR="00310C63">
        <w:t>may</w:t>
      </w:r>
      <w:r w:rsidR="002F3D92">
        <w:t xml:space="preserve"> </w:t>
      </w:r>
      <w:r w:rsidR="007822B0">
        <w:t>be a</w:t>
      </w:r>
      <w:r w:rsidR="008B78E1">
        <w:t xml:space="preserve">n appropriate </w:t>
      </w:r>
      <w:r w:rsidR="007822B0">
        <w:t>treatment for youth with trichotillomania.</w:t>
      </w:r>
    </w:p>
    <w:p w14:paraId="66F4AC9A" w14:textId="77777777" w:rsidR="003B1ECB" w:rsidRPr="005D2329" w:rsidRDefault="007822B0" w:rsidP="0044342E">
      <w:pPr>
        <w:spacing w:line="480" w:lineRule="auto"/>
        <w:rPr>
          <w:b/>
          <w:bCs/>
        </w:rPr>
      </w:pPr>
      <w:r>
        <w:tab/>
      </w:r>
      <w:r w:rsidRPr="0044342E">
        <w:rPr>
          <w:i/>
          <w:iCs/>
        </w:rPr>
        <w:t>Keywords</w:t>
      </w:r>
      <w:r>
        <w:t>: trichotillomania, adolescents, acceptance-enhanced behavior therapy, longitudinal</w:t>
      </w:r>
      <w:r w:rsidR="003B1ECB">
        <w:br w:type="page"/>
      </w:r>
    </w:p>
    <w:p w14:paraId="538E7267" w14:textId="46CD5FF0" w:rsidR="003B1ECB" w:rsidRPr="0095456B" w:rsidRDefault="003B1ECB" w:rsidP="00ED3E8F">
      <w:pPr>
        <w:jc w:val="center"/>
        <w:rPr>
          <w:b/>
          <w:bCs/>
        </w:rPr>
      </w:pPr>
      <w:r w:rsidRPr="0095456B">
        <w:rPr>
          <w:b/>
          <w:bCs/>
        </w:rPr>
        <w:lastRenderedPageBreak/>
        <w:t>Longitudinal outcomes from a</w:t>
      </w:r>
      <w:r w:rsidR="00645C8C">
        <w:rPr>
          <w:b/>
          <w:bCs/>
        </w:rPr>
        <w:t xml:space="preserve"> pilot</w:t>
      </w:r>
      <w:r w:rsidRPr="0095456B">
        <w:rPr>
          <w:b/>
          <w:bCs/>
        </w:rPr>
        <w:t xml:space="preserve"> randomized controlled trial of telehealth</w:t>
      </w:r>
      <w:r w:rsidR="00EC017C">
        <w:rPr>
          <w:b/>
          <w:bCs/>
        </w:rPr>
        <w:t xml:space="preserve"> acceptance</w:t>
      </w:r>
      <w:r w:rsidRPr="0095456B">
        <w:rPr>
          <w:b/>
          <w:bCs/>
        </w:rPr>
        <w:t>-enhanced behavior therapy for adolescents with trichotillomania</w:t>
      </w:r>
    </w:p>
    <w:p w14:paraId="1AC7B249" w14:textId="77777777" w:rsidR="003B1ECB" w:rsidRDefault="003B1ECB" w:rsidP="00ED3E8F">
      <w:pPr>
        <w:jc w:val="center"/>
      </w:pPr>
    </w:p>
    <w:p w14:paraId="7A0F5E54" w14:textId="4FFD7592" w:rsidR="00091931" w:rsidRDefault="003B1ECB" w:rsidP="00ED3E8F">
      <w:pPr>
        <w:spacing w:line="480" w:lineRule="auto"/>
        <w:ind w:firstLine="720"/>
      </w:pPr>
      <w:r w:rsidRPr="00304678">
        <w:t>Trichotillomania</w:t>
      </w:r>
      <w:r>
        <w:t xml:space="preserve"> (hair pulling disorder) is a psychiatric condition characterized by repetitive hair pulling</w:t>
      </w:r>
      <w:r w:rsidR="006258DD">
        <w:t xml:space="preserve"> </w:t>
      </w:r>
      <w:proofErr w:type="gramStart"/>
      <w:r w:rsidR="006258DD">
        <w:t>that</w:t>
      </w:r>
      <w:r>
        <w:t xml:space="preserve"> result</w:t>
      </w:r>
      <w:r w:rsidR="006258DD">
        <w:t>s</w:t>
      </w:r>
      <w:proofErr w:type="gramEnd"/>
      <w:r>
        <w:t xml:space="preserve"> in noticeable hair loss from the pulling si</w:t>
      </w:r>
      <w:r w:rsidR="00DB4B6F">
        <w:t>te</w:t>
      </w:r>
      <w:r w:rsidR="006232AE">
        <w:t xml:space="preserve"> (American Psychiatric Association</w:t>
      </w:r>
      <w:r w:rsidR="00A84C1B">
        <w:t xml:space="preserve"> [APA]</w:t>
      </w:r>
      <w:r w:rsidR="006232AE">
        <w:t>, 2013).</w:t>
      </w:r>
      <w:r>
        <w:t xml:space="preserve"> Individuals may pull out hairs from any site on the body, but the most common areas include the scalp, eyebrows, and eyelashes </w:t>
      </w:r>
      <w:r w:rsidR="006232AE">
        <w:rPr>
          <w:noProof/>
        </w:rPr>
        <w:t>(Woods &amp; Houghton, 2006)</w:t>
      </w:r>
      <w:r>
        <w:t>. In addition to hair-pulling, diagnostic criteria for trichotillomania include</w:t>
      </w:r>
      <w:r w:rsidR="006258DD">
        <w:t>s</w:t>
      </w:r>
      <w:r>
        <w:t xml:space="preserve"> unsuccessful attempts to control hair pulling and psychological distress and/or functional impairment associated </w:t>
      </w:r>
      <w:r w:rsidR="006258DD">
        <w:t xml:space="preserve">with </w:t>
      </w:r>
      <w:r>
        <w:t xml:space="preserve">one’s hair pulling </w:t>
      </w:r>
      <w:r w:rsidR="00890805">
        <w:rPr>
          <w:noProof/>
        </w:rPr>
        <w:t>(APA, 2013)</w:t>
      </w:r>
      <w:r>
        <w:t xml:space="preserve">. </w:t>
      </w:r>
      <w:r w:rsidR="00C24BF4">
        <w:t xml:space="preserve">Symptoms of trichotillomania often emerge during childhood, with </w:t>
      </w:r>
      <w:r w:rsidR="007677B6">
        <w:t>10-13 years old as the</w:t>
      </w:r>
      <w:r w:rsidR="00B50769">
        <w:t xml:space="preserve"> </w:t>
      </w:r>
      <w:r w:rsidR="00C24BF4">
        <w:t>average age of onset and an estimated prevalence of 1</w:t>
      </w:r>
      <w:r w:rsidR="00A60F0E">
        <w:t>–</w:t>
      </w:r>
      <w:r w:rsidR="00C24BF4">
        <w:t>3.5%</w:t>
      </w:r>
      <w:r w:rsidR="00A36C2D">
        <w:t xml:space="preserve"> </w:t>
      </w:r>
      <w:r w:rsidR="00C24BF4">
        <w:rPr>
          <w:noProof/>
        </w:rPr>
        <w:t>(Christenson</w:t>
      </w:r>
      <w:r w:rsidR="00AC23DE">
        <w:rPr>
          <w:noProof/>
        </w:rPr>
        <w:t xml:space="preserve"> et al., </w:t>
      </w:r>
      <w:r w:rsidR="00C24BF4">
        <w:rPr>
          <w:noProof/>
        </w:rPr>
        <w:t>1991</w:t>
      </w:r>
      <w:r w:rsidR="00AC23DE">
        <w:rPr>
          <w:noProof/>
        </w:rPr>
        <w:t>; Franklin et al., 2010</w:t>
      </w:r>
      <w:r w:rsidR="00C24BF4">
        <w:rPr>
          <w:noProof/>
        </w:rPr>
        <w:t>)</w:t>
      </w:r>
      <w:r w:rsidR="00C24BF4">
        <w:t xml:space="preserve">. Children and adolescents with trichotillomania </w:t>
      </w:r>
      <w:r w:rsidR="00DB4B6F">
        <w:t xml:space="preserve">often report </w:t>
      </w:r>
      <w:r w:rsidR="00091931">
        <w:t xml:space="preserve">impaired </w:t>
      </w:r>
      <w:r w:rsidR="00E7625D">
        <w:t xml:space="preserve">executive functioning, general </w:t>
      </w:r>
      <w:r w:rsidR="00091931">
        <w:t>functioning</w:t>
      </w:r>
      <w:r w:rsidR="00B7224F">
        <w:t>,</w:t>
      </w:r>
      <w:r w:rsidR="00091931">
        <w:t xml:space="preserve"> and elevated levels of depression and anxiety symptoms (</w:t>
      </w:r>
      <w:r w:rsidR="00E7625D">
        <w:t>Flessner</w:t>
      </w:r>
      <w:r w:rsidR="007C696B">
        <w:t xml:space="preserve"> et al., </w:t>
      </w:r>
      <w:r w:rsidR="00E7625D">
        <w:t xml:space="preserve">2016; </w:t>
      </w:r>
      <w:r w:rsidR="00067E95">
        <w:t xml:space="preserve">Lewin et al., 2009; </w:t>
      </w:r>
      <w:r w:rsidR="00C86A1B">
        <w:t>Walther et al., 2014</w:t>
      </w:r>
      <w:r w:rsidR="00091931">
        <w:t>)</w:t>
      </w:r>
      <w:r w:rsidR="002007C9">
        <w:t>. However, research on the treatment of trichotillomania in young people is limited.</w:t>
      </w:r>
    </w:p>
    <w:p w14:paraId="3AA2A51E" w14:textId="4F0081F8" w:rsidR="00536B3D" w:rsidRDefault="003B1ECB" w:rsidP="00ED3E8F">
      <w:pPr>
        <w:spacing w:line="480" w:lineRule="auto"/>
        <w:ind w:firstLine="720"/>
      </w:pPr>
      <w:r>
        <w:t>Research into effective interventions for trichotillomania</w:t>
      </w:r>
      <w:r w:rsidR="004B7CDF">
        <w:t xml:space="preserve"> in </w:t>
      </w:r>
      <w:r w:rsidR="005866D5">
        <w:t>youth</w:t>
      </w:r>
      <w:r>
        <w:t xml:space="preserve"> has increased over the past three decades, with </w:t>
      </w:r>
      <w:r w:rsidR="00B7224F">
        <w:t>h</w:t>
      </w:r>
      <w:r>
        <w:t xml:space="preserve">abit </w:t>
      </w:r>
      <w:r w:rsidR="00B7224F">
        <w:t>r</w:t>
      </w:r>
      <w:r>
        <w:t xml:space="preserve">eversal </w:t>
      </w:r>
      <w:r w:rsidR="00B7224F">
        <w:t>t</w:t>
      </w:r>
      <w:r>
        <w:t xml:space="preserve">raining (HRT) emerging as the </w:t>
      </w:r>
      <w:r w:rsidR="00083314">
        <w:t>gold standard treatment</w:t>
      </w:r>
      <w:r>
        <w:t xml:space="preserve"> </w:t>
      </w:r>
      <w:r w:rsidR="00890805">
        <w:rPr>
          <w:noProof/>
        </w:rPr>
        <w:t>(</w:t>
      </w:r>
      <w:r w:rsidR="00B137AF">
        <w:rPr>
          <w:noProof/>
        </w:rPr>
        <w:t xml:space="preserve">Farhat et </w:t>
      </w:r>
      <w:r w:rsidR="00B137AF" w:rsidRPr="007F2F86">
        <w:rPr>
          <w:noProof/>
        </w:rPr>
        <w:t>al., 2020</w:t>
      </w:r>
      <w:r w:rsidR="00890805" w:rsidRPr="007F2F86">
        <w:rPr>
          <w:noProof/>
        </w:rPr>
        <w:t>)</w:t>
      </w:r>
      <w:r w:rsidRPr="007F2F86">
        <w:t>. Although HRT has been demonstrated as effective in decreasing hair pulling across multiple clinical trials</w:t>
      </w:r>
      <w:r w:rsidR="009C1AF3" w:rsidRPr="007F2F86">
        <w:t xml:space="preserve"> for youth</w:t>
      </w:r>
      <w:r w:rsidRPr="007F2F86">
        <w:t xml:space="preserve"> </w:t>
      </w:r>
      <w:r w:rsidR="000B0CC3" w:rsidRPr="007F2F86">
        <w:rPr>
          <w:noProof/>
        </w:rPr>
        <w:t>(</w:t>
      </w:r>
      <w:r w:rsidR="009C1AF3" w:rsidRPr="007F2F86">
        <w:rPr>
          <w:noProof/>
        </w:rPr>
        <w:t xml:space="preserve">e.g., </w:t>
      </w:r>
      <w:r w:rsidR="00A358E4" w:rsidRPr="007F2F86">
        <w:rPr>
          <w:noProof/>
        </w:rPr>
        <w:t>Rahman</w:t>
      </w:r>
      <w:r w:rsidR="00286A1B">
        <w:rPr>
          <w:noProof/>
        </w:rPr>
        <w:t xml:space="preserve"> et al., </w:t>
      </w:r>
      <w:r w:rsidR="00A358E4" w:rsidRPr="007F2F86">
        <w:rPr>
          <w:noProof/>
        </w:rPr>
        <w:t>2017</w:t>
      </w:r>
      <w:r w:rsidR="000B0CC3" w:rsidRPr="007F2F86">
        <w:rPr>
          <w:noProof/>
        </w:rPr>
        <w:t>)</w:t>
      </w:r>
      <w:r w:rsidRPr="007F2F86">
        <w:t xml:space="preserve">, many </w:t>
      </w:r>
      <w:proofErr w:type="gramStart"/>
      <w:r w:rsidR="005E7201">
        <w:t>youth</w:t>
      </w:r>
      <w:proofErr w:type="gramEnd"/>
      <w:r w:rsidR="005E7201">
        <w:t xml:space="preserve"> still</w:t>
      </w:r>
      <w:r w:rsidRPr="007F2F86">
        <w:t xml:space="preserve"> report hair pulling symptoms at post-treatment and relapse is common </w:t>
      </w:r>
      <w:r w:rsidR="007245BE" w:rsidRPr="007F2F86">
        <w:rPr>
          <w:noProof/>
        </w:rPr>
        <w:t>(Franklin</w:t>
      </w:r>
      <w:r w:rsidR="004B3F01">
        <w:rPr>
          <w:noProof/>
        </w:rPr>
        <w:t xml:space="preserve"> et al., </w:t>
      </w:r>
      <w:r w:rsidR="007245BE" w:rsidRPr="007F2F86">
        <w:rPr>
          <w:noProof/>
        </w:rPr>
        <w:t>2011</w:t>
      </w:r>
      <w:r w:rsidR="0066386A">
        <w:rPr>
          <w:noProof/>
        </w:rPr>
        <w:t>; Franklin et al.,</w:t>
      </w:r>
      <w:r w:rsidR="00AD7E22">
        <w:rPr>
          <w:noProof/>
        </w:rPr>
        <w:t xml:space="preserve"> </w:t>
      </w:r>
      <w:r w:rsidR="0066386A">
        <w:rPr>
          <w:noProof/>
        </w:rPr>
        <w:t>2008</w:t>
      </w:r>
      <w:r w:rsidR="007245BE" w:rsidRPr="007F2F86">
        <w:rPr>
          <w:noProof/>
        </w:rPr>
        <w:t>)</w:t>
      </w:r>
      <w:r w:rsidRPr="007F2F86">
        <w:t>.</w:t>
      </w:r>
      <w:r>
        <w:t xml:space="preserve"> Theories </w:t>
      </w:r>
      <w:r w:rsidR="00576B3E">
        <w:t xml:space="preserve">suggest </w:t>
      </w:r>
      <w:r>
        <w:t>that the</w:t>
      </w:r>
      <w:r w:rsidR="00576B3E">
        <w:t xml:space="preserve"> l</w:t>
      </w:r>
      <w:r>
        <w:t xml:space="preserve">imitations </w:t>
      </w:r>
      <w:r w:rsidR="00576B3E">
        <w:t xml:space="preserve">of HRT </w:t>
      </w:r>
      <w:r>
        <w:t>may be due to a lack of targeted intervention strategies to address the internal experiences that often accompany hair</w:t>
      </w:r>
      <w:r w:rsidR="00FB1FA2">
        <w:t xml:space="preserve"> </w:t>
      </w:r>
      <w:r>
        <w:t xml:space="preserve">pulling </w:t>
      </w:r>
      <w:r w:rsidR="00576B3E">
        <w:t xml:space="preserve">(e.g., emotional distress, urges, and cognitions). Thus, </w:t>
      </w:r>
      <w:r>
        <w:t xml:space="preserve">recent clinical trials </w:t>
      </w:r>
      <w:r w:rsidR="00536B3D">
        <w:t xml:space="preserve">have been </w:t>
      </w:r>
      <w:r>
        <w:t xml:space="preserve">exploring the use of adjunctive psychological interventions, such as </w:t>
      </w:r>
      <w:r w:rsidR="00FB1FA2">
        <w:t>d</w:t>
      </w:r>
      <w:r>
        <w:t xml:space="preserve">ialectical </w:t>
      </w:r>
      <w:r w:rsidR="00FB1FA2">
        <w:t>b</w:t>
      </w:r>
      <w:r>
        <w:t xml:space="preserve">ehavioral </w:t>
      </w:r>
      <w:r w:rsidR="00FB1FA2">
        <w:lastRenderedPageBreak/>
        <w:t>t</w:t>
      </w:r>
      <w:r>
        <w:t xml:space="preserve">herapy (DBT) or </w:t>
      </w:r>
      <w:r w:rsidR="00FB1FA2">
        <w:t>a</w:t>
      </w:r>
      <w:r>
        <w:t xml:space="preserve">cceptance and </w:t>
      </w:r>
      <w:r w:rsidR="00FB1FA2">
        <w:t>c</w:t>
      </w:r>
      <w:r>
        <w:t xml:space="preserve">ommitment </w:t>
      </w:r>
      <w:r w:rsidR="00FB1FA2">
        <w:t>t</w:t>
      </w:r>
      <w:r>
        <w:t xml:space="preserve">herapy (ACT), paired with HRT to address these </w:t>
      </w:r>
      <w:r w:rsidR="00D34777">
        <w:t xml:space="preserve">concerns </w:t>
      </w:r>
      <w:r w:rsidR="00890805">
        <w:rPr>
          <w:noProof/>
        </w:rPr>
        <w:t>(Woods &amp; Houghton, 2014)</w:t>
      </w:r>
      <w:r>
        <w:t xml:space="preserve">. </w:t>
      </w:r>
    </w:p>
    <w:p w14:paraId="0CA53942" w14:textId="1AAD1019" w:rsidR="003B1ECB" w:rsidRDefault="003B1ECB" w:rsidP="00ED3E8F">
      <w:pPr>
        <w:spacing w:line="480" w:lineRule="auto"/>
        <w:ind w:firstLine="720"/>
      </w:pPr>
      <w:r>
        <w:t>ACT paired wi</w:t>
      </w:r>
      <w:r w:rsidR="00F42694">
        <w:t xml:space="preserve">th </w:t>
      </w:r>
      <w:r>
        <w:t xml:space="preserve">HRT has been the most widely studied adjunctive treatment approach for </w:t>
      </w:r>
      <w:r w:rsidR="00A64901">
        <w:t>t</w:t>
      </w:r>
      <w:r>
        <w:t xml:space="preserve">richotillomania, often referred to as </w:t>
      </w:r>
      <w:r w:rsidR="00F35ACD">
        <w:t>acceptance</w:t>
      </w:r>
      <w:r>
        <w:t>-enhanced behavior therapy (</w:t>
      </w:r>
      <w:r w:rsidR="00E93BF3">
        <w:t xml:space="preserve">AEBT; </w:t>
      </w:r>
      <w:r>
        <w:t>Woods &amp; Twohig, 2008). A</w:t>
      </w:r>
      <w:r w:rsidR="001134D4">
        <w:t>EBT</w:t>
      </w:r>
      <w:r>
        <w:t xml:space="preserve"> has been found </w:t>
      </w:r>
      <w:r w:rsidR="00727B74">
        <w:t xml:space="preserve">as </w:t>
      </w:r>
      <w:r>
        <w:t>effective in reducing hair pulling severity, impairment ratings, and co-</w:t>
      </w:r>
      <w:r w:rsidR="00B76DA1">
        <w:t>occurring</w:t>
      </w:r>
      <w:r>
        <w:t xml:space="preserve"> psychological symptoms for </w:t>
      </w:r>
      <w:r w:rsidR="005476F6">
        <w:t>youth</w:t>
      </w:r>
      <w:r>
        <w:t xml:space="preserve"> with trichotillomania when delivered through an individual, in-person treatment </w:t>
      </w:r>
      <w:r w:rsidRPr="00ED13F4">
        <w:t>format (</w:t>
      </w:r>
      <w:r w:rsidR="00D268D3">
        <w:t>Fine et al., 2012</w:t>
      </w:r>
      <w:r w:rsidRPr="00ED13F4">
        <w:t>), an in-pers</w:t>
      </w:r>
      <w:r>
        <w:t>on group format (</w:t>
      </w:r>
      <w:proofErr w:type="spellStart"/>
      <w:r w:rsidRPr="00A82249">
        <w:t>Haaland</w:t>
      </w:r>
      <w:proofErr w:type="spellEnd"/>
      <w:r w:rsidRPr="00A82249">
        <w:t xml:space="preserve"> et al</w:t>
      </w:r>
      <w:r w:rsidR="000B0CC3" w:rsidRPr="00A82249">
        <w:t>.,</w:t>
      </w:r>
      <w:r w:rsidRPr="00A82249">
        <w:t xml:space="preserve"> 2017), and</w:t>
      </w:r>
      <w:r>
        <w:t xml:space="preserve"> through individual telehealth </w:t>
      </w:r>
      <w:r w:rsidR="00AE391C">
        <w:t>sessions</w:t>
      </w:r>
      <w:r>
        <w:t xml:space="preserve"> (</w:t>
      </w:r>
      <w:r w:rsidR="00741E88">
        <w:t>Lee et al., 2018</w:t>
      </w:r>
      <w:r w:rsidR="00282EC2">
        <w:t xml:space="preserve">; </w:t>
      </w:r>
      <w:r w:rsidR="00AF7E9C">
        <w:t>Twohig et al., 2021</w:t>
      </w:r>
      <w:r>
        <w:t>). Additionally, Lee</w:t>
      </w:r>
      <w:r w:rsidR="006464D7">
        <w:t xml:space="preserve"> and colleagues</w:t>
      </w:r>
      <w:r>
        <w:t xml:space="preserve"> </w:t>
      </w:r>
      <w:r w:rsidR="009E6F3A">
        <w:t>(</w:t>
      </w:r>
      <w:r>
        <w:t>2018</w:t>
      </w:r>
      <w:r w:rsidR="009E6F3A">
        <w:t>)</w:t>
      </w:r>
      <w:r>
        <w:t xml:space="preserve"> found that </w:t>
      </w:r>
      <w:r w:rsidR="00F33035">
        <w:t>many</w:t>
      </w:r>
      <w:r w:rsidR="009A7DFC">
        <w:t xml:space="preserve"> AEBT</w:t>
      </w:r>
      <w:r>
        <w:t xml:space="preserve"> treatment responders continued to maintain their progress within the three months following treatment</w:t>
      </w:r>
      <w:r w:rsidR="00EF4571">
        <w:t xml:space="preserve">. Similarly, </w:t>
      </w:r>
      <w:proofErr w:type="spellStart"/>
      <w:r>
        <w:t>Haaland</w:t>
      </w:r>
      <w:proofErr w:type="spellEnd"/>
      <w:r>
        <w:t xml:space="preserve"> </w:t>
      </w:r>
      <w:r w:rsidR="0039732C">
        <w:t xml:space="preserve">(2017) </w:t>
      </w:r>
      <w:r>
        <w:t xml:space="preserve">found that 60% of </w:t>
      </w:r>
      <w:r w:rsidR="004E1031">
        <w:t xml:space="preserve">AEBT </w:t>
      </w:r>
      <w:r>
        <w:t>treatment responders reported maintaining their progress at</w:t>
      </w:r>
      <w:r w:rsidR="00B76DA1">
        <w:t xml:space="preserve"> one year</w:t>
      </w:r>
      <w:r>
        <w:t xml:space="preserve"> follow</w:t>
      </w:r>
      <w:r w:rsidR="00216205">
        <w:t>-</w:t>
      </w:r>
      <w:r>
        <w:t>up.</w:t>
      </w:r>
    </w:p>
    <w:p w14:paraId="399245C9" w14:textId="6E7DE1FF" w:rsidR="003B1ECB" w:rsidRDefault="003B1ECB" w:rsidP="00ED3E8F">
      <w:pPr>
        <w:spacing w:line="480" w:lineRule="auto"/>
        <w:ind w:firstLine="720"/>
      </w:pPr>
      <w:r>
        <w:t xml:space="preserve">While research into the efficacy of </w:t>
      </w:r>
      <w:r w:rsidR="003D690D">
        <w:t>AEBT</w:t>
      </w:r>
      <w:r>
        <w:t xml:space="preserve"> for trichotillomania </w:t>
      </w:r>
      <w:r w:rsidR="002844FA">
        <w:t xml:space="preserve">in youth </w:t>
      </w:r>
      <w:r>
        <w:t>is promising, limitations exist. Despite the growing understanding of trichotillomania as a</w:t>
      </w:r>
      <w:r w:rsidR="00B51325">
        <w:t xml:space="preserve"> disorder beginning in childhood and its associations</w:t>
      </w:r>
      <w:r>
        <w:t xml:space="preserve"> with high rates of morbidity, comorbidity and functional impairment, research into early and effective interventions for pediatric samples is still nascent. A recent systematic review (</w:t>
      </w:r>
      <w:r w:rsidR="00063E38">
        <w:t>A</w:t>
      </w:r>
      <w:r>
        <w:t>dler et al</w:t>
      </w:r>
      <w:r w:rsidR="00063E38">
        <w:t>.,</w:t>
      </w:r>
      <w:r>
        <w:t xml:space="preserve"> 2020) and meta-analysis (</w:t>
      </w:r>
      <w:r w:rsidR="00063E38">
        <w:t>F</w:t>
      </w:r>
      <w:r>
        <w:t>arhat</w:t>
      </w:r>
      <w:r w:rsidR="00B600C5">
        <w:t xml:space="preserve"> et al.</w:t>
      </w:r>
      <w:r w:rsidR="00063E38">
        <w:t>,</w:t>
      </w:r>
      <w:r>
        <w:t xml:space="preserve"> 2020) of empirical studies testing the efficacy of behavioral and/or pharmacological treatments for pediatric trichotillomania only identified six and five studies for inclusion</w:t>
      </w:r>
      <w:r w:rsidR="00A60F0E">
        <w:t>,</w:t>
      </w:r>
      <w:r>
        <w:t xml:space="preserve"> respectively. </w:t>
      </w:r>
      <w:r w:rsidR="0095456B">
        <w:t>T</w:t>
      </w:r>
      <w:r>
        <w:t xml:space="preserve">he findings </w:t>
      </w:r>
      <w:r w:rsidR="0095456B">
        <w:t xml:space="preserve">of </w:t>
      </w:r>
      <w:r>
        <w:t>these reviews indicated that no psychopharmacological interventions examined to date have demonstrated efficacy in reducing trichotillomania symptoms</w:t>
      </w:r>
      <w:r w:rsidR="00CC5904">
        <w:t xml:space="preserve"> in youth</w:t>
      </w:r>
      <w:r w:rsidR="00E0304D">
        <w:t xml:space="preserve">. </w:t>
      </w:r>
      <w:r w:rsidR="00215116">
        <w:t>Additionally</w:t>
      </w:r>
      <w:r w:rsidR="00E0304D">
        <w:t xml:space="preserve">, </w:t>
      </w:r>
      <w:r>
        <w:t>the results of trials examining behavioral interventions were largely mixed</w:t>
      </w:r>
      <w:r w:rsidR="00B436B1">
        <w:t xml:space="preserve"> (</w:t>
      </w:r>
      <w:r w:rsidR="00C00D27">
        <w:t>e.g., 25–76% clinical responder status</w:t>
      </w:r>
      <w:r w:rsidR="00B436B1">
        <w:t>)</w:t>
      </w:r>
      <w:r>
        <w:t xml:space="preserve"> and consis</w:t>
      </w:r>
      <w:r w:rsidR="00DF649A">
        <w:t>ted</w:t>
      </w:r>
      <w:r>
        <w:t xml:space="preserve"> of small sample sizes</w:t>
      </w:r>
      <w:r w:rsidR="00DF649A">
        <w:t xml:space="preserve"> that</w:t>
      </w:r>
      <w:r>
        <w:t xml:space="preserve"> limit</w:t>
      </w:r>
      <w:r w:rsidR="00DF649A">
        <w:t xml:space="preserve"> </w:t>
      </w:r>
      <w:r>
        <w:t xml:space="preserve">their generalizability. Knowledge </w:t>
      </w:r>
      <w:r>
        <w:lastRenderedPageBreak/>
        <w:t xml:space="preserve">surrounding the maintenance of therapeutic gains following interventions for pediatric trichotillomania is even more limited, with only </w:t>
      </w:r>
      <w:r w:rsidR="00DC679B">
        <w:t xml:space="preserve">one </w:t>
      </w:r>
      <w:r w:rsidR="0053520E">
        <w:t xml:space="preserve">randomized controlled trial </w:t>
      </w:r>
      <w:r w:rsidR="00DC679B">
        <w:t>looking at</w:t>
      </w:r>
      <w:r>
        <w:t xml:space="preserve"> </w:t>
      </w:r>
      <w:r w:rsidR="00DE54F4">
        <w:t>eight</w:t>
      </w:r>
      <w:r>
        <w:t>-week follow</w:t>
      </w:r>
      <w:r w:rsidR="00E93BF3">
        <w:t>-</w:t>
      </w:r>
      <w:r>
        <w:t>up analyses (</w:t>
      </w:r>
      <w:r w:rsidR="00BF6FEA">
        <w:t>F</w:t>
      </w:r>
      <w:r>
        <w:t>ranklin et al.</w:t>
      </w:r>
      <w:r w:rsidR="00BC77D4">
        <w:t>,</w:t>
      </w:r>
      <w:r>
        <w:t xml:space="preserve"> 2011)</w:t>
      </w:r>
      <w:r w:rsidR="00B0537F">
        <w:t xml:space="preserve"> and one</w:t>
      </w:r>
      <w:r w:rsidR="00DC679B">
        <w:t xml:space="preserve"> </w:t>
      </w:r>
      <w:r w:rsidR="00531A82">
        <w:t xml:space="preserve">open trial </w:t>
      </w:r>
      <w:r w:rsidR="00B0537F">
        <w:t>including six</w:t>
      </w:r>
      <w:r w:rsidR="00E04125">
        <w:t>-</w:t>
      </w:r>
      <w:r w:rsidR="00B0537F">
        <w:t>month follow-ups (</w:t>
      </w:r>
      <w:proofErr w:type="spellStart"/>
      <w:r w:rsidR="00C82ABE">
        <w:t>Tolin</w:t>
      </w:r>
      <w:proofErr w:type="spellEnd"/>
      <w:r w:rsidR="00C82ABE">
        <w:t xml:space="preserve"> et al., 2007)</w:t>
      </w:r>
      <w:r>
        <w:t xml:space="preserve">. </w:t>
      </w:r>
    </w:p>
    <w:p w14:paraId="3B8BFB53" w14:textId="233165FE" w:rsidR="003B1ECB" w:rsidRDefault="003B1ECB" w:rsidP="00ED3E8F">
      <w:pPr>
        <w:spacing w:line="480" w:lineRule="auto"/>
        <w:ind w:firstLine="720"/>
      </w:pPr>
      <w:r>
        <w:t xml:space="preserve">The current study therefore seeks to contribute to the existent literature by presenting longitudinal follow-up data from a recent </w:t>
      </w:r>
      <w:r w:rsidR="006E6539">
        <w:t xml:space="preserve">pilot </w:t>
      </w:r>
      <w:r w:rsidR="00DE54F4">
        <w:t>randomized controlled trial (</w:t>
      </w:r>
      <w:r w:rsidR="00CB598F">
        <w:t>Twohig et al., 2021</w:t>
      </w:r>
      <w:r w:rsidR="00DE54F4">
        <w:t>)</w:t>
      </w:r>
      <w:r>
        <w:t xml:space="preserve"> </w:t>
      </w:r>
      <w:r w:rsidR="006A5BEC">
        <w:t>on</w:t>
      </w:r>
      <w:r>
        <w:t xml:space="preserve"> </w:t>
      </w:r>
      <w:r w:rsidR="00A85FE2">
        <w:t xml:space="preserve">telehealth </w:t>
      </w:r>
      <w:r w:rsidR="006A5BEC">
        <w:t>AEBT</w:t>
      </w:r>
      <w:r>
        <w:t xml:space="preserve"> for adolescents</w:t>
      </w:r>
      <w:r w:rsidR="00A85FE2">
        <w:t xml:space="preserve"> with trichotillomania</w:t>
      </w:r>
      <w:r>
        <w:t>.</w:t>
      </w:r>
      <w:r w:rsidR="00A85FE2">
        <w:t xml:space="preserve"> </w:t>
      </w:r>
      <w:r w:rsidR="00531FC8">
        <w:t>The overarching purpose of this study is to</w:t>
      </w:r>
      <w:r w:rsidR="00A85FE2">
        <w:t xml:space="preserve"> provide more information regarding the maintenance of therapy gains in young people following </w:t>
      </w:r>
      <w:r w:rsidR="006A5BEC">
        <w:t>AEBT</w:t>
      </w:r>
      <w:r w:rsidR="00A85FE2">
        <w:t xml:space="preserve"> for trichotillomania. We </w:t>
      </w:r>
      <w:r w:rsidR="00ED3E8F">
        <w:t>predict</w:t>
      </w:r>
      <w:r w:rsidR="0004591A">
        <w:t>ed</w:t>
      </w:r>
      <w:r w:rsidR="00ED3E8F">
        <w:t xml:space="preserve"> </w:t>
      </w:r>
      <w:r w:rsidR="00A85FE2">
        <w:t xml:space="preserve">that adolescents and their caregivers would report maintained </w:t>
      </w:r>
      <w:r w:rsidR="00A357C7">
        <w:t xml:space="preserve">and </w:t>
      </w:r>
      <w:r w:rsidR="00A85FE2">
        <w:t>reduced trichotillomania symptoms, distress, and psychological inflexibility over time.</w:t>
      </w:r>
    </w:p>
    <w:p w14:paraId="043567B0" w14:textId="77777777" w:rsidR="003B1ECB" w:rsidRDefault="003B1ECB" w:rsidP="00ED3E8F">
      <w:pPr>
        <w:spacing w:line="480" w:lineRule="auto"/>
        <w:jc w:val="center"/>
        <w:rPr>
          <w:b/>
        </w:rPr>
      </w:pPr>
      <w:r>
        <w:rPr>
          <w:b/>
        </w:rPr>
        <w:t>Methods</w:t>
      </w:r>
    </w:p>
    <w:p w14:paraId="0FD777D3" w14:textId="77777777" w:rsidR="003B1ECB" w:rsidRDefault="003B1ECB" w:rsidP="00ED3E8F">
      <w:pPr>
        <w:spacing w:line="480" w:lineRule="auto"/>
        <w:rPr>
          <w:b/>
          <w:bCs/>
        </w:rPr>
      </w:pPr>
      <w:r>
        <w:rPr>
          <w:b/>
          <w:bCs/>
        </w:rPr>
        <w:t>Participants</w:t>
      </w:r>
    </w:p>
    <w:p w14:paraId="581C858F" w14:textId="5FB59943" w:rsidR="003B1ECB" w:rsidRDefault="003B1ECB" w:rsidP="00ED3E8F">
      <w:pPr>
        <w:spacing w:line="480" w:lineRule="auto"/>
      </w:pPr>
      <w:r>
        <w:rPr>
          <w:b/>
          <w:bCs/>
        </w:rPr>
        <w:tab/>
      </w:r>
      <w:r w:rsidR="00133BF0">
        <w:t>Participants included</w:t>
      </w:r>
      <w:r>
        <w:t xml:space="preserve"> 28 adolescents and at least one caregiver per participant. All participants were residents of </w:t>
      </w:r>
      <w:r w:rsidR="0012356B">
        <w:t>[removed for masked review]</w:t>
      </w:r>
      <w:r>
        <w:t xml:space="preserve"> and were located across the state. </w:t>
      </w:r>
      <w:proofErr w:type="gramStart"/>
      <w:r>
        <w:t xml:space="preserve">The </w:t>
      </w:r>
      <w:r w:rsidR="0012356B">
        <w:t>majority of</w:t>
      </w:r>
      <w:proofErr w:type="gramEnd"/>
      <w:r w:rsidR="0012356B">
        <w:t xml:space="preserve"> </w:t>
      </w:r>
      <w:r>
        <w:t>participants were female (68%), within an age range of 12 to 16 years old (M = 13.9; SD = 1.3). Sixteen participants (57.1%) met diagnostic criteria for at least one comorbid diagnosis</w:t>
      </w:r>
      <w:r w:rsidR="000F3178">
        <w:t>, most commonly</w:t>
      </w:r>
      <w:r>
        <w:t xml:space="preserve"> depressive (42.8%) and anxiety disorders (ranging from 7</w:t>
      </w:r>
      <w:r w:rsidR="00A60F0E">
        <w:t>–</w:t>
      </w:r>
      <w:r>
        <w:t xml:space="preserve">10%). Approximately </w:t>
      </w:r>
      <w:r w:rsidR="00140A81">
        <w:t>40 percent</w:t>
      </w:r>
      <w:r>
        <w:t xml:space="preserve"> of the participants were currently taking a </w:t>
      </w:r>
      <w:r w:rsidR="00140A81">
        <w:t>selective serotonin reuptake inhibitor (SSRI)</w:t>
      </w:r>
      <w:r>
        <w:t xml:space="preserve"> and 26% were taking a stimulant medication for </w:t>
      </w:r>
      <w:r w:rsidR="00140A81">
        <w:t>attention deficit hyperactivity disorder (ADHD)</w:t>
      </w:r>
      <w:r>
        <w:t>. Twenty-eight participants engaged in the study and variable numbers of participants completed data at the post</w:t>
      </w:r>
      <w:r w:rsidR="006F01E1">
        <w:t>-</w:t>
      </w:r>
      <w:r>
        <w:t xml:space="preserve">treatment and follow-up time points. Refer to Figure 1 for participant retention numbers at post-treatment, three-, six-, and </w:t>
      </w:r>
      <w:r w:rsidR="006F01E1">
        <w:t>12</w:t>
      </w:r>
      <w:r>
        <w:t xml:space="preserve">-month follow-up timepoints. </w:t>
      </w:r>
      <w:r w:rsidR="00E76318">
        <w:lastRenderedPageBreak/>
        <w:t xml:space="preserve">All participants lost to follow-up (ranging from </w:t>
      </w:r>
      <w:r w:rsidR="00267D40">
        <w:t>16</w:t>
      </w:r>
      <w:r w:rsidR="00E76318">
        <w:t>-</w:t>
      </w:r>
      <w:r w:rsidR="00267D40">
        <w:t>43</w:t>
      </w:r>
      <w:r w:rsidR="00E76318">
        <w:t>%) were because participants were not responsive to contact via email or text.</w:t>
      </w:r>
      <w:r w:rsidR="006516A0">
        <w:t xml:space="preserve"> There did not appear to be differences between participants who</w:t>
      </w:r>
      <w:r w:rsidR="006F01E1">
        <w:t xml:space="preserve"> did or did not</w:t>
      </w:r>
      <w:r w:rsidR="006516A0">
        <w:t xml:space="preserve"> complete</w:t>
      </w:r>
      <w:r w:rsidR="006F01E1">
        <w:t xml:space="preserve"> </w:t>
      </w:r>
      <w:r w:rsidR="006516A0">
        <w:t xml:space="preserve">follow-ups based on a </w:t>
      </w:r>
      <w:r w:rsidR="002506BE">
        <w:t>non-statistical</w:t>
      </w:r>
      <w:r w:rsidR="006516A0">
        <w:t xml:space="preserve"> review</w:t>
      </w:r>
      <w:r w:rsidR="002506BE">
        <w:t xml:space="preserve"> of the data</w:t>
      </w:r>
      <w:r w:rsidR="006516A0">
        <w:t>.</w:t>
      </w:r>
    </w:p>
    <w:p w14:paraId="593CA9B9" w14:textId="170C682D" w:rsidR="003B1ECB" w:rsidRDefault="003B1ECB" w:rsidP="00ED3E8F">
      <w:pPr>
        <w:spacing w:line="480" w:lineRule="auto"/>
      </w:pPr>
      <w:r>
        <w:tab/>
        <w:t xml:space="preserve">Participants were recruited from online postings, advertisements in newspapers, and referrals from other healthcare professionals. </w:t>
      </w:r>
      <w:r w:rsidR="00263603">
        <w:t>Participants were eligible for the study if they:</w:t>
      </w:r>
      <w:r>
        <w:t xml:space="preserve"> (a) met </w:t>
      </w:r>
      <w:r w:rsidR="00CA585A">
        <w:t xml:space="preserve">the Diagnostic and Statistical Manual of Mental Disorders, fifth edition, (DSM-5) </w:t>
      </w:r>
      <w:r>
        <w:t>diagnostic criteria for trichotillomania</w:t>
      </w:r>
      <w:r w:rsidR="00CA585A">
        <w:t xml:space="preserve"> (APA, 2013)</w:t>
      </w:r>
      <w:r w:rsidR="00775991">
        <w:t xml:space="preserve">, (b) </w:t>
      </w:r>
      <w:r w:rsidR="00725F4E">
        <w:t xml:space="preserve">were </w:t>
      </w:r>
      <w:r w:rsidR="003541CD">
        <w:t>currently</w:t>
      </w:r>
      <w:r>
        <w:t xml:space="preserve"> seeking treatment primarily for trichotillomania or problematic hair-pulling; (</w:t>
      </w:r>
      <w:r w:rsidR="00775991">
        <w:t>c</w:t>
      </w:r>
      <w:r>
        <w:t xml:space="preserve">) </w:t>
      </w:r>
      <w:r w:rsidR="00263603">
        <w:t xml:space="preserve">were </w:t>
      </w:r>
      <w:r w:rsidR="003541CD">
        <w:t>between the ages of</w:t>
      </w:r>
      <w:r>
        <w:t xml:space="preserve"> 12 to 1</w:t>
      </w:r>
      <w:r w:rsidR="003541CD">
        <w:t>7</w:t>
      </w:r>
      <w:r>
        <w:t>; (</w:t>
      </w:r>
      <w:r w:rsidR="00775991">
        <w:t>d</w:t>
      </w:r>
      <w:r>
        <w:t xml:space="preserve">) </w:t>
      </w:r>
      <w:r w:rsidR="00263603">
        <w:t xml:space="preserve">were </w:t>
      </w:r>
      <w:r>
        <w:t>fluent in English; (</w:t>
      </w:r>
      <w:r w:rsidR="00775991">
        <w:t>e)</w:t>
      </w:r>
      <w:r>
        <w:t xml:space="preserve"> </w:t>
      </w:r>
      <w:r w:rsidR="00263603">
        <w:t xml:space="preserve">were </w:t>
      </w:r>
      <w:r>
        <w:t>not currently receiving psychotherapy</w:t>
      </w:r>
      <w:r w:rsidR="003541CD">
        <w:t xml:space="preserve"> or</w:t>
      </w:r>
      <w:r>
        <w:t xml:space="preserve"> </w:t>
      </w:r>
      <w:r w:rsidR="003541CD">
        <w:t>starting/changing</w:t>
      </w:r>
      <w:r>
        <w:t xml:space="preserve"> any psychotropic medication in the past 30 days; (</w:t>
      </w:r>
      <w:r w:rsidR="00161E25">
        <w:t>f</w:t>
      </w:r>
      <w:r>
        <w:t xml:space="preserve">) </w:t>
      </w:r>
      <w:r w:rsidR="00263603">
        <w:t xml:space="preserve">were </w:t>
      </w:r>
      <w:r>
        <w:t>residing in the state where the clinical supervisor was licensed.</w:t>
      </w:r>
    </w:p>
    <w:p w14:paraId="0747F1D5" w14:textId="7D35C3A3" w:rsidR="00ED3E8F" w:rsidRDefault="00ED3E8F" w:rsidP="00ED3E8F">
      <w:pPr>
        <w:spacing w:line="480" w:lineRule="auto"/>
        <w:rPr>
          <w:b/>
          <w:bCs/>
        </w:rPr>
      </w:pPr>
      <w:r>
        <w:rPr>
          <w:b/>
          <w:bCs/>
        </w:rPr>
        <w:t>General overview of study procedures</w:t>
      </w:r>
    </w:p>
    <w:p w14:paraId="129F416C" w14:textId="6769C306" w:rsidR="000F3178" w:rsidRDefault="000F3178" w:rsidP="000F3178">
      <w:pPr>
        <w:spacing w:line="480" w:lineRule="auto"/>
        <w:ind w:firstLine="720"/>
        <w:rPr>
          <w:b/>
          <w:bCs/>
        </w:rPr>
      </w:pPr>
      <w:r>
        <w:t xml:space="preserve">In brief, the study was a </w:t>
      </w:r>
      <w:r w:rsidR="00F83EF6">
        <w:t xml:space="preserve">pilot </w:t>
      </w:r>
      <w:r>
        <w:t xml:space="preserve">randomized controlled trial comparing 10 sessions of online AEBT for trichotillomania to a waitlist control. Sessions were primarily spent with the adolescent, but the remaining 10 minutes were allotted for </w:t>
      </w:r>
      <w:r w:rsidR="00E937E9">
        <w:t xml:space="preserve">review of treatment skills and concepts with </w:t>
      </w:r>
      <w:r>
        <w:t>the parent, as appropriate. Those randomized to the waitlist received treatment following 1</w:t>
      </w:r>
      <w:r w:rsidR="003C71C5">
        <w:t>2</w:t>
      </w:r>
      <w:r>
        <w:t xml:space="preserve"> weeks.</w:t>
      </w:r>
      <w:r w:rsidR="003C71C5">
        <w:t xml:space="preserve"> For information on the randomization procedures, treatment materials, session outline, and </w:t>
      </w:r>
      <w:r w:rsidR="00A3119A">
        <w:t>therapists,</w:t>
      </w:r>
      <w:r w:rsidR="003C71C5">
        <w:t xml:space="preserve"> refer to the original</w:t>
      </w:r>
      <w:r w:rsidR="00645C8C">
        <w:t xml:space="preserve"> pilot trial</w:t>
      </w:r>
      <w:r w:rsidR="003C71C5">
        <w:t xml:space="preserve"> (Twohig et al., 2021).</w:t>
      </w:r>
    </w:p>
    <w:p w14:paraId="6E1520C3" w14:textId="77777777" w:rsidR="00F35547" w:rsidRDefault="003B1ECB" w:rsidP="00ED3E8F">
      <w:pPr>
        <w:spacing w:line="480" w:lineRule="auto"/>
      </w:pPr>
      <w:r>
        <w:rPr>
          <w:b/>
          <w:bCs/>
        </w:rPr>
        <w:t>Measures</w:t>
      </w:r>
    </w:p>
    <w:p w14:paraId="3B96D55F" w14:textId="77777777" w:rsidR="003B1ECB" w:rsidRDefault="001B69ED" w:rsidP="00F35547">
      <w:pPr>
        <w:spacing w:line="480" w:lineRule="auto"/>
        <w:ind w:firstLine="720"/>
      </w:pPr>
      <w:r>
        <w:t xml:space="preserve">Measures </w:t>
      </w:r>
      <w:r w:rsidR="003B1ECB">
        <w:t>were given to adolescents and caregivers at pre-</w:t>
      </w:r>
      <w:r w:rsidR="00F35547">
        <w:t>treatment</w:t>
      </w:r>
      <w:r w:rsidR="003B1ECB">
        <w:t>, post</w:t>
      </w:r>
      <w:r w:rsidR="00F35547">
        <w:t>-treatment</w:t>
      </w:r>
      <w:r w:rsidR="003B1ECB">
        <w:t>, three-month, six-month, and twelve-month follow-up timepoints. All measures were given using an online survey platform.</w:t>
      </w:r>
      <w:r w:rsidR="006738BD">
        <w:t xml:space="preserve"> Participants were sent two links at each data collection time point, one survey battery for parents and one for the adolescents.</w:t>
      </w:r>
    </w:p>
    <w:p w14:paraId="24847328" w14:textId="4C358C06" w:rsidR="003B1ECB" w:rsidRDefault="003B1ECB" w:rsidP="00ED3E8F">
      <w:pPr>
        <w:spacing w:line="480" w:lineRule="auto"/>
      </w:pPr>
      <w:r>
        <w:lastRenderedPageBreak/>
        <w:tab/>
      </w:r>
      <w:r>
        <w:rPr>
          <w:b/>
          <w:bCs/>
        </w:rPr>
        <w:t xml:space="preserve">Trichotillomania Scale for Children – </w:t>
      </w:r>
      <w:r w:rsidR="00B92FF5">
        <w:rPr>
          <w:b/>
          <w:bCs/>
        </w:rPr>
        <w:t>Youth</w:t>
      </w:r>
      <w:r>
        <w:rPr>
          <w:b/>
          <w:bCs/>
        </w:rPr>
        <w:t xml:space="preserve"> and Parent Versions</w:t>
      </w:r>
      <w:r>
        <w:t xml:space="preserve"> (TSC-</w:t>
      </w:r>
      <w:r w:rsidR="00B92FF5">
        <w:t>Y</w:t>
      </w:r>
      <w:r>
        <w:t xml:space="preserve"> &amp; TSC-P; </w:t>
      </w:r>
      <w:proofErr w:type="spellStart"/>
      <w:r>
        <w:t>Tolin</w:t>
      </w:r>
      <w:proofErr w:type="spellEnd"/>
      <w:r>
        <w:t xml:space="preserve"> et al., 2008). The TSC-</w:t>
      </w:r>
      <w:r w:rsidR="00B92FF5">
        <w:t>Y</w:t>
      </w:r>
      <w:r>
        <w:t xml:space="preserve"> and TSC-P are self-report measures for youth and parent-rated trichotillomania symptom</w:t>
      </w:r>
      <w:r w:rsidR="006540BA">
        <w:t>s</w:t>
      </w:r>
      <w:r w:rsidR="00F409CE">
        <w:t xml:space="preserve"> with subscales for severity and distress/impairment</w:t>
      </w:r>
      <w:r>
        <w:t xml:space="preserve">. For each </w:t>
      </w:r>
      <w:r w:rsidR="00240594">
        <w:t>of the 12 items</w:t>
      </w:r>
      <w:r>
        <w:t xml:space="preserve">, the </w:t>
      </w:r>
      <w:r w:rsidR="002003F6">
        <w:t>youth</w:t>
      </w:r>
      <w:r>
        <w:t xml:space="preserve"> or parent cho</w:t>
      </w:r>
      <w:r w:rsidR="006540BA">
        <w:t>se</w:t>
      </w:r>
      <w:r>
        <w:t xml:space="preserve"> the best fitting response from </w:t>
      </w:r>
      <w:r w:rsidR="009E65BC">
        <w:t>a range of multiple options</w:t>
      </w:r>
      <w:r>
        <w:t xml:space="preserve">. </w:t>
      </w:r>
      <w:r w:rsidR="009E65BC">
        <w:t xml:space="preserve">Example items include “During the last week, how guilty do you feel about hair pulling?” and “During the last week, how upset at him/herself did your child get because of hair pulling or bald patches?” </w:t>
      </w:r>
      <w:r w:rsidR="00F409CE">
        <w:t>The r</w:t>
      </w:r>
      <w:r>
        <w:t>esponses are rated from 0 to 2</w:t>
      </w:r>
      <w:r w:rsidR="00F409CE">
        <w:t xml:space="preserve">, </w:t>
      </w:r>
      <w:r>
        <w:t>summed into two subscales</w:t>
      </w:r>
      <w:r w:rsidR="00F409CE">
        <w:t xml:space="preserve">, and divided by five or seven for the severity </w:t>
      </w:r>
      <w:r w:rsidR="00A347B4">
        <w:t>or</w:t>
      </w:r>
      <w:r w:rsidR="008059EA">
        <w:t xml:space="preserve"> </w:t>
      </w:r>
      <w:r w:rsidR="00F409CE">
        <w:t>distress/impairment subscales respectively</w:t>
      </w:r>
      <w:r>
        <w:t xml:space="preserve">. </w:t>
      </w:r>
      <w:r w:rsidR="00DE3F20">
        <w:t xml:space="preserve">Higher scores indicate greater trichotillomania symptoms. </w:t>
      </w:r>
      <w:r>
        <w:t>The TSC-</w:t>
      </w:r>
      <w:r w:rsidR="00640F6F">
        <w:t>Y</w:t>
      </w:r>
      <w:r>
        <w:t xml:space="preserve"> and TSC-P have demonstrated good internal consistency in the current sample (</w:t>
      </w:r>
      <w:r w:rsidRPr="00C21CCB">
        <w:rPr>
          <w:i/>
          <w:iCs/>
        </w:rPr>
        <w:sym w:font="Symbol" w:char="F061"/>
      </w:r>
      <w:r>
        <w:t>s = .89 for each)</w:t>
      </w:r>
      <w:r w:rsidR="00D65820">
        <w:t xml:space="preserve"> and acceptable validity, internal consistency, and reliab</w:t>
      </w:r>
      <w:r w:rsidR="004556CA">
        <w:t>ility</w:t>
      </w:r>
      <w:r w:rsidR="00D65820">
        <w:t xml:space="preserve"> in previous research (</w:t>
      </w:r>
      <w:proofErr w:type="spellStart"/>
      <w:r w:rsidR="00D65820">
        <w:t>Tolin</w:t>
      </w:r>
      <w:proofErr w:type="spellEnd"/>
      <w:r w:rsidR="00D65820">
        <w:t xml:space="preserve"> et al. 2008)</w:t>
      </w:r>
      <w:r>
        <w:t>.</w:t>
      </w:r>
      <w:r w:rsidR="0049009D">
        <w:t xml:space="preserve"> </w:t>
      </w:r>
      <w:r w:rsidR="002C45EF">
        <w:t>A</w:t>
      </w:r>
      <w:r w:rsidR="00EC54A2">
        <w:t>dditionally, a</w:t>
      </w:r>
      <w:r w:rsidR="002C45EF">
        <w:t xml:space="preserve"> recent meta-analysis found that the TSC-Y and TSC-P were both sensitive to change (Farhat et al., 2020).</w:t>
      </w:r>
      <w:r w:rsidR="002C2E8E">
        <w:t xml:space="preserve"> </w:t>
      </w:r>
      <w:r w:rsidR="0049009D">
        <w:t>Both the caregiver and adolescent completed the TSC-P AND TSC-</w:t>
      </w:r>
      <w:r w:rsidR="00640F6F">
        <w:t>Y</w:t>
      </w:r>
      <w:r w:rsidR="0049009D">
        <w:t>, respectively, at all timepoints.</w:t>
      </w:r>
    </w:p>
    <w:p w14:paraId="0842909D" w14:textId="487F36EE" w:rsidR="003B1ECB" w:rsidRDefault="003B1ECB" w:rsidP="00ED3E8F">
      <w:pPr>
        <w:spacing w:line="480" w:lineRule="auto"/>
      </w:pPr>
      <w:r>
        <w:tab/>
      </w:r>
      <w:r>
        <w:rPr>
          <w:b/>
          <w:bCs/>
        </w:rPr>
        <w:t>Youth Outcome Questionnaire 30.2 Self-Report and Parent-Report Versions</w:t>
      </w:r>
      <w:r>
        <w:t xml:space="preserve"> (YOQ-C &amp; YOQ-P; Burlingame</w:t>
      </w:r>
      <w:r w:rsidR="0061031A">
        <w:t xml:space="preserve"> et al., </w:t>
      </w:r>
      <w:r>
        <w:t xml:space="preserve">1998). The YOQ-C and YOQ-P are each 30-item measures of </w:t>
      </w:r>
      <w:r w:rsidR="00672D07">
        <w:t xml:space="preserve">self- </w:t>
      </w:r>
      <w:r>
        <w:t xml:space="preserve">and parent-rated </w:t>
      </w:r>
      <w:r w:rsidR="00672D07">
        <w:t>youth</w:t>
      </w:r>
      <w:r>
        <w:t xml:space="preserve"> distress and well-being. </w:t>
      </w:r>
      <w:r w:rsidR="008E3493">
        <w:t>Example items include “I am sad or unhappy” and “My</w:t>
      </w:r>
      <w:r w:rsidR="00CC4DD3">
        <w:t xml:space="preserve"> child’s</w:t>
      </w:r>
      <w:r w:rsidR="008E3493">
        <w:t xml:space="preserve"> emotions are strong and change quickly.” </w:t>
      </w:r>
      <w:r>
        <w:t xml:space="preserve">Items are rated on a five-point, Likert-type scale (0 = </w:t>
      </w:r>
      <w:r>
        <w:rPr>
          <w:i/>
          <w:iCs/>
        </w:rPr>
        <w:t>never or almost never</w:t>
      </w:r>
      <w:r>
        <w:t xml:space="preserve"> to 4 = </w:t>
      </w:r>
      <w:r>
        <w:rPr>
          <w:i/>
          <w:iCs/>
        </w:rPr>
        <w:t>always or almost always</w:t>
      </w:r>
      <w:r>
        <w:t xml:space="preserve">) and these responses are summed into a total score (range = 0 to 120). Scores for the YOQ-C of 30 or higher and scores on the YOQ-P of 29 or higher are </w:t>
      </w:r>
      <w:r w:rsidR="00D72644">
        <w:t xml:space="preserve">considered </w:t>
      </w:r>
      <w:r>
        <w:t>clinically significant. The YOQ-C and YOQ-P both demonstrated excellent internal consistency in the current sample (</w:t>
      </w:r>
      <w:r w:rsidRPr="00C21CCB">
        <w:rPr>
          <w:i/>
          <w:iCs/>
        </w:rPr>
        <w:sym w:font="Symbol" w:char="F061"/>
      </w:r>
      <w:r>
        <w:t xml:space="preserve"> = .95 for each)</w:t>
      </w:r>
      <w:r w:rsidR="00BF772E">
        <w:t xml:space="preserve"> and have good internal consistency, test-retest reliability, and concurrent validity in </w:t>
      </w:r>
      <w:r w:rsidR="00BF772E">
        <w:lastRenderedPageBreak/>
        <w:t xml:space="preserve">past research (Ridge et al., 2009). </w:t>
      </w:r>
      <w:r w:rsidR="009B458F">
        <w:t>Previous outcome research has</w:t>
      </w:r>
      <w:r w:rsidR="005B468D">
        <w:t xml:space="preserve"> also</w:t>
      </w:r>
      <w:r w:rsidR="009B458F">
        <w:t xml:space="preserve"> demonstrated that the YOQ is sensitive to change over time (e.g.,</w:t>
      </w:r>
      <w:r w:rsidR="008B1E90">
        <w:t xml:space="preserve"> Ricard et al., 2013;</w:t>
      </w:r>
      <w:r w:rsidR="003236B3">
        <w:t xml:space="preserve"> Russell et al., 2018</w:t>
      </w:r>
      <w:r w:rsidR="009B458F">
        <w:t>)</w:t>
      </w:r>
      <w:r w:rsidR="003236B3">
        <w:t>.</w:t>
      </w:r>
      <w:r w:rsidR="009B458F">
        <w:t xml:space="preserve"> </w:t>
      </w:r>
      <w:r w:rsidR="0097598D">
        <w:t>Both the caregiver and adolescent completed the YOQ-P and YOQ-C, respectively, at all timepoints.</w:t>
      </w:r>
    </w:p>
    <w:p w14:paraId="7CB28AA8" w14:textId="64C2EF85" w:rsidR="002C793A" w:rsidRDefault="002C793A" w:rsidP="002C793A">
      <w:pPr>
        <w:spacing w:line="480" w:lineRule="auto"/>
        <w:ind w:firstLine="720"/>
      </w:pPr>
      <w:r>
        <w:rPr>
          <w:b/>
          <w:bCs/>
        </w:rPr>
        <w:t xml:space="preserve">Acceptance and Action Questionnaire for Trichotillomania </w:t>
      </w:r>
      <w:r>
        <w:t>(AAQ-TTM; Houghton et al., 2014). The AAQ-TTM is a</w:t>
      </w:r>
      <w:r w:rsidR="00CA2C82">
        <w:t xml:space="preserve"> </w:t>
      </w:r>
      <w:r>
        <w:t>measure of psychological flexibility specifically designed for trichotillomania-related internal experiences. Examples of questions from the AAQ-TTM include, “</w:t>
      </w:r>
      <w:r w:rsidR="00352004">
        <w:t>Urges to pull are bad</w:t>
      </w:r>
      <w:r>
        <w:t>,” and “</w:t>
      </w:r>
      <w:r w:rsidR="00352004">
        <w:t>When I feel the urge to pull, I am unable to take care of my responsibilities.”</w:t>
      </w:r>
      <w:r>
        <w:t xml:space="preserve"> </w:t>
      </w:r>
      <w:r w:rsidR="000E0B9D">
        <w:t>The nine i</w:t>
      </w:r>
      <w:r>
        <w:t xml:space="preserve">tems in the AAQ-TTM are rated on a seven-point Likert-type scale (1 = </w:t>
      </w:r>
      <w:r>
        <w:rPr>
          <w:i/>
          <w:iCs/>
        </w:rPr>
        <w:t>never true</w:t>
      </w:r>
      <w:r>
        <w:t xml:space="preserve"> to 7 = </w:t>
      </w:r>
      <w:r>
        <w:rPr>
          <w:i/>
          <w:iCs/>
        </w:rPr>
        <w:t>always true</w:t>
      </w:r>
      <w:r>
        <w:t xml:space="preserve">) </w:t>
      </w:r>
      <w:r w:rsidR="0054124C">
        <w:t>and</w:t>
      </w:r>
      <w:r>
        <w:t xml:space="preserve"> are summed into a total score (range = 7 to 63)</w:t>
      </w:r>
      <w:r w:rsidR="00DD5147">
        <w:t>,</w:t>
      </w:r>
      <w:r>
        <w:t xml:space="preserve"> with higher scores indicating higher levels of </w:t>
      </w:r>
      <w:r w:rsidRPr="00107CC4">
        <w:t xml:space="preserve">psychological flexibility </w:t>
      </w:r>
      <w:r>
        <w:t xml:space="preserve">(i.e., </w:t>
      </w:r>
      <w:r w:rsidRPr="00107CC4">
        <w:t>lower levels of psychological inflexibility</w:t>
      </w:r>
      <w:r>
        <w:t>)</w:t>
      </w:r>
      <w:r w:rsidRPr="00107CC4">
        <w:t>.</w:t>
      </w:r>
      <w:r>
        <w:t xml:space="preserve"> The AAQ-TTM demonstrated excellent internal consistency in the current s</w:t>
      </w:r>
      <w:r w:rsidR="00352004">
        <w:t xml:space="preserve">tudy </w:t>
      </w:r>
      <w:r>
        <w:t>(</w:t>
      </w:r>
      <w:r w:rsidRPr="00C21CCB">
        <w:rPr>
          <w:i/>
          <w:iCs/>
        </w:rPr>
        <w:sym w:font="Symbol" w:char="F061"/>
      </w:r>
      <w:r>
        <w:t xml:space="preserve"> = .91)</w:t>
      </w:r>
      <w:r w:rsidR="00A719E0">
        <w:t>; previous samples indicate adequate reliability and validity (Houghton et al., 2014)</w:t>
      </w:r>
      <w:r w:rsidR="006A07B2">
        <w:t>, along with sensitivity to change (e.g., Lee et al., 2018</w:t>
      </w:r>
      <w:r w:rsidR="007D2719">
        <w:t>)</w:t>
      </w:r>
      <w:r>
        <w:t>. Only the adolescent completed the AAQ-TTM at all timepoints.</w:t>
      </w:r>
    </w:p>
    <w:p w14:paraId="687E5500" w14:textId="52B1EB9D" w:rsidR="002C793A" w:rsidRDefault="002C793A" w:rsidP="002C793A">
      <w:pPr>
        <w:spacing w:line="480" w:lineRule="auto"/>
        <w:ind w:firstLine="720"/>
      </w:pPr>
      <w:r>
        <w:rPr>
          <w:b/>
          <w:bCs/>
        </w:rPr>
        <w:t>Avoidance and Fusion Questionnaire for Youth</w:t>
      </w:r>
      <w:r w:rsidR="00935B9E">
        <w:rPr>
          <w:b/>
          <w:bCs/>
        </w:rPr>
        <w:t xml:space="preserve"> – short form</w:t>
      </w:r>
      <w:r>
        <w:t xml:space="preserve"> (AFQ-Y</w:t>
      </w:r>
      <w:r w:rsidR="00935B9E">
        <w:t>8</w:t>
      </w:r>
      <w:r>
        <w:t>; Greco</w:t>
      </w:r>
      <w:r w:rsidR="00CC0552">
        <w:t xml:space="preserve"> et al., </w:t>
      </w:r>
      <w:r>
        <w:t>2008). The AFQ-Y</w:t>
      </w:r>
      <w:r w:rsidR="00DD5147">
        <w:t>8</w:t>
      </w:r>
      <w:r>
        <w:t xml:space="preserve"> is </w:t>
      </w:r>
      <w:r w:rsidR="00935B9E">
        <w:t>an eight</w:t>
      </w:r>
      <w:r>
        <w:t>-item self-report measure of youth psychological inflexibility,</w:t>
      </w:r>
      <w:r w:rsidR="00935B9E">
        <w:t xml:space="preserve"> </w:t>
      </w:r>
      <w:r>
        <w:t xml:space="preserve">specifically assessing avoidance and fusion. </w:t>
      </w:r>
      <w:r w:rsidR="00DD5147">
        <w:t>Example items assessing avoidance and fusion</w:t>
      </w:r>
      <w:r>
        <w:t xml:space="preserve"> from the AFQ-Y</w:t>
      </w:r>
      <w:r w:rsidR="00DD5147">
        <w:t>8</w:t>
      </w:r>
      <w:r>
        <w:t xml:space="preserve"> </w:t>
      </w:r>
      <w:r w:rsidR="00DD5147">
        <w:t xml:space="preserve">are </w:t>
      </w:r>
      <w:r>
        <w:t xml:space="preserve">“I </w:t>
      </w:r>
      <w:r w:rsidR="0061281A">
        <w:t>am afraid of my feelings</w:t>
      </w:r>
      <w:r>
        <w:t>,” and “The bad things I think about myself must be true.</w:t>
      </w:r>
      <w:r w:rsidR="00807CDB">
        <w:t>”</w:t>
      </w:r>
      <w:r>
        <w:t xml:space="preserve"> Each item is rated on a five-point, Likert-type scale (0 = </w:t>
      </w:r>
      <w:r>
        <w:rPr>
          <w:i/>
          <w:iCs/>
        </w:rPr>
        <w:t>not at all true</w:t>
      </w:r>
      <w:r>
        <w:t xml:space="preserve"> to 4 = </w:t>
      </w:r>
      <w:r>
        <w:rPr>
          <w:i/>
          <w:iCs/>
        </w:rPr>
        <w:t>very true</w:t>
      </w:r>
      <w:r>
        <w:t xml:space="preserve">). All items are summed for a total score ranging from 0 to </w:t>
      </w:r>
      <w:r w:rsidR="000C700B">
        <w:t>32</w:t>
      </w:r>
      <w:r w:rsidR="0086768E">
        <w:t>,</w:t>
      </w:r>
      <w:r>
        <w:t xml:space="preserve"> with higher scores indicating higher levels of psychological inflexibility. The AFQ-Y demonstrated good internal consistency in the current sample (</w:t>
      </w:r>
      <w:r w:rsidRPr="00C21CCB">
        <w:rPr>
          <w:i/>
          <w:iCs/>
        </w:rPr>
        <w:sym w:font="Symbol" w:char="F061"/>
      </w:r>
      <w:r>
        <w:t xml:space="preserve"> = .87)</w:t>
      </w:r>
      <w:r w:rsidR="00EE3EC1">
        <w:t xml:space="preserve"> and acceptable reliability and validity in past samples (Greco et al., </w:t>
      </w:r>
      <w:r w:rsidR="00EE3EC1">
        <w:lastRenderedPageBreak/>
        <w:t>2008)</w:t>
      </w:r>
      <w:r>
        <w:t xml:space="preserve">. </w:t>
      </w:r>
      <w:r w:rsidR="005A43E2">
        <w:t xml:space="preserve">Previous trials have demonstrated the AFQ-Y8 </w:t>
      </w:r>
      <w:r w:rsidR="0086768E">
        <w:t>i</w:t>
      </w:r>
      <w:r w:rsidR="005A43E2">
        <w:t xml:space="preserve">s sensitive to change (e.g., Hancock et al., 2018). </w:t>
      </w:r>
      <w:r>
        <w:t>Only the adolescent completed the AFQ-Y at all timepoints.</w:t>
      </w:r>
    </w:p>
    <w:p w14:paraId="518FD883" w14:textId="1ADD5584" w:rsidR="003B1ECB" w:rsidRPr="00DE3DC0" w:rsidRDefault="003B1ECB" w:rsidP="00ED3E8F">
      <w:pPr>
        <w:spacing w:line="480" w:lineRule="auto"/>
      </w:pPr>
      <w:r>
        <w:tab/>
      </w:r>
      <w:r>
        <w:rPr>
          <w:b/>
          <w:bCs/>
        </w:rPr>
        <w:t>Parental Acceptance Questionnaire</w:t>
      </w:r>
      <w:r>
        <w:t xml:space="preserve"> (6-PAQ; Greene</w:t>
      </w:r>
      <w:r w:rsidR="00CC0552">
        <w:t xml:space="preserve"> et al., </w:t>
      </w:r>
      <w:r>
        <w:t>2015). The 6-PAQ is an 18-item self-report measure that was designed to assess six processes that are believed to contribute psychological flexibility among parents. Examples of items from the 6-PAQ include, “When interacting with my child, I focus on our time together” and “If someone criticizes my parenting, I must be a bad parent.” The six subscales are acceptance, defusion, being present, self as context, values</w:t>
      </w:r>
      <w:r w:rsidR="0086768E">
        <w:t>,</w:t>
      </w:r>
      <w:r>
        <w:t xml:space="preserve"> and committed action in relation to parenting practices. Each item is rated on a four-point, Likert-type scale (1 = </w:t>
      </w:r>
      <w:r>
        <w:rPr>
          <w:i/>
          <w:iCs/>
        </w:rPr>
        <w:t>strongly disagree/never</w:t>
      </w:r>
      <w:r>
        <w:t xml:space="preserve"> to 4 = </w:t>
      </w:r>
      <w:r>
        <w:rPr>
          <w:i/>
          <w:iCs/>
        </w:rPr>
        <w:t>strongly agree/almost always</w:t>
      </w:r>
      <w:r>
        <w:t>). Items 1, 2, 5, 7, 10, 15, and 18 are reverse scored</w:t>
      </w:r>
      <w:r w:rsidR="00F901EA">
        <w:t xml:space="preserve"> and</w:t>
      </w:r>
      <w:r>
        <w:t xml:space="preserve"> then all items are summed for a total score</w:t>
      </w:r>
      <w:r w:rsidR="00F901EA">
        <w:t>.</w:t>
      </w:r>
      <w:r>
        <w:t xml:space="preserve"> </w:t>
      </w:r>
      <w:r w:rsidR="00F901EA">
        <w:t>L</w:t>
      </w:r>
      <w:r>
        <w:t>ower scores indicat</w:t>
      </w:r>
      <w:r w:rsidR="00F901EA">
        <w:t>e</w:t>
      </w:r>
      <w:r>
        <w:t xml:space="preserve"> higher levels of parental psychological </w:t>
      </w:r>
      <w:r>
        <w:rPr>
          <w:i/>
          <w:iCs/>
        </w:rPr>
        <w:t>flexibility</w:t>
      </w:r>
      <w:r>
        <w:t xml:space="preserve"> </w:t>
      </w:r>
      <w:r w:rsidR="00647F55">
        <w:t>(i.e., low psychological inflexibility).</w:t>
      </w:r>
      <w:r>
        <w:t xml:space="preserve"> The 6-PAQ demonstrated </w:t>
      </w:r>
      <w:r w:rsidR="004D47FB">
        <w:t>unacceptable</w:t>
      </w:r>
      <w:r>
        <w:t xml:space="preserve"> internal consistency in the current sample (</w:t>
      </w:r>
      <w:r w:rsidRPr="00C21CCB">
        <w:rPr>
          <w:i/>
          <w:iCs/>
        </w:rPr>
        <w:sym w:font="Symbol" w:char="F061"/>
      </w:r>
      <w:r>
        <w:t xml:space="preserve"> = </w:t>
      </w:r>
      <w:r w:rsidR="00235A56">
        <w:t>.57</w:t>
      </w:r>
      <w:r>
        <w:t xml:space="preserve">). </w:t>
      </w:r>
      <w:r w:rsidR="0086768E">
        <w:t>However, p</w:t>
      </w:r>
      <w:r w:rsidR="008C0B21">
        <w:t xml:space="preserve">ast research has found reliability and validity of the 6-PAQ to be ranging from acceptable to good (Greene et al., 2015). </w:t>
      </w:r>
      <w:r w:rsidR="001E5928">
        <w:t>Previous research on pare</w:t>
      </w:r>
      <w:r w:rsidR="00E766DB">
        <w:t>nting interventions indicate</w:t>
      </w:r>
      <w:r w:rsidR="0086768E">
        <w:t>d good</w:t>
      </w:r>
      <w:r w:rsidR="00E766DB">
        <w:t xml:space="preserve"> sensitivity to change (e.g., </w:t>
      </w:r>
      <w:proofErr w:type="spellStart"/>
      <w:r w:rsidR="00E766DB">
        <w:t>Flujas</w:t>
      </w:r>
      <w:proofErr w:type="spellEnd"/>
      <w:r w:rsidR="00E766DB">
        <w:t xml:space="preserve">-Contreras et al., 2021). </w:t>
      </w:r>
      <w:r w:rsidR="00137130">
        <w:t>Only the caregiver completed the 6-PAQ at all timepoints.</w:t>
      </w:r>
    </w:p>
    <w:p w14:paraId="1671E891" w14:textId="77777777" w:rsidR="003B1ECB" w:rsidRDefault="003B1ECB" w:rsidP="00ED3E8F">
      <w:pPr>
        <w:spacing w:line="480" w:lineRule="auto"/>
        <w:rPr>
          <w:b/>
        </w:rPr>
      </w:pPr>
      <w:r>
        <w:rPr>
          <w:b/>
        </w:rPr>
        <w:t>Statistical analyses</w:t>
      </w:r>
    </w:p>
    <w:p w14:paraId="2AF3C763" w14:textId="07903137" w:rsidR="003B1ECB" w:rsidRDefault="003B1ECB" w:rsidP="00ED3E8F">
      <w:pPr>
        <w:spacing w:line="480" w:lineRule="auto"/>
        <w:rPr>
          <w:bCs/>
        </w:rPr>
      </w:pPr>
      <w:r>
        <w:rPr>
          <w:bCs/>
        </w:rPr>
        <w:tab/>
        <w:t xml:space="preserve">All analyses were conducted using R in RStudio, version 4.1.1 (R Core Team, 2021). The following packages were used in analyses: </w:t>
      </w:r>
      <w:proofErr w:type="spellStart"/>
      <w:r>
        <w:rPr>
          <w:bCs/>
        </w:rPr>
        <w:t>tidyverse</w:t>
      </w:r>
      <w:proofErr w:type="spellEnd"/>
      <w:r w:rsidR="007A04D1">
        <w:rPr>
          <w:bCs/>
        </w:rPr>
        <w:t xml:space="preserve"> (Wickham et al., 2019)</w:t>
      </w:r>
      <w:r>
        <w:rPr>
          <w:bCs/>
        </w:rPr>
        <w:t>, furniture</w:t>
      </w:r>
      <w:r w:rsidR="00285667">
        <w:rPr>
          <w:bCs/>
        </w:rPr>
        <w:t xml:space="preserve"> (Barrett &amp; Brignone, 2017)</w:t>
      </w:r>
      <w:r>
        <w:rPr>
          <w:bCs/>
        </w:rPr>
        <w:t xml:space="preserve">, </w:t>
      </w:r>
      <w:proofErr w:type="spellStart"/>
      <w:r>
        <w:rPr>
          <w:bCs/>
        </w:rPr>
        <w:t>dplyr</w:t>
      </w:r>
      <w:proofErr w:type="spellEnd"/>
      <w:r w:rsidR="000918B8">
        <w:rPr>
          <w:bCs/>
        </w:rPr>
        <w:t xml:space="preserve"> (</w:t>
      </w:r>
      <w:proofErr w:type="spellStart"/>
      <w:r w:rsidR="000918B8" w:rsidRPr="000918B8">
        <w:rPr>
          <w:bCs/>
        </w:rPr>
        <w:t>Mailund</w:t>
      </w:r>
      <w:proofErr w:type="spellEnd"/>
      <w:r w:rsidR="000918B8" w:rsidRPr="000918B8">
        <w:rPr>
          <w:bCs/>
        </w:rPr>
        <w:t>,</w:t>
      </w:r>
      <w:r w:rsidR="002B48F3">
        <w:rPr>
          <w:bCs/>
        </w:rPr>
        <w:t xml:space="preserve"> 2019</w:t>
      </w:r>
      <w:r w:rsidR="000918B8">
        <w:rPr>
          <w:bCs/>
        </w:rPr>
        <w:t>)</w:t>
      </w:r>
      <w:r>
        <w:rPr>
          <w:bCs/>
        </w:rPr>
        <w:t>, ggplot2</w:t>
      </w:r>
      <w:r w:rsidR="00890202">
        <w:rPr>
          <w:bCs/>
        </w:rPr>
        <w:t xml:space="preserve"> (Wickham, 2011)</w:t>
      </w:r>
      <w:r>
        <w:rPr>
          <w:bCs/>
        </w:rPr>
        <w:t xml:space="preserve">, </w:t>
      </w:r>
      <w:proofErr w:type="spellStart"/>
      <w:r>
        <w:rPr>
          <w:bCs/>
        </w:rPr>
        <w:t>cowplot</w:t>
      </w:r>
      <w:proofErr w:type="spellEnd"/>
      <w:r w:rsidR="00D96CB3">
        <w:rPr>
          <w:bCs/>
        </w:rPr>
        <w:t xml:space="preserve"> (Wilke</w:t>
      </w:r>
      <w:r w:rsidR="00AA2486">
        <w:rPr>
          <w:bCs/>
        </w:rPr>
        <w:t xml:space="preserve"> et al.</w:t>
      </w:r>
      <w:r w:rsidR="00D96CB3">
        <w:rPr>
          <w:bCs/>
        </w:rPr>
        <w:t>, 2019)</w:t>
      </w:r>
      <w:r>
        <w:rPr>
          <w:bCs/>
        </w:rPr>
        <w:t xml:space="preserve">, </w:t>
      </w:r>
      <w:proofErr w:type="spellStart"/>
      <w:r>
        <w:rPr>
          <w:bCs/>
        </w:rPr>
        <w:t>magrittr</w:t>
      </w:r>
      <w:proofErr w:type="spellEnd"/>
      <w:r w:rsidR="00C62E6E">
        <w:rPr>
          <w:bCs/>
        </w:rPr>
        <w:t xml:space="preserve"> (</w:t>
      </w:r>
      <w:r w:rsidR="00C62E6E" w:rsidRPr="00C62E6E">
        <w:rPr>
          <w:bCs/>
        </w:rPr>
        <w:t>Bache</w:t>
      </w:r>
      <w:r w:rsidR="00E84708">
        <w:rPr>
          <w:bCs/>
        </w:rPr>
        <w:t xml:space="preserve"> et al., </w:t>
      </w:r>
      <w:r w:rsidR="00C62E6E">
        <w:rPr>
          <w:bCs/>
        </w:rPr>
        <w:t>2020)</w:t>
      </w:r>
      <w:r>
        <w:rPr>
          <w:bCs/>
        </w:rPr>
        <w:t xml:space="preserve">, </w:t>
      </w:r>
      <w:proofErr w:type="spellStart"/>
      <w:r>
        <w:rPr>
          <w:bCs/>
        </w:rPr>
        <w:t>stringr</w:t>
      </w:r>
      <w:proofErr w:type="spellEnd"/>
      <w:r w:rsidR="00FE3876">
        <w:rPr>
          <w:bCs/>
        </w:rPr>
        <w:t xml:space="preserve"> (Wickham &amp; Wickham, 2019)</w:t>
      </w:r>
      <w:r>
        <w:rPr>
          <w:bCs/>
        </w:rPr>
        <w:t xml:space="preserve">, </w:t>
      </w:r>
      <w:proofErr w:type="spellStart"/>
      <w:r>
        <w:rPr>
          <w:bCs/>
        </w:rPr>
        <w:t>effectsize</w:t>
      </w:r>
      <w:proofErr w:type="spellEnd"/>
      <w:r w:rsidR="00B17CCC">
        <w:rPr>
          <w:bCs/>
        </w:rPr>
        <w:t xml:space="preserve"> (</w:t>
      </w:r>
      <w:r w:rsidR="00B17CCC" w:rsidRPr="00130FE2">
        <w:rPr>
          <w:bCs/>
        </w:rPr>
        <w:t>Ben-</w:t>
      </w:r>
      <w:proofErr w:type="spellStart"/>
      <w:r w:rsidR="00B17CCC" w:rsidRPr="00130FE2">
        <w:rPr>
          <w:bCs/>
        </w:rPr>
        <w:t>Shachar</w:t>
      </w:r>
      <w:proofErr w:type="spellEnd"/>
      <w:r w:rsidR="00100401">
        <w:rPr>
          <w:bCs/>
        </w:rPr>
        <w:t xml:space="preserve"> et al., </w:t>
      </w:r>
      <w:r w:rsidR="00B17CCC">
        <w:rPr>
          <w:bCs/>
        </w:rPr>
        <w:t>2020)</w:t>
      </w:r>
      <w:r>
        <w:rPr>
          <w:bCs/>
        </w:rPr>
        <w:t xml:space="preserve">, </w:t>
      </w:r>
      <w:proofErr w:type="spellStart"/>
      <w:r>
        <w:rPr>
          <w:bCs/>
        </w:rPr>
        <w:t>texreg</w:t>
      </w:r>
      <w:proofErr w:type="spellEnd"/>
      <w:r w:rsidR="0088065E">
        <w:rPr>
          <w:bCs/>
        </w:rPr>
        <w:t xml:space="preserve"> (</w:t>
      </w:r>
      <w:proofErr w:type="spellStart"/>
      <w:r w:rsidR="0088065E">
        <w:rPr>
          <w:bCs/>
        </w:rPr>
        <w:t>Leifeld</w:t>
      </w:r>
      <w:proofErr w:type="spellEnd"/>
      <w:r w:rsidR="0088065E">
        <w:rPr>
          <w:bCs/>
        </w:rPr>
        <w:t>, 2013)</w:t>
      </w:r>
      <w:r>
        <w:rPr>
          <w:bCs/>
        </w:rPr>
        <w:t xml:space="preserve">, and </w:t>
      </w:r>
      <w:proofErr w:type="spellStart"/>
      <w:r>
        <w:rPr>
          <w:bCs/>
        </w:rPr>
        <w:t>lmerTest</w:t>
      </w:r>
      <w:proofErr w:type="spellEnd"/>
      <w:r w:rsidR="001928F2">
        <w:rPr>
          <w:bCs/>
        </w:rPr>
        <w:t xml:space="preserve"> (</w:t>
      </w:r>
      <w:r w:rsidR="001928F2" w:rsidRPr="001928F2">
        <w:rPr>
          <w:bCs/>
        </w:rPr>
        <w:t>Kuznetsova</w:t>
      </w:r>
      <w:r w:rsidR="00AA2486">
        <w:rPr>
          <w:bCs/>
        </w:rPr>
        <w:t xml:space="preserve"> et al.</w:t>
      </w:r>
      <w:r w:rsidR="001928F2" w:rsidRPr="001928F2">
        <w:rPr>
          <w:bCs/>
        </w:rPr>
        <w:t>, 2017</w:t>
      </w:r>
      <w:r w:rsidR="001928F2">
        <w:rPr>
          <w:bCs/>
        </w:rPr>
        <w:t>)</w:t>
      </w:r>
      <w:r>
        <w:rPr>
          <w:bCs/>
        </w:rPr>
        <w:t xml:space="preserve">. Because this paper is reporting results from a previously published </w:t>
      </w:r>
      <w:r w:rsidR="00645C8C">
        <w:rPr>
          <w:bCs/>
        </w:rPr>
        <w:t xml:space="preserve">pilot </w:t>
      </w:r>
      <w:r>
        <w:rPr>
          <w:bCs/>
        </w:rPr>
        <w:t xml:space="preserve">randomized controlled trial </w:t>
      </w:r>
      <w:r w:rsidR="007E2078">
        <w:rPr>
          <w:bCs/>
        </w:rPr>
        <w:t>(</w:t>
      </w:r>
      <w:r w:rsidR="007B02D3">
        <w:rPr>
          <w:bCs/>
        </w:rPr>
        <w:t xml:space="preserve">Twohig et al., </w:t>
      </w:r>
      <w:r w:rsidR="007B02D3">
        <w:rPr>
          <w:bCs/>
        </w:rPr>
        <w:lastRenderedPageBreak/>
        <w:t>2021</w:t>
      </w:r>
      <w:r w:rsidR="007E2078">
        <w:rPr>
          <w:bCs/>
        </w:rPr>
        <w:t>)</w:t>
      </w:r>
      <w:r>
        <w:rPr>
          <w:bCs/>
        </w:rPr>
        <w:t>, the waitlist and treatment groups were combined to evaluate effects of treatment over time. For the present study, the waitlist group’s pre-treatment point used the “post-waitlist” measures, as this timepoint was right before beginning treatment and presented the most conservative method (as opposed to using the pre-waitlist timepoint).</w:t>
      </w:r>
    </w:p>
    <w:p w14:paraId="6534EA18" w14:textId="29A908D3" w:rsidR="003B1ECB" w:rsidRDefault="003B1ECB" w:rsidP="00ED3E8F">
      <w:pPr>
        <w:spacing w:line="480" w:lineRule="auto"/>
        <w:rPr>
          <w:bCs/>
        </w:rPr>
      </w:pPr>
      <w:r>
        <w:rPr>
          <w:bCs/>
        </w:rPr>
        <w:tab/>
        <w:t xml:space="preserve">Multilevel models (MLM) were used to evaluate change over time in an intention-to-treat sample for the main outcomes of parent and youth-rated trichotillomania severity, trichotillomania-related distress, and mental health functioning. MLMs were also used to evaluate </w:t>
      </w:r>
      <w:r w:rsidR="0013468A">
        <w:rPr>
          <w:bCs/>
        </w:rPr>
        <w:t xml:space="preserve">process </w:t>
      </w:r>
      <w:r>
        <w:rPr>
          <w:bCs/>
        </w:rPr>
        <w:t xml:space="preserve">outcomes of youth psychological inflexibility, trichotillomania-specific psychological inflexibility, and parental psychological inflexibility. Parent and youth outcomes were all tested in separate models. Each model contained a fixed effect of time (i.e., weeks) and a random intercept for each participant. Final models used maximum likelihood criteria and </w:t>
      </w:r>
      <w:r>
        <w:rPr>
          <w:bCs/>
          <w:i/>
          <w:iCs/>
        </w:rPr>
        <w:t>p</w:t>
      </w:r>
      <w:r>
        <w:rPr>
          <w:bCs/>
        </w:rPr>
        <w:t xml:space="preserve"> values are based Satterthwaite’s method. Effect sizes using Hedges’ </w:t>
      </w:r>
      <w:r w:rsidRPr="00C21CCB">
        <w:rPr>
          <w:bCs/>
          <w:i/>
          <w:iCs/>
        </w:rPr>
        <w:t>g</w:t>
      </w:r>
      <w:r>
        <w:rPr>
          <w:bCs/>
        </w:rPr>
        <w:t xml:space="preserve"> were also calculated for within-group changes across timepoints (pre-treatment to posttreatment, pre-treatment to three-month follow-up, etc.)</w:t>
      </w:r>
      <w:r w:rsidR="003365F0">
        <w:rPr>
          <w:bCs/>
        </w:rPr>
        <w:t>.</w:t>
      </w:r>
      <w:r w:rsidR="00550BAA" w:rsidRPr="00550BAA">
        <w:rPr>
          <w:bCs/>
        </w:rPr>
        <w:t xml:space="preserve"> </w:t>
      </w:r>
      <w:r w:rsidR="00C748EA">
        <w:rPr>
          <w:bCs/>
        </w:rPr>
        <w:t>For effect sizes, .2 is considered a small effect, .5 a medium effect, and .8 a large effect.</w:t>
      </w:r>
    </w:p>
    <w:p w14:paraId="3A057F59" w14:textId="77777777" w:rsidR="003B1ECB" w:rsidRDefault="003B1ECB" w:rsidP="00ED3E8F">
      <w:pPr>
        <w:spacing w:line="480" w:lineRule="auto"/>
        <w:jc w:val="center"/>
        <w:rPr>
          <w:b/>
        </w:rPr>
      </w:pPr>
      <w:r>
        <w:rPr>
          <w:b/>
        </w:rPr>
        <w:t xml:space="preserve">Results </w:t>
      </w:r>
    </w:p>
    <w:p w14:paraId="38BD8EB4" w14:textId="696D3EF8" w:rsidR="00924822" w:rsidRDefault="003B1ECB" w:rsidP="00ED3E8F">
      <w:pPr>
        <w:spacing w:line="480" w:lineRule="auto"/>
        <w:rPr>
          <w:bCs/>
        </w:rPr>
      </w:pPr>
      <w:r>
        <w:rPr>
          <w:bCs/>
        </w:rPr>
        <w:tab/>
        <w:t xml:space="preserve">Means and standard deviations for all outcomes and timepoints for youth and parent measures can be found in Table 1. Estimated marginal means and 95% confidence intervals for youth models can be found in Table </w:t>
      </w:r>
      <w:r w:rsidR="0061250E">
        <w:rPr>
          <w:bCs/>
        </w:rPr>
        <w:t>2</w:t>
      </w:r>
      <w:r>
        <w:rPr>
          <w:bCs/>
        </w:rPr>
        <w:t xml:space="preserve"> and in Table </w:t>
      </w:r>
      <w:r w:rsidR="0061250E">
        <w:rPr>
          <w:bCs/>
        </w:rPr>
        <w:t>3</w:t>
      </w:r>
      <w:r>
        <w:rPr>
          <w:bCs/>
        </w:rPr>
        <w:t xml:space="preserve"> for parent models. Effect sizes for youth and parent outcomes can be found in Table</w:t>
      </w:r>
      <w:r w:rsidR="0061250E">
        <w:rPr>
          <w:bCs/>
        </w:rPr>
        <w:t xml:space="preserve"> 4</w:t>
      </w:r>
      <w:r>
        <w:rPr>
          <w:bCs/>
        </w:rPr>
        <w:t>. Figure 1 illustrates participant retention across follow-up timepoints.</w:t>
      </w:r>
      <w:r w:rsidR="0058058A">
        <w:rPr>
          <w:bCs/>
        </w:rPr>
        <w:t xml:space="preserve"> </w:t>
      </w:r>
    </w:p>
    <w:p w14:paraId="34773468" w14:textId="77777777" w:rsidR="00DE19D6" w:rsidRDefault="00DE19D6" w:rsidP="00DE19D6">
      <w:pPr>
        <w:spacing w:line="480" w:lineRule="auto"/>
        <w:rPr>
          <w:b/>
        </w:rPr>
      </w:pPr>
      <w:r>
        <w:rPr>
          <w:b/>
        </w:rPr>
        <w:t>Trichotillomania severity</w:t>
      </w:r>
      <w:r w:rsidR="003E3B3C">
        <w:rPr>
          <w:b/>
        </w:rPr>
        <w:t xml:space="preserve"> and distress</w:t>
      </w:r>
    </w:p>
    <w:p w14:paraId="5C2257AA" w14:textId="1ADB8771" w:rsidR="00DE19D6" w:rsidRPr="00184BE0" w:rsidRDefault="00DE19D6" w:rsidP="00DE19D6">
      <w:pPr>
        <w:spacing w:line="480" w:lineRule="auto"/>
        <w:rPr>
          <w:bCs/>
        </w:rPr>
      </w:pPr>
      <w:r>
        <w:rPr>
          <w:b/>
        </w:rPr>
        <w:lastRenderedPageBreak/>
        <w:tab/>
      </w:r>
      <w:r>
        <w:rPr>
          <w:bCs/>
        </w:rPr>
        <w:t xml:space="preserve">Models for both parent- and youth-reported trichotillomania severity had a significant effect of time. There was a significant decrease in both parent- and youth-reported trichotillomania severity over time (See Figure 2). For the youth report, there were large effects from pre-treatment to posttreatment (Hedges’ </w:t>
      </w:r>
      <w:r>
        <w:rPr>
          <w:bCs/>
          <w:i/>
          <w:iCs/>
        </w:rPr>
        <w:t>g</w:t>
      </w:r>
      <w:r>
        <w:rPr>
          <w:bCs/>
        </w:rPr>
        <w:t xml:space="preserve"> = 1.27), three-month follow-up (1.04), six-month follow-up (1.34), and 12-month follow-up (1.09). For the parent report, there were medium to large effects from pre-treatment to posttreatment (Hedges’ </w:t>
      </w:r>
      <w:r>
        <w:rPr>
          <w:bCs/>
          <w:i/>
          <w:iCs/>
        </w:rPr>
        <w:t>g</w:t>
      </w:r>
      <w:r>
        <w:rPr>
          <w:bCs/>
        </w:rPr>
        <w:t xml:space="preserve"> = 1.08), three-month follow-up (.71), six-month follow-up (.99), and 12-month follow-up (1.01). </w:t>
      </w:r>
    </w:p>
    <w:p w14:paraId="2C8A0574" w14:textId="05A4C655" w:rsidR="003E3B3C" w:rsidRDefault="00DE19D6" w:rsidP="003E3B3C">
      <w:pPr>
        <w:spacing w:line="480" w:lineRule="auto"/>
        <w:ind w:firstLine="720"/>
        <w:rPr>
          <w:bCs/>
        </w:rPr>
      </w:pPr>
      <w:r>
        <w:rPr>
          <w:bCs/>
        </w:rPr>
        <w:t xml:space="preserve">Models for both parent- and youth-reported trichotillomania-related distress </w:t>
      </w:r>
      <w:r w:rsidR="00B748A5">
        <w:rPr>
          <w:bCs/>
        </w:rPr>
        <w:t xml:space="preserve">had </w:t>
      </w:r>
      <w:r>
        <w:rPr>
          <w:bCs/>
        </w:rPr>
        <w:t xml:space="preserve">a significant effect of time. There was a significant decrease in both parent- and youth-reported trichotillomania severity over time (See Figure 2). For the youth report, there were medium effects for pre-treatment to posttreatment (Hedges’ </w:t>
      </w:r>
      <w:r>
        <w:rPr>
          <w:bCs/>
          <w:i/>
          <w:iCs/>
        </w:rPr>
        <w:t xml:space="preserve">g </w:t>
      </w:r>
      <w:r>
        <w:rPr>
          <w:bCs/>
        </w:rPr>
        <w:t xml:space="preserve">= .67), three-month follow-up (.62), six-month follow-up (.75), and 12-month follow-up (.55). For the parent report, there were medium to large effects for pre-treatment to posttreatment (1.04), three-month follow-up (.62), six-month follow-up (1.02), and 12-month follow-up (.82). </w:t>
      </w:r>
    </w:p>
    <w:p w14:paraId="45FFEDCF" w14:textId="55EF03FC" w:rsidR="00C835BA" w:rsidRDefault="00B835A5" w:rsidP="003E3B3C">
      <w:pPr>
        <w:spacing w:line="480" w:lineRule="auto"/>
        <w:ind w:firstLine="720"/>
        <w:rPr>
          <w:bCs/>
        </w:rPr>
      </w:pPr>
      <w:r>
        <w:rPr>
          <w:b/>
        </w:rPr>
        <w:t xml:space="preserve">Clinical responder status. </w:t>
      </w:r>
      <w:r>
        <w:rPr>
          <w:bCs/>
        </w:rPr>
        <w:t xml:space="preserve">Both </w:t>
      </w:r>
      <w:r w:rsidR="00386AA3">
        <w:rPr>
          <w:bCs/>
        </w:rPr>
        <w:t>TSC-Y and TSC-P</w:t>
      </w:r>
      <w:r>
        <w:rPr>
          <w:bCs/>
        </w:rPr>
        <w:t xml:space="preserve"> total scores were examined for responder status from pre-treatment to each follow-up point. Based on previous research, a </w:t>
      </w:r>
      <w:r w:rsidR="00CF41B0">
        <w:rPr>
          <w:bCs/>
        </w:rPr>
        <w:t xml:space="preserve">participant was considered a </w:t>
      </w:r>
      <w:r>
        <w:rPr>
          <w:bCs/>
        </w:rPr>
        <w:t xml:space="preserve">responder </w:t>
      </w:r>
      <w:r w:rsidR="00CF41B0">
        <w:rPr>
          <w:bCs/>
        </w:rPr>
        <w:t xml:space="preserve">if they reported a </w:t>
      </w:r>
      <w:r>
        <w:rPr>
          <w:bCs/>
        </w:rPr>
        <w:t>25% reduction in TSC-Y scores and</w:t>
      </w:r>
      <w:r w:rsidR="004B55CA">
        <w:rPr>
          <w:bCs/>
        </w:rPr>
        <w:t>/or</w:t>
      </w:r>
      <w:r>
        <w:rPr>
          <w:bCs/>
        </w:rPr>
        <w:t xml:space="preserve"> a 45</w:t>
      </w:r>
      <w:r w:rsidR="003365F0">
        <w:rPr>
          <w:bCs/>
        </w:rPr>
        <w:t>–</w:t>
      </w:r>
      <w:r>
        <w:rPr>
          <w:bCs/>
        </w:rPr>
        <w:t>50% reduction in TSC-P scores (Farhat et al., 202</w:t>
      </w:r>
      <w:r w:rsidR="00B600C5">
        <w:rPr>
          <w:bCs/>
        </w:rPr>
        <w:t>0</w:t>
      </w:r>
      <w:r>
        <w:rPr>
          <w:bCs/>
        </w:rPr>
        <w:t xml:space="preserve">). </w:t>
      </w:r>
      <w:r w:rsidR="00FC657F">
        <w:rPr>
          <w:bCs/>
        </w:rPr>
        <w:t xml:space="preserve">Thus, percent reductions in total TSC scores were calculated for both parent and </w:t>
      </w:r>
      <w:r w:rsidR="00177387">
        <w:rPr>
          <w:bCs/>
        </w:rPr>
        <w:t>youth</w:t>
      </w:r>
      <w:r w:rsidR="00FC657F">
        <w:rPr>
          <w:bCs/>
        </w:rPr>
        <w:t xml:space="preserve"> total ratings</w:t>
      </w:r>
      <w:r w:rsidR="0041691B">
        <w:rPr>
          <w:bCs/>
        </w:rPr>
        <w:t xml:space="preserve"> (see Table </w:t>
      </w:r>
      <w:r w:rsidR="00D36288">
        <w:rPr>
          <w:bCs/>
        </w:rPr>
        <w:t>5</w:t>
      </w:r>
      <w:r w:rsidR="0041691B">
        <w:rPr>
          <w:bCs/>
        </w:rPr>
        <w:t>)</w:t>
      </w:r>
      <w:r w:rsidR="00FC657F">
        <w:rPr>
          <w:bCs/>
        </w:rPr>
        <w:t xml:space="preserve">. </w:t>
      </w:r>
      <w:r w:rsidR="005645ED">
        <w:rPr>
          <w:bCs/>
        </w:rPr>
        <w:t>Across timepoints</w:t>
      </w:r>
      <w:r w:rsidR="00C835BA">
        <w:rPr>
          <w:bCs/>
        </w:rPr>
        <w:t>, 52</w:t>
      </w:r>
      <w:r w:rsidR="003365F0">
        <w:rPr>
          <w:bCs/>
        </w:rPr>
        <w:t>–</w:t>
      </w:r>
      <w:r w:rsidR="00C835BA">
        <w:rPr>
          <w:bCs/>
        </w:rPr>
        <w:t xml:space="preserve">63% of adolescents reported reductions within the clinical responder range. </w:t>
      </w:r>
      <w:r w:rsidR="00751991">
        <w:rPr>
          <w:bCs/>
        </w:rPr>
        <w:t>For parents</w:t>
      </w:r>
      <w:r w:rsidR="00C835BA">
        <w:rPr>
          <w:bCs/>
        </w:rPr>
        <w:t>, 16</w:t>
      </w:r>
      <w:r w:rsidR="003365F0">
        <w:rPr>
          <w:bCs/>
        </w:rPr>
        <w:t>–</w:t>
      </w:r>
      <w:r w:rsidR="00C835BA">
        <w:rPr>
          <w:bCs/>
        </w:rPr>
        <w:t>44% reported reductions within the clinical responder range across timepoints.</w:t>
      </w:r>
    </w:p>
    <w:p w14:paraId="065300A9" w14:textId="77777777" w:rsidR="00DE19D6" w:rsidRDefault="00DE19D6" w:rsidP="00DE19D6">
      <w:pPr>
        <w:spacing w:line="480" w:lineRule="auto"/>
        <w:rPr>
          <w:b/>
        </w:rPr>
      </w:pPr>
      <w:r>
        <w:rPr>
          <w:b/>
        </w:rPr>
        <w:t>Mental health functioning</w:t>
      </w:r>
    </w:p>
    <w:p w14:paraId="394CFA6F" w14:textId="77777777" w:rsidR="00DE19D6" w:rsidRDefault="00DE19D6" w:rsidP="00DE19D6">
      <w:pPr>
        <w:spacing w:line="480" w:lineRule="auto"/>
        <w:ind w:firstLine="720"/>
        <w:rPr>
          <w:bCs/>
        </w:rPr>
      </w:pPr>
      <w:r>
        <w:rPr>
          <w:bCs/>
        </w:rPr>
        <w:lastRenderedPageBreak/>
        <w:t>The model for parent- reported mental health functioning (YOQ-P) had a significant effect of time, with significant decreases from pre-treatment to 12-month follow-up (see Figure 3). For the parent report, there were medium to large effect</w:t>
      </w:r>
      <w:r w:rsidR="007822B0">
        <w:rPr>
          <w:bCs/>
        </w:rPr>
        <w:t>s</w:t>
      </w:r>
      <w:r>
        <w:rPr>
          <w:bCs/>
        </w:rPr>
        <w:t xml:space="preserve"> from pre-treatment to posttreatment (Hedges’ </w:t>
      </w:r>
      <w:r>
        <w:rPr>
          <w:bCs/>
          <w:i/>
          <w:iCs/>
        </w:rPr>
        <w:t xml:space="preserve">g </w:t>
      </w:r>
      <w:r>
        <w:rPr>
          <w:bCs/>
        </w:rPr>
        <w:t xml:space="preserve">= .58), three-month (Hedges’ g = .76), six-month (.66), and 12-month follow-up (.86). </w:t>
      </w:r>
    </w:p>
    <w:p w14:paraId="59304027" w14:textId="77777777" w:rsidR="00DE19D6" w:rsidRDefault="00DE19D6" w:rsidP="00DE19D6">
      <w:pPr>
        <w:spacing w:line="480" w:lineRule="auto"/>
        <w:ind w:firstLine="720"/>
        <w:rPr>
          <w:b/>
        </w:rPr>
      </w:pPr>
      <w:r>
        <w:rPr>
          <w:bCs/>
        </w:rPr>
        <w:t xml:space="preserve">The model for youth-reported mental health functioning (YOQ-C) did not have a significant effect of time (see Figure 3). The effect sizes from pre-treatment to three-month follow-up (.39) and six-month follow-up (.25) were small. Pre-treatment to posttreatment and to 12-month follow-up effect sizes were negligible. </w:t>
      </w:r>
    </w:p>
    <w:p w14:paraId="2B19EB1D" w14:textId="77777777" w:rsidR="00DE19D6" w:rsidRDefault="00DE19D6" w:rsidP="00DE19D6">
      <w:pPr>
        <w:spacing w:line="480" w:lineRule="auto"/>
        <w:rPr>
          <w:b/>
        </w:rPr>
      </w:pPr>
      <w:r>
        <w:rPr>
          <w:b/>
        </w:rPr>
        <w:t>Psychological inflexibility</w:t>
      </w:r>
    </w:p>
    <w:p w14:paraId="1C5D944D" w14:textId="77777777" w:rsidR="00DE19D6" w:rsidRDefault="00DE19D6" w:rsidP="00DE19D6">
      <w:pPr>
        <w:spacing w:line="480" w:lineRule="auto"/>
        <w:rPr>
          <w:bCs/>
        </w:rPr>
      </w:pPr>
      <w:r>
        <w:rPr>
          <w:bCs/>
        </w:rPr>
        <w:tab/>
        <w:t xml:space="preserve">The model for AAQ-TTM, trichotillomania-specific psychological inflexibility, had a significant effect for time, indicating decreases in youth trichotillomania-specific psychological inflexibility from pre-treatment to 12-month follow-up. There were small to medium effects from pre-treatment to posttreatment (Hedges’ </w:t>
      </w:r>
      <w:r>
        <w:rPr>
          <w:bCs/>
          <w:i/>
          <w:iCs/>
        </w:rPr>
        <w:t xml:space="preserve">g </w:t>
      </w:r>
      <w:r>
        <w:rPr>
          <w:bCs/>
        </w:rPr>
        <w:t xml:space="preserve">= .41), to three-month (.43), to six-month (.53), and to 12-month follow-up (.47). </w:t>
      </w:r>
    </w:p>
    <w:p w14:paraId="4D0EFC81" w14:textId="01EB4457" w:rsidR="003B1ECB" w:rsidRDefault="00DE19D6" w:rsidP="00ED3E8F">
      <w:pPr>
        <w:spacing w:line="480" w:lineRule="auto"/>
        <w:rPr>
          <w:bCs/>
        </w:rPr>
      </w:pPr>
      <w:r>
        <w:rPr>
          <w:bCs/>
        </w:rPr>
        <w:tab/>
        <w:t>The model for AFQ</w:t>
      </w:r>
      <w:r w:rsidR="007C58D4">
        <w:rPr>
          <w:bCs/>
        </w:rPr>
        <w:t>-</w:t>
      </w:r>
      <w:r>
        <w:rPr>
          <w:bCs/>
        </w:rPr>
        <w:t>Y</w:t>
      </w:r>
      <w:r w:rsidR="007C58D4">
        <w:rPr>
          <w:bCs/>
        </w:rPr>
        <w:t>8</w:t>
      </w:r>
      <w:r>
        <w:rPr>
          <w:bCs/>
        </w:rPr>
        <w:t>, general youth psychological inflexibility, did not have a significant effect for time. The effect sizes from pre-treatment to all follow-up timepoints were negligible. The model for parental psychological inflexibility (</w:t>
      </w:r>
      <w:r w:rsidR="007C58D4">
        <w:rPr>
          <w:bCs/>
        </w:rPr>
        <w:t>6-</w:t>
      </w:r>
      <w:r>
        <w:rPr>
          <w:bCs/>
        </w:rPr>
        <w:t>PAQ) did not have a significant effect of time. All effect sizes were negligible except for pre-treatment to 12-month follow-up, which was small (</w:t>
      </w:r>
      <w:r>
        <w:rPr>
          <w:bCs/>
          <w:i/>
          <w:iCs/>
        </w:rPr>
        <w:t xml:space="preserve">g </w:t>
      </w:r>
      <w:r>
        <w:rPr>
          <w:bCs/>
        </w:rPr>
        <w:t>= .31).</w:t>
      </w:r>
    </w:p>
    <w:p w14:paraId="52F9B2FC" w14:textId="77777777" w:rsidR="003B1ECB" w:rsidRPr="00DE3DC0" w:rsidRDefault="003B1ECB" w:rsidP="00ED3E8F">
      <w:pPr>
        <w:spacing w:line="480" w:lineRule="auto"/>
        <w:jc w:val="center"/>
        <w:rPr>
          <w:bCs/>
        </w:rPr>
      </w:pPr>
      <w:r>
        <w:rPr>
          <w:b/>
        </w:rPr>
        <w:t>Discussion</w:t>
      </w:r>
    </w:p>
    <w:p w14:paraId="50544A62" w14:textId="5D4B5D83" w:rsidR="00EC6762" w:rsidRDefault="00EC6762" w:rsidP="00EC6762">
      <w:pPr>
        <w:spacing w:line="480" w:lineRule="auto"/>
        <w:ind w:firstLine="720"/>
      </w:pPr>
      <w:r>
        <w:t>The results of this follow-up study provide evidence that treatment gains from online-delivered</w:t>
      </w:r>
      <w:r w:rsidR="007C58D4">
        <w:t xml:space="preserve"> acceptance</w:t>
      </w:r>
      <w:r>
        <w:t>-enhanced behavior therapy</w:t>
      </w:r>
      <w:r w:rsidR="007C58D4">
        <w:t xml:space="preserve"> (AEBT)</w:t>
      </w:r>
      <w:r>
        <w:t xml:space="preserve"> for adolescents with trichotillomania </w:t>
      </w:r>
      <w:r w:rsidR="009D09B8">
        <w:lastRenderedPageBreak/>
        <w:t>may have been</w:t>
      </w:r>
      <w:r>
        <w:t xml:space="preserve"> maintained up to one year later. </w:t>
      </w:r>
      <w:r w:rsidR="00CB696F">
        <w:t>The study results suggest</w:t>
      </w:r>
      <w:r>
        <w:t xml:space="preserve"> improvement in outcome and process variables from pre-treatment to </w:t>
      </w:r>
      <w:r w:rsidR="00470D22">
        <w:t>three-</w:t>
      </w:r>
      <w:r>
        <w:t xml:space="preserve">, </w:t>
      </w:r>
      <w:r w:rsidR="00470D22">
        <w:t>six</w:t>
      </w:r>
      <w:r>
        <w:t xml:space="preserve">-, and 12-months as reported by the adolescent participants and their parent. Moreover, it appears that treatment gains were generally maintained over the 12-month follow-up period with only slight worsening in some scores over time. </w:t>
      </w:r>
      <w:r w:rsidR="00DD6704">
        <w:t xml:space="preserve">Treatment studies of youth trichotillomania are very limited with only four trials currently published, one of which includes a mixed adult and adolescent sample </w:t>
      </w:r>
      <w:r w:rsidR="00DD6704" w:rsidRPr="00FB0C9E">
        <w:t xml:space="preserve">(Franklin et al., 2011; Lee et al., 2018; </w:t>
      </w:r>
      <w:proofErr w:type="spellStart"/>
      <w:r w:rsidR="00DD6704" w:rsidRPr="00FB0C9E">
        <w:t>Tolin</w:t>
      </w:r>
      <w:proofErr w:type="spellEnd"/>
      <w:r w:rsidR="00DD6704" w:rsidRPr="00FB0C9E">
        <w:t xml:space="preserve"> et al., 2007</w:t>
      </w:r>
      <w:r w:rsidR="00C56702">
        <w:t>; Twohig et al., 2021</w:t>
      </w:r>
      <w:r w:rsidR="00DD6704" w:rsidRPr="00FB0C9E">
        <w:t>)</w:t>
      </w:r>
      <w:r w:rsidR="00DD6704">
        <w:t xml:space="preserve">. Of those, only two incorporated follow-up assessments at eight weeks and six months. Thus, </w:t>
      </w:r>
      <w:r w:rsidR="00D16F2B">
        <w:t xml:space="preserve">this study presents important findings, </w:t>
      </w:r>
      <w:r w:rsidR="00153F69">
        <w:t>particularly becaus</w:t>
      </w:r>
      <w:r w:rsidR="0085091F">
        <w:t xml:space="preserve">e </w:t>
      </w:r>
      <w:r w:rsidR="00DD6704">
        <w:t>follow-up data is especially scarce in this population and has not been examined past a six-mont</w:t>
      </w:r>
      <w:r w:rsidR="006A1652">
        <w:t>h</w:t>
      </w:r>
      <w:r w:rsidR="00DD6704">
        <w:t xml:space="preserve"> period.</w:t>
      </w:r>
    </w:p>
    <w:p w14:paraId="173DCBB1" w14:textId="39F95FA1" w:rsidR="006371BA" w:rsidRDefault="00EC6762" w:rsidP="00416445">
      <w:pPr>
        <w:spacing w:line="480" w:lineRule="auto"/>
      </w:pPr>
      <w:r>
        <w:tab/>
      </w:r>
      <w:proofErr w:type="gramStart"/>
      <w:r>
        <w:t>With regard to</w:t>
      </w:r>
      <w:proofErr w:type="gramEnd"/>
      <w:r>
        <w:t xml:space="preserve"> trichotillomania symptoms, both parents and adolescents on average reported large effects of treatment at all points of follow-up. They likewise reported medium to large effects of treatment </w:t>
      </w:r>
      <w:proofErr w:type="gramStart"/>
      <w:r>
        <w:t>with regard to</w:t>
      </w:r>
      <w:proofErr w:type="gramEnd"/>
      <w:r>
        <w:t xml:space="preserve"> trichotillomania-related distress.</w:t>
      </w:r>
      <w:r w:rsidR="00C1632A">
        <w:t xml:space="preserve"> However, parent and adolescent ratings of trichotillomania recovery (i.e., responder status) </w:t>
      </w:r>
      <w:r w:rsidR="00164216">
        <w:t>often differed, with varying</w:t>
      </w:r>
      <w:r w:rsidR="00C1632A">
        <w:t xml:space="preserve"> percentages of parents and adolescents reporting recovery (e.g., </w:t>
      </w:r>
      <w:r w:rsidR="009C7963">
        <w:t>adolescent and parent responder status at 58</w:t>
      </w:r>
      <w:r w:rsidR="00C1632A">
        <w:t xml:space="preserve">% to </w:t>
      </w:r>
      <w:r w:rsidR="009C7963">
        <w:t>30</w:t>
      </w:r>
      <w:r w:rsidR="00C1632A">
        <w:t>%</w:t>
      </w:r>
      <w:r w:rsidR="009C7963">
        <w:t>, respectively, at six-month follow-up</w:t>
      </w:r>
      <w:r w:rsidR="00C1632A">
        <w:t>).</w:t>
      </w:r>
      <w:r>
        <w:t xml:space="preserve"> </w:t>
      </w:r>
      <w:r w:rsidR="00CF17D2">
        <w:t>Similarly, p</w:t>
      </w:r>
      <w:r>
        <w:t xml:space="preserve">arents reported medium to large improvements in mental health functioning over the 12-months of follow-up, while adolescents reported small to negligible improvements. </w:t>
      </w:r>
      <w:r w:rsidR="000F51B0">
        <w:t xml:space="preserve">Reductions in symptom severity coincided with increased mental health functioning; however, on average, parent and adolescent reports also disagreed on the amount of change. </w:t>
      </w:r>
    </w:p>
    <w:p w14:paraId="44AE2602" w14:textId="08D11BC9" w:rsidR="00252708" w:rsidRDefault="00252708" w:rsidP="006371BA">
      <w:pPr>
        <w:spacing w:line="480" w:lineRule="auto"/>
        <w:ind w:firstLine="720"/>
      </w:pPr>
      <w:r>
        <w:t xml:space="preserve">The variations in parent-adolescent agreement could be attributed to contextual experiences of trichotillomania symptoms and/or mental health functioning. For example, an adolescent may be less aware of their pulling at home when they are with the parent, thus </w:t>
      </w:r>
      <w:r>
        <w:lastRenderedPageBreak/>
        <w:t xml:space="preserve">contributing to higher severity ratings from the parent who </w:t>
      </w:r>
      <w:r w:rsidR="00E23444">
        <w:t>may</w:t>
      </w:r>
      <w:r>
        <w:t xml:space="preserve"> not witness the adolescent resisting at school </w:t>
      </w:r>
      <w:r w:rsidR="000C7D1D">
        <w:t xml:space="preserve">or </w:t>
      </w:r>
      <w:r>
        <w:t>other places. Alternatively, variables such as parental psychopathology, mood, gender, income, and more have been associated with parent-</w:t>
      </w:r>
      <w:r w:rsidR="000F51B0">
        <w:t>youth</w:t>
      </w:r>
      <w:r>
        <w:t xml:space="preserve"> disagreement across a variety of domains (e.g., Abate et al.,</w:t>
      </w:r>
      <w:r w:rsidR="00B75D7F">
        <w:t xml:space="preserve"> </w:t>
      </w:r>
      <w:r>
        <w:t xml:space="preserve">2017; </w:t>
      </w:r>
      <w:proofErr w:type="spellStart"/>
      <w:r>
        <w:t>Poulain</w:t>
      </w:r>
      <w:proofErr w:type="spellEnd"/>
      <w:r>
        <w:t xml:space="preserve"> et al., 2020). </w:t>
      </w:r>
      <w:r w:rsidR="00F006D7">
        <w:t>Additionally, some researchers have explored measurement invariance as a possible explanation for differences between parent and youth reports</w:t>
      </w:r>
      <w:r w:rsidR="001F2484">
        <w:t>; one study found</w:t>
      </w:r>
      <w:r w:rsidR="00F006D7">
        <w:t xml:space="preserve"> </w:t>
      </w:r>
      <w:r w:rsidR="001F2484">
        <w:t>differences</w:t>
      </w:r>
      <w:r w:rsidR="00F006D7">
        <w:t xml:space="preserve"> in item function </w:t>
      </w:r>
      <w:r w:rsidR="001F2484">
        <w:t>as a possible influence on</w:t>
      </w:r>
      <w:r w:rsidR="00F006D7">
        <w:t xml:space="preserve"> dyadic agreement</w:t>
      </w:r>
      <w:r w:rsidR="001F2484">
        <w:t xml:space="preserve"> on anxiety symptoms</w:t>
      </w:r>
      <w:r w:rsidR="00F006D7">
        <w:t xml:space="preserve"> (</w:t>
      </w:r>
      <w:proofErr w:type="spellStart"/>
      <w:r w:rsidR="00F006D7">
        <w:t>Olino</w:t>
      </w:r>
      <w:proofErr w:type="spellEnd"/>
      <w:r w:rsidR="00F006D7">
        <w:t xml:space="preserve"> et al., 2018). While this study does not account for such variables, future research should consider both demographic and psychometric factors in parent-youth disagreement.</w:t>
      </w:r>
    </w:p>
    <w:p w14:paraId="4CB66D77" w14:textId="1498DB96" w:rsidR="00EC6762" w:rsidRDefault="00575455" w:rsidP="00252708">
      <w:pPr>
        <w:spacing w:line="480" w:lineRule="auto"/>
        <w:ind w:firstLine="720"/>
      </w:pPr>
      <w:r>
        <w:t>Lastly, a</w:t>
      </w:r>
      <w:r w:rsidR="00EC6762">
        <w:t>dolescent-</w:t>
      </w:r>
      <w:proofErr w:type="gramStart"/>
      <w:r w:rsidR="00EC6762">
        <w:t>rated</w:t>
      </w:r>
      <w:proofErr w:type="gramEnd"/>
      <w:r w:rsidR="00463D96">
        <w:t xml:space="preserve"> and trichotillomania-specific</w:t>
      </w:r>
      <w:r w:rsidR="00EC6762">
        <w:t xml:space="preserve"> psychological inflexibility demonstrated small to medium decreases throughout the follow-up period. However, </w:t>
      </w:r>
      <w:r w:rsidR="00020112">
        <w:t>the general</w:t>
      </w:r>
      <w:r w:rsidR="00EC6762">
        <w:t xml:space="preserve"> measure of youth psychological inflexibility (AFQ</w:t>
      </w:r>
      <w:r w:rsidR="00463D96">
        <w:t>-</w:t>
      </w:r>
      <w:r w:rsidR="00EC6762">
        <w:t>Y</w:t>
      </w:r>
      <w:r w:rsidR="00F44855">
        <w:t>8</w:t>
      </w:r>
      <w:r w:rsidR="00EC6762">
        <w:t xml:space="preserve">) and parental psychological inflexibility </w:t>
      </w:r>
      <w:r w:rsidR="00F44855">
        <w:t xml:space="preserve">(6-PAQ) </w:t>
      </w:r>
      <w:r w:rsidR="00EC6762">
        <w:t xml:space="preserve">demonstrated no meaningful changes. </w:t>
      </w:r>
      <w:r w:rsidR="00C40267">
        <w:t xml:space="preserve">The lack of change in general youth psychological inflexibility and parental psychological inflexibility </w:t>
      </w:r>
      <w:r w:rsidR="0017365A">
        <w:t>was</w:t>
      </w:r>
      <w:r w:rsidR="00C40267">
        <w:t xml:space="preserve"> not completely unexpected, as previous research has demonstrated the value of condition-specific psychological inflexibility measures in similar studies (e.g.</w:t>
      </w:r>
      <w:r w:rsidR="00505F8E">
        <w:t xml:space="preserve">, </w:t>
      </w:r>
      <w:r w:rsidR="00956121">
        <w:t>Ong et al., 2019</w:t>
      </w:r>
      <w:r w:rsidR="00C40267">
        <w:t xml:space="preserve">). </w:t>
      </w:r>
      <w:r w:rsidR="00AD6DCA">
        <w:t>Furthermore, the 6-PAQ did not support adequate reliability in the present sample, suggesting</w:t>
      </w:r>
      <w:r w:rsidR="00753225">
        <w:t xml:space="preserve"> possible</w:t>
      </w:r>
      <w:r w:rsidR="00AD6DCA">
        <w:t xml:space="preserve"> limitations in measure functioning</w:t>
      </w:r>
      <w:r w:rsidR="00BE3248">
        <w:t xml:space="preserve"> and interpretation.</w:t>
      </w:r>
    </w:p>
    <w:p w14:paraId="0D923C3C" w14:textId="3C69C885" w:rsidR="00EC6762" w:rsidRDefault="00EC6762" w:rsidP="00EC6762">
      <w:pPr>
        <w:spacing w:line="480" w:lineRule="auto"/>
        <w:ind w:firstLine="720"/>
      </w:pPr>
      <w:r>
        <w:t xml:space="preserve">On average, the participants in the current study saw significant treatment gains. However, there are individuals who did not experience these gains and those who may have only seen a portion of the progress they were looking for. Further examination of individual-level processes of change could help to better tailor the treatment to the individual and their parent and home. This is especially relevant for the adolescent participants who reported smaller mental </w:t>
      </w:r>
      <w:r>
        <w:lastRenderedPageBreak/>
        <w:t xml:space="preserve">health functioning gains than their parents. Perhaps there are person-level concerns that are not being addressed as well as they could </w:t>
      </w:r>
      <w:r w:rsidR="009B64C8">
        <w:t>be via</w:t>
      </w:r>
      <w:r>
        <w:t xml:space="preserve"> a structured treatment package, even a flexible one such as </w:t>
      </w:r>
      <w:r w:rsidR="00416445">
        <w:t>AEBT</w:t>
      </w:r>
      <w:r>
        <w:t xml:space="preserve">. Individualized care could also impact maintenance, as reasons for symptom relapse are surely varied and personal. Ongoing aftercare that includes periodic personalized check-ins </w:t>
      </w:r>
      <w:r w:rsidR="00875586">
        <w:t>and/</w:t>
      </w:r>
      <w:r>
        <w:t>or self-training resources could potentially help better maintain treatment gains and even foster further recovery and increase quality of life.</w:t>
      </w:r>
    </w:p>
    <w:p w14:paraId="3E1D80A5" w14:textId="1D9CA479" w:rsidR="00EC6762" w:rsidRDefault="00EC6762" w:rsidP="00EC6762">
      <w:pPr>
        <w:spacing w:line="480" w:lineRule="auto"/>
      </w:pPr>
      <w:r>
        <w:tab/>
        <w:t>The limitations of the original treatment study remain, including lack of objective measurement, different developmental stages of participants, and a need for a more diverse sample</w:t>
      </w:r>
      <w:r w:rsidR="002757CC">
        <w:t xml:space="preserve"> (removed for masked review).</w:t>
      </w:r>
      <w:r>
        <w:t xml:space="preserve"> </w:t>
      </w:r>
      <w:r w:rsidR="00E870B1">
        <w:t>H</w:t>
      </w:r>
      <w:r>
        <w:t xml:space="preserve">owever, </w:t>
      </w:r>
      <w:proofErr w:type="gramStart"/>
      <w:r>
        <w:t>with regard to</w:t>
      </w:r>
      <w:proofErr w:type="gramEnd"/>
      <w:r>
        <w:t xml:space="preserve"> collecting and reporting the follow-up data, </w:t>
      </w:r>
      <w:r w:rsidR="00681C9F">
        <w:t xml:space="preserve">only a </w:t>
      </w:r>
      <w:r w:rsidR="00605C2E">
        <w:t>few additional</w:t>
      </w:r>
      <w:r>
        <w:t xml:space="preserve"> study limitations were introduced.</w:t>
      </w:r>
      <w:r w:rsidR="00605C2E">
        <w:t xml:space="preserve"> F</w:t>
      </w:r>
      <w:r w:rsidR="00A60620">
        <w:t>irst</w:t>
      </w:r>
      <w:r w:rsidR="00605C2E">
        <w:t>, we did not collect information on therapy or medication changes during the follow-up period.</w:t>
      </w:r>
      <w:r w:rsidR="00A60620">
        <w:t xml:space="preserve"> We also did not collect information on previous treatment using ACT and HRT prior to study participation</w:t>
      </w:r>
      <w:r w:rsidR="00876575">
        <w:t>.</w:t>
      </w:r>
      <w:r w:rsidR="00605C2E">
        <w:t xml:space="preserve"> This important information would have allowed for better discernment of treatment effects over time; without this information, our findings are significantly limited.</w:t>
      </w:r>
      <w:r>
        <w:t xml:space="preserve"> </w:t>
      </w:r>
      <w:r w:rsidR="00686E6F">
        <w:t>Additionally,</w:t>
      </w:r>
      <w:r>
        <w:t xml:space="preserve"> we lost some participants over the course of the yearlong follow-up. We were pleased that our efforts to retain participants were largely successful, with average retention rates of 80% (parents) and 68% (adolescents) across the three follow-up points.</w:t>
      </w:r>
      <w:r w:rsidR="00686E6F">
        <w:t xml:space="preserve"> However, the loss of participants over time reduces the sample size and thus the power of the study and findings</w:t>
      </w:r>
      <w:r w:rsidR="00876575">
        <w:t>.</w:t>
      </w:r>
      <w:r w:rsidR="0056481C">
        <w:t xml:space="preserve"> Lastly, the follow-up period was uncontrolled, thus bringing into question how much the improvement is related to time as opposed to treatment maintenance.</w:t>
      </w:r>
      <w:r w:rsidR="00A60620">
        <w:t xml:space="preserve"> </w:t>
      </w:r>
      <w:r w:rsidR="00226896">
        <w:t xml:space="preserve">Ultimately, it would be important for future research to focus on increased sample sizes with clinician-rated follow-up measures </w:t>
      </w:r>
      <w:proofErr w:type="gramStart"/>
      <w:r w:rsidR="00226896">
        <w:t>in order to</w:t>
      </w:r>
      <w:proofErr w:type="gramEnd"/>
      <w:r w:rsidR="00226896">
        <w:t xml:space="preserve"> better inform treatment outcomes</w:t>
      </w:r>
      <w:r w:rsidR="0056481C">
        <w:t xml:space="preserve"> and understand long-term maintenance of gains</w:t>
      </w:r>
      <w:r w:rsidR="00226896">
        <w:t>.</w:t>
      </w:r>
    </w:p>
    <w:p w14:paraId="0CDD1249" w14:textId="5BA1CAB2" w:rsidR="00EC6762" w:rsidRPr="006E5AF2" w:rsidRDefault="00EC6762" w:rsidP="00223D2F">
      <w:pPr>
        <w:spacing w:line="480" w:lineRule="auto"/>
      </w:pPr>
      <w:r>
        <w:lastRenderedPageBreak/>
        <w:tab/>
        <w:t xml:space="preserve"> The current findings are generally promising, with parents and adolescents reporting significant, meaningful treatment gains from pretreatment to 12-months posttreatment. While this study demonstrates the utility of </w:t>
      </w:r>
      <w:r w:rsidR="0076590A">
        <w:t>AEBT</w:t>
      </w:r>
      <w:r>
        <w:t xml:space="preserve"> for adolescents with trichotillomania, it is only one of very few </w:t>
      </w:r>
      <w:r w:rsidRPr="006E5AF2">
        <w:t xml:space="preserve">studies on the topic. There remains a dearth of data regarding trichotillomania treatment, especially for youth. There is much room for </w:t>
      </w:r>
      <w:r w:rsidR="00223D2F">
        <w:t>the continued study of youth trichotillomania and how we can best improve and tailor treatments to</w:t>
      </w:r>
      <w:r w:rsidR="0084286C">
        <w:t xml:space="preserve"> provide lasting change</w:t>
      </w:r>
      <w:r w:rsidR="00223D2F">
        <w:t>.</w:t>
      </w:r>
    </w:p>
    <w:p w14:paraId="181333EB" w14:textId="77777777" w:rsidR="003B1ECB" w:rsidRPr="00EC6762" w:rsidRDefault="006E37F9">
      <w:r>
        <w:rPr>
          <w:b/>
        </w:rPr>
        <w:br w:type="page"/>
      </w:r>
    </w:p>
    <w:p w14:paraId="33BB7718" w14:textId="77777777" w:rsidR="006E37F9" w:rsidRDefault="006E37F9" w:rsidP="006E37F9">
      <w:pPr>
        <w:jc w:val="center"/>
        <w:rPr>
          <w:b/>
        </w:rPr>
      </w:pPr>
      <w:r>
        <w:rPr>
          <w:b/>
        </w:rPr>
        <w:lastRenderedPageBreak/>
        <w:t>References</w:t>
      </w:r>
    </w:p>
    <w:p w14:paraId="39D49A74" w14:textId="77777777" w:rsidR="00EE1432" w:rsidRPr="00C82FB7" w:rsidRDefault="00EE1432" w:rsidP="00B07A37">
      <w:pPr>
        <w:rPr>
          <w:bCs/>
        </w:rPr>
      </w:pPr>
    </w:p>
    <w:p w14:paraId="7D7D5A65" w14:textId="47AE22C3" w:rsidR="002722EA" w:rsidRDefault="002722EA" w:rsidP="00F67BF4">
      <w:pPr>
        <w:spacing w:line="480" w:lineRule="auto"/>
        <w:rPr>
          <w:bCs/>
        </w:rPr>
      </w:pPr>
      <w:r w:rsidRPr="002722EA">
        <w:rPr>
          <w:bCs/>
        </w:rPr>
        <w:t xml:space="preserve">Abate, C., </w:t>
      </w:r>
      <w:proofErr w:type="spellStart"/>
      <w:r w:rsidRPr="002722EA">
        <w:rPr>
          <w:bCs/>
        </w:rPr>
        <w:t>Lippé</w:t>
      </w:r>
      <w:proofErr w:type="spellEnd"/>
      <w:r w:rsidRPr="002722EA">
        <w:rPr>
          <w:bCs/>
        </w:rPr>
        <w:t xml:space="preserve">, S., </w:t>
      </w:r>
      <w:proofErr w:type="spellStart"/>
      <w:r w:rsidRPr="002722EA">
        <w:rPr>
          <w:bCs/>
        </w:rPr>
        <w:t>Bertout</w:t>
      </w:r>
      <w:proofErr w:type="spellEnd"/>
      <w:r w:rsidRPr="002722EA">
        <w:rPr>
          <w:bCs/>
        </w:rPr>
        <w:t xml:space="preserve">, L., Drouin, S., </w:t>
      </w:r>
      <w:proofErr w:type="spellStart"/>
      <w:r w:rsidRPr="002722EA">
        <w:rPr>
          <w:bCs/>
        </w:rPr>
        <w:t>Krajinovic</w:t>
      </w:r>
      <w:proofErr w:type="spellEnd"/>
      <w:r w:rsidRPr="002722EA">
        <w:rPr>
          <w:bCs/>
        </w:rPr>
        <w:t xml:space="preserve">, M., Rondeau, É., </w:t>
      </w:r>
      <w:proofErr w:type="spellStart"/>
      <w:proofErr w:type="gramStart"/>
      <w:r>
        <w:rPr>
          <w:bCs/>
        </w:rPr>
        <w:t>Sinnett,D</w:t>
      </w:r>
      <w:proofErr w:type="spellEnd"/>
      <w:r>
        <w:rPr>
          <w:bCs/>
        </w:rPr>
        <w:t>.</w:t>
      </w:r>
      <w:proofErr w:type="gramEnd"/>
      <w:r>
        <w:rPr>
          <w:bCs/>
        </w:rPr>
        <w:t xml:space="preserve">, </w:t>
      </w:r>
      <w:proofErr w:type="spellStart"/>
      <w:r>
        <w:rPr>
          <w:bCs/>
        </w:rPr>
        <w:t>Laverdiére</w:t>
      </w:r>
      <w:proofErr w:type="spellEnd"/>
      <w:r>
        <w:rPr>
          <w:bCs/>
        </w:rPr>
        <w:t>,</w:t>
      </w:r>
      <w:r w:rsidRPr="002722EA">
        <w:rPr>
          <w:bCs/>
        </w:rPr>
        <w:t xml:space="preserve"> </w:t>
      </w:r>
      <w:r w:rsidR="008B2ACF">
        <w:rPr>
          <w:bCs/>
        </w:rPr>
        <w:tab/>
      </w:r>
      <w:r w:rsidR="00FE4CEB">
        <w:rPr>
          <w:bCs/>
        </w:rPr>
        <w:t xml:space="preserve">C., </w:t>
      </w:r>
      <w:r w:rsidRPr="002722EA">
        <w:rPr>
          <w:bCs/>
        </w:rPr>
        <w:t xml:space="preserve">&amp; Sultan, S. (2018). Could we use parent report as a valid proxy of child report on </w:t>
      </w:r>
      <w:r w:rsidR="008B2ACF">
        <w:rPr>
          <w:bCs/>
        </w:rPr>
        <w:tab/>
      </w:r>
      <w:r w:rsidRPr="002722EA">
        <w:rPr>
          <w:bCs/>
        </w:rPr>
        <w:t xml:space="preserve">anxiety, depression, and distress? A systematic investigation of father–mother–child </w:t>
      </w:r>
      <w:r w:rsidR="008B2ACF">
        <w:rPr>
          <w:bCs/>
        </w:rPr>
        <w:tab/>
      </w:r>
      <w:r w:rsidRPr="002722EA">
        <w:rPr>
          <w:bCs/>
        </w:rPr>
        <w:t>triads in children successfully treated for leukemia. </w:t>
      </w:r>
      <w:r w:rsidRPr="002722EA">
        <w:rPr>
          <w:bCs/>
          <w:i/>
          <w:iCs/>
        </w:rPr>
        <w:t xml:space="preserve">Pediatric </w:t>
      </w:r>
      <w:r w:rsidR="008B2ACF">
        <w:rPr>
          <w:bCs/>
          <w:i/>
          <w:iCs/>
        </w:rPr>
        <w:t>B</w:t>
      </w:r>
      <w:r w:rsidRPr="002722EA">
        <w:rPr>
          <w:bCs/>
          <w:i/>
          <w:iCs/>
        </w:rPr>
        <w:t xml:space="preserve">lood &amp; </w:t>
      </w:r>
      <w:r w:rsidR="008B2ACF">
        <w:rPr>
          <w:bCs/>
          <w:i/>
          <w:iCs/>
        </w:rPr>
        <w:t>C</w:t>
      </w:r>
      <w:r w:rsidRPr="002722EA">
        <w:rPr>
          <w:bCs/>
          <w:i/>
          <w:iCs/>
        </w:rPr>
        <w:t>ancer</w:t>
      </w:r>
      <w:r w:rsidRPr="002722EA">
        <w:rPr>
          <w:bCs/>
        </w:rPr>
        <w:t>, </w:t>
      </w:r>
      <w:r w:rsidRPr="002722EA">
        <w:rPr>
          <w:bCs/>
          <w:i/>
          <w:iCs/>
        </w:rPr>
        <w:t>65</w:t>
      </w:r>
      <w:r w:rsidRPr="002722EA">
        <w:rPr>
          <w:bCs/>
        </w:rPr>
        <w:t xml:space="preserve">(2), </w:t>
      </w:r>
      <w:r w:rsidR="008B2ACF">
        <w:rPr>
          <w:bCs/>
        </w:rPr>
        <w:tab/>
      </w:r>
      <w:r w:rsidRPr="002722EA">
        <w:rPr>
          <w:bCs/>
        </w:rPr>
        <w:t>e26840.</w:t>
      </w:r>
    </w:p>
    <w:p w14:paraId="2C36199A" w14:textId="26ED6D0D" w:rsidR="00EE1432" w:rsidRDefault="00EE1432" w:rsidP="00F67BF4">
      <w:pPr>
        <w:spacing w:line="480" w:lineRule="auto"/>
        <w:rPr>
          <w:bCs/>
        </w:rPr>
      </w:pPr>
      <w:r w:rsidRPr="00C82FB7">
        <w:rPr>
          <w:bCs/>
        </w:rPr>
        <w:t>American Psychiatric Association, Diagnostic and statistical manual of mental disorders (DSM-</w:t>
      </w:r>
      <w:r w:rsidR="00F67BF4">
        <w:rPr>
          <w:bCs/>
        </w:rPr>
        <w:tab/>
      </w:r>
      <w:r w:rsidRPr="00C82FB7">
        <w:rPr>
          <w:bCs/>
        </w:rPr>
        <w:t>5®). 2013, Arlington, VA: Author.</w:t>
      </w:r>
    </w:p>
    <w:p w14:paraId="3280EB09" w14:textId="77777777" w:rsidR="00C62E6E" w:rsidRDefault="00C62E6E" w:rsidP="00F67BF4">
      <w:pPr>
        <w:spacing w:line="480" w:lineRule="auto"/>
        <w:rPr>
          <w:bCs/>
        </w:rPr>
      </w:pPr>
      <w:r w:rsidRPr="00C62E6E">
        <w:rPr>
          <w:bCs/>
        </w:rPr>
        <w:t>Bache, S. M., Wickham, H., &amp; Bache, M. S. M. (2020). Package ‘</w:t>
      </w:r>
      <w:proofErr w:type="spellStart"/>
      <w:r w:rsidRPr="00C62E6E">
        <w:rPr>
          <w:bCs/>
        </w:rPr>
        <w:t>magrittr</w:t>
      </w:r>
      <w:proofErr w:type="spellEnd"/>
      <w:r w:rsidRPr="00C62E6E">
        <w:rPr>
          <w:bCs/>
        </w:rPr>
        <w:t>’.</w:t>
      </w:r>
    </w:p>
    <w:p w14:paraId="16C573B1" w14:textId="77777777" w:rsidR="008B1C0D" w:rsidRDefault="008B1C0D" w:rsidP="00F67BF4">
      <w:pPr>
        <w:spacing w:line="480" w:lineRule="auto"/>
        <w:rPr>
          <w:bCs/>
        </w:rPr>
      </w:pPr>
      <w:r w:rsidRPr="008B1C0D">
        <w:rPr>
          <w:bCs/>
        </w:rPr>
        <w:t>Barrett, T. S., &amp; Brignone, E. (2017). Furniture for Quantitative Scientists. </w:t>
      </w:r>
      <w:r w:rsidRPr="008B1C0D">
        <w:rPr>
          <w:bCs/>
          <w:i/>
          <w:iCs/>
        </w:rPr>
        <w:t>R J.</w:t>
      </w:r>
      <w:r w:rsidRPr="008B1C0D">
        <w:rPr>
          <w:bCs/>
        </w:rPr>
        <w:t>, </w:t>
      </w:r>
      <w:r w:rsidRPr="008B1C0D">
        <w:rPr>
          <w:bCs/>
          <w:i/>
          <w:iCs/>
        </w:rPr>
        <w:t>9</w:t>
      </w:r>
      <w:r w:rsidRPr="008B1C0D">
        <w:rPr>
          <w:bCs/>
        </w:rPr>
        <w:t>(2), 142.</w:t>
      </w:r>
    </w:p>
    <w:p w14:paraId="2FF4025A" w14:textId="77777777" w:rsidR="00A13F95" w:rsidRPr="00A13F95" w:rsidRDefault="00A13F95" w:rsidP="00A13F95">
      <w:pPr>
        <w:spacing w:line="480" w:lineRule="auto"/>
        <w:rPr>
          <w:bCs/>
        </w:rPr>
      </w:pPr>
      <w:r w:rsidRPr="00A13F95">
        <w:rPr>
          <w:bCs/>
        </w:rPr>
        <w:t xml:space="preserve">Bate, K. S., </w:t>
      </w:r>
      <w:proofErr w:type="spellStart"/>
      <w:r w:rsidRPr="00A13F95">
        <w:rPr>
          <w:bCs/>
        </w:rPr>
        <w:t>Malouff</w:t>
      </w:r>
      <w:proofErr w:type="spellEnd"/>
      <w:r w:rsidRPr="00A13F95">
        <w:rPr>
          <w:bCs/>
        </w:rPr>
        <w:t xml:space="preserve">, J. M., </w:t>
      </w:r>
      <w:proofErr w:type="spellStart"/>
      <w:r w:rsidRPr="00A13F95">
        <w:rPr>
          <w:bCs/>
        </w:rPr>
        <w:t>Thorsteinsson</w:t>
      </w:r>
      <w:proofErr w:type="spellEnd"/>
      <w:r w:rsidRPr="00A13F95">
        <w:rPr>
          <w:bCs/>
        </w:rPr>
        <w:t xml:space="preserve">, E. T., &amp; Bhullar, N. (2011). The efficacy of habit </w:t>
      </w:r>
      <w:r w:rsidR="00DA5DFE">
        <w:rPr>
          <w:bCs/>
        </w:rPr>
        <w:tab/>
      </w:r>
      <w:r w:rsidRPr="00A13F95">
        <w:rPr>
          <w:bCs/>
        </w:rPr>
        <w:t xml:space="preserve">reversal therapy for tics, habit disorders, and stuttering: </w:t>
      </w:r>
      <w:r w:rsidR="00DA17BF">
        <w:rPr>
          <w:bCs/>
        </w:rPr>
        <w:t>A</w:t>
      </w:r>
      <w:r w:rsidRPr="00A13F95">
        <w:rPr>
          <w:bCs/>
        </w:rPr>
        <w:t xml:space="preserve"> meta-analytic review. </w:t>
      </w:r>
      <w:r w:rsidRPr="00A13F95">
        <w:rPr>
          <w:bCs/>
          <w:i/>
          <w:iCs/>
        </w:rPr>
        <w:t xml:space="preserve">Clinical </w:t>
      </w:r>
      <w:r w:rsidR="00DA5DFE">
        <w:rPr>
          <w:bCs/>
          <w:i/>
          <w:iCs/>
        </w:rPr>
        <w:tab/>
      </w:r>
      <w:r w:rsidRPr="00A13F95">
        <w:rPr>
          <w:bCs/>
          <w:i/>
          <w:iCs/>
        </w:rPr>
        <w:t>Psychology Review</w:t>
      </w:r>
      <w:r w:rsidRPr="00A13F95">
        <w:rPr>
          <w:bCs/>
        </w:rPr>
        <w:t>, </w:t>
      </w:r>
      <w:r w:rsidRPr="00A13F95">
        <w:rPr>
          <w:bCs/>
          <w:i/>
          <w:iCs/>
        </w:rPr>
        <w:t>31</w:t>
      </w:r>
      <w:r w:rsidRPr="00A13F95">
        <w:rPr>
          <w:bCs/>
        </w:rPr>
        <w:t>(5), 865-871.</w:t>
      </w:r>
    </w:p>
    <w:p w14:paraId="3F0B0140" w14:textId="77777777" w:rsidR="00130FE2" w:rsidRDefault="00130FE2" w:rsidP="00F67BF4">
      <w:pPr>
        <w:spacing w:line="480" w:lineRule="auto"/>
        <w:rPr>
          <w:bCs/>
        </w:rPr>
      </w:pPr>
      <w:r w:rsidRPr="00130FE2">
        <w:rPr>
          <w:bCs/>
        </w:rPr>
        <w:t>Ben-</w:t>
      </w:r>
      <w:proofErr w:type="spellStart"/>
      <w:r w:rsidRPr="00130FE2">
        <w:rPr>
          <w:bCs/>
        </w:rPr>
        <w:t>Shachar</w:t>
      </w:r>
      <w:proofErr w:type="spellEnd"/>
      <w:r w:rsidRPr="00130FE2">
        <w:rPr>
          <w:bCs/>
        </w:rPr>
        <w:t xml:space="preserve">, M. S., </w:t>
      </w:r>
      <w:proofErr w:type="spellStart"/>
      <w:r w:rsidRPr="00130FE2">
        <w:rPr>
          <w:bCs/>
        </w:rPr>
        <w:t>Lüdecke</w:t>
      </w:r>
      <w:proofErr w:type="spellEnd"/>
      <w:r w:rsidRPr="00130FE2">
        <w:rPr>
          <w:bCs/>
        </w:rPr>
        <w:t xml:space="preserve">, D., &amp; Makowski, D. (2020). </w:t>
      </w:r>
      <w:proofErr w:type="spellStart"/>
      <w:r w:rsidRPr="00130FE2">
        <w:rPr>
          <w:bCs/>
        </w:rPr>
        <w:t>effectsize</w:t>
      </w:r>
      <w:proofErr w:type="spellEnd"/>
      <w:r w:rsidRPr="00130FE2">
        <w:rPr>
          <w:bCs/>
        </w:rPr>
        <w:t xml:space="preserve">: Estimation of effect size </w:t>
      </w:r>
      <w:r>
        <w:rPr>
          <w:bCs/>
        </w:rPr>
        <w:tab/>
      </w:r>
      <w:r w:rsidRPr="00130FE2">
        <w:rPr>
          <w:bCs/>
        </w:rPr>
        <w:t>indices and standardized parameters. </w:t>
      </w:r>
      <w:r w:rsidRPr="00130FE2">
        <w:rPr>
          <w:bCs/>
          <w:i/>
          <w:iCs/>
        </w:rPr>
        <w:t xml:space="preserve">Journal of </w:t>
      </w:r>
      <w:proofErr w:type="gramStart"/>
      <w:r w:rsidRPr="00130FE2">
        <w:rPr>
          <w:bCs/>
          <w:i/>
          <w:iCs/>
        </w:rPr>
        <w:t>Open Source</w:t>
      </w:r>
      <w:proofErr w:type="gramEnd"/>
      <w:r w:rsidRPr="00130FE2">
        <w:rPr>
          <w:bCs/>
          <w:i/>
          <w:iCs/>
        </w:rPr>
        <w:t xml:space="preserve"> Software</w:t>
      </w:r>
      <w:r w:rsidRPr="00130FE2">
        <w:rPr>
          <w:bCs/>
        </w:rPr>
        <w:t>, </w:t>
      </w:r>
      <w:r w:rsidRPr="00130FE2">
        <w:rPr>
          <w:bCs/>
          <w:i/>
          <w:iCs/>
        </w:rPr>
        <w:t>5</w:t>
      </w:r>
      <w:r w:rsidRPr="00130FE2">
        <w:rPr>
          <w:bCs/>
        </w:rPr>
        <w:t>(56), 2815.</w:t>
      </w:r>
    </w:p>
    <w:p w14:paraId="243BC3D3" w14:textId="77777777" w:rsidR="00C44921" w:rsidRDefault="00C44921" w:rsidP="00C44921">
      <w:pPr>
        <w:spacing w:line="480" w:lineRule="auto"/>
        <w:rPr>
          <w:bCs/>
        </w:rPr>
      </w:pPr>
      <w:r w:rsidRPr="00C44921">
        <w:rPr>
          <w:bCs/>
        </w:rPr>
        <w:t xml:space="preserve">Christenson, G. A., Pyle, R. L., &amp; Mitchell, J. E. (1991). Estimated lifetime prevalence of </w:t>
      </w:r>
      <w:r>
        <w:rPr>
          <w:bCs/>
        </w:rPr>
        <w:tab/>
      </w:r>
      <w:r w:rsidRPr="00C44921">
        <w:rPr>
          <w:bCs/>
        </w:rPr>
        <w:t>trichotillomania in college students. </w:t>
      </w:r>
      <w:r w:rsidRPr="00C44921">
        <w:rPr>
          <w:bCs/>
          <w:i/>
          <w:iCs/>
        </w:rPr>
        <w:t xml:space="preserve">The Journal of </w:t>
      </w:r>
      <w:r>
        <w:rPr>
          <w:bCs/>
          <w:i/>
          <w:iCs/>
        </w:rPr>
        <w:t>C</w:t>
      </w:r>
      <w:r w:rsidRPr="00C44921">
        <w:rPr>
          <w:bCs/>
          <w:i/>
          <w:iCs/>
        </w:rPr>
        <w:t xml:space="preserve">linical </w:t>
      </w:r>
      <w:r>
        <w:rPr>
          <w:bCs/>
          <w:i/>
          <w:iCs/>
        </w:rPr>
        <w:t>P</w:t>
      </w:r>
      <w:r w:rsidRPr="00C44921">
        <w:rPr>
          <w:bCs/>
          <w:i/>
          <w:iCs/>
        </w:rPr>
        <w:t>sychiatry</w:t>
      </w:r>
      <w:r w:rsidR="006D50DC">
        <w:rPr>
          <w:bCs/>
        </w:rPr>
        <w:t xml:space="preserve">, </w:t>
      </w:r>
      <w:r w:rsidR="006D50DC" w:rsidRPr="006D50DC">
        <w:rPr>
          <w:bCs/>
          <w:i/>
          <w:iCs/>
        </w:rPr>
        <w:t>52</w:t>
      </w:r>
      <w:r w:rsidR="006D50DC" w:rsidRPr="006D50DC">
        <w:rPr>
          <w:bCs/>
        </w:rPr>
        <w:t>(10), 415–417</w:t>
      </w:r>
      <w:r w:rsidR="006D50DC">
        <w:rPr>
          <w:bCs/>
        </w:rPr>
        <w:t>.</w:t>
      </w:r>
    </w:p>
    <w:p w14:paraId="23D44BBF" w14:textId="77777777" w:rsidR="00227526" w:rsidRPr="00C44921" w:rsidRDefault="00227526" w:rsidP="00C44921">
      <w:pPr>
        <w:spacing w:line="480" w:lineRule="auto"/>
        <w:rPr>
          <w:bCs/>
        </w:rPr>
      </w:pPr>
      <w:r w:rsidRPr="00227526">
        <w:rPr>
          <w:bCs/>
        </w:rPr>
        <w:t xml:space="preserve">Farhat, L. C., </w:t>
      </w:r>
      <w:proofErr w:type="spellStart"/>
      <w:r w:rsidRPr="00227526">
        <w:rPr>
          <w:bCs/>
        </w:rPr>
        <w:t>Olfson</w:t>
      </w:r>
      <w:proofErr w:type="spellEnd"/>
      <w:r w:rsidRPr="00227526">
        <w:rPr>
          <w:bCs/>
        </w:rPr>
        <w:t xml:space="preserve">, E., Levine, J. L., Li, F., Franklin, M. E., Lee, H. J., ... &amp; Bloch, M. H. </w:t>
      </w:r>
      <w:r>
        <w:rPr>
          <w:bCs/>
        </w:rPr>
        <w:tab/>
      </w:r>
      <w:r w:rsidRPr="00227526">
        <w:rPr>
          <w:bCs/>
        </w:rPr>
        <w:t xml:space="preserve">(2020). Measuring treatment response in pediatric trichotillomania: </w:t>
      </w:r>
      <w:r>
        <w:rPr>
          <w:bCs/>
        </w:rPr>
        <w:t>A</w:t>
      </w:r>
      <w:r w:rsidRPr="00227526">
        <w:rPr>
          <w:bCs/>
        </w:rPr>
        <w:t xml:space="preserve"> meta-analysis of </w:t>
      </w:r>
      <w:r>
        <w:rPr>
          <w:bCs/>
        </w:rPr>
        <w:tab/>
      </w:r>
      <w:r w:rsidRPr="00227526">
        <w:rPr>
          <w:bCs/>
        </w:rPr>
        <w:t>clinical trials. </w:t>
      </w:r>
      <w:r w:rsidRPr="00227526">
        <w:rPr>
          <w:bCs/>
          <w:i/>
          <w:iCs/>
        </w:rPr>
        <w:t xml:space="preserve">Journal of </w:t>
      </w:r>
      <w:r>
        <w:rPr>
          <w:bCs/>
          <w:i/>
          <w:iCs/>
        </w:rPr>
        <w:t>C</w:t>
      </w:r>
      <w:r w:rsidRPr="00227526">
        <w:rPr>
          <w:bCs/>
          <w:i/>
          <w:iCs/>
        </w:rPr>
        <w:t xml:space="preserve">hild and </w:t>
      </w:r>
      <w:r>
        <w:rPr>
          <w:bCs/>
          <w:i/>
          <w:iCs/>
        </w:rPr>
        <w:t>A</w:t>
      </w:r>
      <w:r w:rsidRPr="00227526">
        <w:rPr>
          <w:bCs/>
          <w:i/>
          <w:iCs/>
        </w:rPr>
        <w:t xml:space="preserve">dolescent </w:t>
      </w:r>
      <w:r>
        <w:rPr>
          <w:bCs/>
          <w:i/>
          <w:iCs/>
        </w:rPr>
        <w:t>P</w:t>
      </w:r>
      <w:r w:rsidRPr="00227526">
        <w:rPr>
          <w:bCs/>
          <w:i/>
          <w:iCs/>
        </w:rPr>
        <w:t>sychopharmacology</w:t>
      </w:r>
      <w:r w:rsidRPr="00227526">
        <w:rPr>
          <w:bCs/>
        </w:rPr>
        <w:t>, </w:t>
      </w:r>
      <w:r w:rsidRPr="00227526">
        <w:rPr>
          <w:bCs/>
          <w:i/>
          <w:iCs/>
        </w:rPr>
        <w:t>30</w:t>
      </w:r>
      <w:r w:rsidRPr="00227526">
        <w:rPr>
          <w:bCs/>
        </w:rPr>
        <w:t>(5), 306-315.</w:t>
      </w:r>
    </w:p>
    <w:p w14:paraId="226AACEA" w14:textId="77777777" w:rsidR="00CC4571" w:rsidRDefault="00CC4571" w:rsidP="00F67BF4">
      <w:pPr>
        <w:spacing w:line="480" w:lineRule="auto"/>
        <w:rPr>
          <w:bCs/>
        </w:rPr>
      </w:pPr>
      <w:r w:rsidRPr="00CC4571">
        <w:rPr>
          <w:bCs/>
        </w:rPr>
        <w:t xml:space="preserve">Fine, K. M., Walther, M. R., Joseph, J. M., Robinson, J., Ricketts, E. J., Bowe, W. E., &amp; Woods, </w:t>
      </w:r>
      <w:r>
        <w:rPr>
          <w:bCs/>
        </w:rPr>
        <w:tab/>
      </w:r>
      <w:r w:rsidRPr="00CC4571">
        <w:rPr>
          <w:bCs/>
        </w:rPr>
        <w:t xml:space="preserve">D. W. (2012). Acceptance-enhanced behavior therapy for trichotillomania in </w:t>
      </w:r>
      <w:r>
        <w:rPr>
          <w:bCs/>
        </w:rPr>
        <w:tab/>
      </w:r>
      <w:r w:rsidRPr="00CC4571">
        <w:rPr>
          <w:bCs/>
        </w:rPr>
        <w:t>adolescents. </w:t>
      </w:r>
      <w:r w:rsidRPr="00CC4571">
        <w:rPr>
          <w:bCs/>
          <w:i/>
          <w:iCs/>
        </w:rPr>
        <w:t>Cognitive and Behavioral Practice</w:t>
      </w:r>
      <w:r w:rsidRPr="00CC4571">
        <w:rPr>
          <w:bCs/>
        </w:rPr>
        <w:t>, </w:t>
      </w:r>
      <w:r w:rsidRPr="00CC4571">
        <w:rPr>
          <w:bCs/>
          <w:i/>
          <w:iCs/>
        </w:rPr>
        <w:t>19</w:t>
      </w:r>
      <w:r w:rsidRPr="00CC4571">
        <w:rPr>
          <w:bCs/>
        </w:rPr>
        <w:t>(3), 463-471.</w:t>
      </w:r>
    </w:p>
    <w:p w14:paraId="71784E45" w14:textId="73449878" w:rsidR="00ED13F4" w:rsidRDefault="00ED13F4" w:rsidP="00F67BF4">
      <w:pPr>
        <w:spacing w:line="480" w:lineRule="auto"/>
        <w:rPr>
          <w:bCs/>
        </w:rPr>
      </w:pPr>
      <w:r w:rsidRPr="00ED13F4">
        <w:rPr>
          <w:bCs/>
        </w:rPr>
        <w:lastRenderedPageBreak/>
        <w:t xml:space="preserve">Flessner, C. A., Busch, A. M., </w:t>
      </w:r>
      <w:proofErr w:type="spellStart"/>
      <w:r w:rsidRPr="00ED13F4">
        <w:rPr>
          <w:bCs/>
        </w:rPr>
        <w:t>Heideman</w:t>
      </w:r>
      <w:proofErr w:type="spellEnd"/>
      <w:r w:rsidRPr="00ED13F4">
        <w:rPr>
          <w:bCs/>
        </w:rPr>
        <w:t xml:space="preserve">, P. W., &amp; Woods, D. W. (2008). Acceptance-enhanced </w:t>
      </w:r>
      <w:r w:rsidR="00F67BF4">
        <w:rPr>
          <w:bCs/>
        </w:rPr>
        <w:tab/>
      </w:r>
      <w:r w:rsidRPr="00ED13F4">
        <w:rPr>
          <w:bCs/>
        </w:rPr>
        <w:t xml:space="preserve">behavior therapy (AEBT) for trichotillomania and chronic skin picking: </w:t>
      </w:r>
      <w:r w:rsidR="00F719B7">
        <w:rPr>
          <w:bCs/>
        </w:rPr>
        <w:t>E</w:t>
      </w:r>
      <w:r w:rsidRPr="00ED13F4">
        <w:rPr>
          <w:bCs/>
        </w:rPr>
        <w:t xml:space="preserve">xploring the </w:t>
      </w:r>
      <w:r w:rsidR="00F67BF4">
        <w:rPr>
          <w:bCs/>
        </w:rPr>
        <w:tab/>
      </w:r>
      <w:r w:rsidRPr="00ED13F4">
        <w:rPr>
          <w:bCs/>
        </w:rPr>
        <w:t>effects of component sequencing. </w:t>
      </w:r>
      <w:r w:rsidRPr="00ED13F4">
        <w:rPr>
          <w:bCs/>
          <w:i/>
          <w:iCs/>
        </w:rPr>
        <w:t>Behavior Modification</w:t>
      </w:r>
      <w:r w:rsidRPr="00ED13F4">
        <w:rPr>
          <w:bCs/>
        </w:rPr>
        <w:t>, </w:t>
      </w:r>
      <w:r w:rsidRPr="00ED13F4">
        <w:rPr>
          <w:bCs/>
          <w:i/>
          <w:iCs/>
        </w:rPr>
        <w:t>32</w:t>
      </w:r>
      <w:r w:rsidRPr="00ED13F4">
        <w:rPr>
          <w:bCs/>
        </w:rPr>
        <w:t>(5), 579-594.</w:t>
      </w:r>
    </w:p>
    <w:p w14:paraId="299A2483" w14:textId="1D01C9B9" w:rsidR="00BE6F92" w:rsidRDefault="00BE6F92" w:rsidP="00F67BF4">
      <w:pPr>
        <w:spacing w:line="480" w:lineRule="auto"/>
        <w:rPr>
          <w:bCs/>
        </w:rPr>
      </w:pPr>
      <w:r w:rsidRPr="00BE6F92">
        <w:rPr>
          <w:bCs/>
        </w:rPr>
        <w:t xml:space="preserve">Flessner, C. A., Brennan, E., Murphy, Y. E., &amp; </w:t>
      </w:r>
      <w:proofErr w:type="spellStart"/>
      <w:r w:rsidRPr="00BE6F92">
        <w:rPr>
          <w:bCs/>
        </w:rPr>
        <w:t>Francazio</w:t>
      </w:r>
      <w:proofErr w:type="spellEnd"/>
      <w:r w:rsidRPr="00BE6F92">
        <w:rPr>
          <w:bCs/>
        </w:rPr>
        <w:t xml:space="preserve">, S. (2016). Impaired executive </w:t>
      </w:r>
      <w:r>
        <w:rPr>
          <w:bCs/>
        </w:rPr>
        <w:tab/>
      </w:r>
      <w:r w:rsidRPr="00BE6F92">
        <w:rPr>
          <w:bCs/>
        </w:rPr>
        <w:t>functioning in pediatric trichotillomania (Hair Pulling Disorder). </w:t>
      </w:r>
      <w:r w:rsidRPr="00BE6F92">
        <w:rPr>
          <w:bCs/>
          <w:i/>
          <w:iCs/>
        </w:rPr>
        <w:t xml:space="preserve">Depression and </w:t>
      </w:r>
      <w:r>
        <w:rPr>
          <w:bCs/>
          <w:i/>
          <w:iCs/>
        </w:rPr>
        <w:tab/>
        <w:t>A</w:t>
      </w:r>
      <w:r w:rsidRPr="00BE6F92">
        <w:rPr>
          <w:bCs/>
          <w:i/>
          <w:iCs/>
        </w:rPr>
        <w:t>nxiety</w:t>
      </w:r>
      <w:r w:rsidRPr="00BE6F92">
        <w:rPr>
          <w:bCs/>
        </w:rPr>
        <w:t>, </w:t>
      </w:r>
      <w:r w:rsidRPr="00BE6F92">
        <w:rPr>
          <w:bCs/>
          <w:i/>
          <w:iCs/>
        </w:rPr>
        <w:t>33</w:t>
      </w:r>
      <w:r w:rsidRPr="00BE6F92">
        <w:rPr>
          <w:bCs/>
        </w:rPr>
        <w:t>(3), 219-228.</w:t>
      </w:r>
    </w:p>
    <w:p w14:paraId="68A478E0" w14:textId="43C6B31D" w:rsidR="00B50F67" w:rsidRDefault="00B50F67" w:rsidP="00F67BF4">
      <w:pPr>
        <w:spacing w:line="480" w:lineRule="auto"/>
        <w:rPr>
          <w:bCs/>
        </w:rPr>
      </w:pPr>
      <w:proofErr w:type="spellStart"/>
      <w:r w:rsidRPr="00B50F67">
        <w:rPr>
          <w:bCs/>
        </w:rPr>
        <w:t>Flujas</w:t>
      </w:r>
      <w:proofErr w:type="spellEnd"/>
      <w:r w:rsidRPr="00B50F67">
        <w:rPr>
          <w:bCs/>
        </w:rPr>
        <w:t xml:space="preserve">-Contreras, J. M., García-Palacios, A., &amp; Gómez, I. (2021). Effectiveness of a </w:t>
      </w:r>
      <w:r>
        <w:rPr>
          <w:bCs/>
        </w:rPr>
        <w:t>w</w:t>
      </w:r>
      <w:r w:rsidRPr="00B50F67">
        <w:rPr>
          <w:bCs/>
        </w:rPr>
        <w:t>eb-</w:t>
      </w:r>
      <w:r>
        <w:rPr>
          <w:bCs/>
        </w:rPr>
        <w:t>b</w:t>
      </w:r>
      <w:r w:rsidRPr="00B50F67">
        <w:rPr>
          <w:bCs/>
        </w:rPr>
        <w:t xml:space="preserve">ased </w:t>
      </w:r>
      <w:r w:rsidR="00992BC9">
        <w:rPr>
          <w:bCs/>
        </w:rPr>
        <w:tab/>
      </w:r>
      <w:r>
        <w:rPr>
          <w:bCs/>
        </w:rPr>
        <w:t>i</w:t>
      </w:r>
      <w:r w:rsidRPr="00B50F67">
        <w:rPr>
          <w:bCs/>
        </w:rPr>
        <w:t xml:space="preserve">ntervention on </w:t>
      </w:r>
      <w:r>
        <w:rPr>
          <w:bCs/>
        </w:rPr>
        <w:t>p</w:t>
      </w:r>
      <w:r w:rsidRPr="00B50F67">
        <w:rPr>
          <w:bCs/>
        </w:rPr>
        <w:t xml:space="preserve">arental </w:t>
      </w:r>
      <w:r>
        <w:rPr>
          <w:bCs/>
        </w:rPr>
        <w:t>p</w:t>
      </w:r>
      <w:r w:rsidRPr="00B50F67">
        <w:rPr>
          <w:bCs/>
        </w:rPr>
        <w:t xml:space="preserve">sychological </w:t>
      </w:r>
      <w:r>
        <w:rPr>
          <w:bCs/>
        </w:rPr>
        <w:t>f</w:t>
      </w:r>
      <w:r w:rsidRPr="00B50F67">
        <w:rPr>
          <w:bCs/>
        </w:rPr>
        <w:t xml:space="preserve">lexibility and </w:t>
      </w:r>
      <w:r>
        <w:rPr>
          <w:bCs/>
        </w:rPr>
        <w:t>e</w:t>
      </w:r>
      <w:r w:rsidRPr="00B50F67">
        <w:rPr>
          <w:bCs/>
        </w:rPr>
        <w:t xml:space="preserve">motion </w:t>
      </w:r>
      <w:r>
        <w:rPr>
          <w:bCs/>
        </w:rPr>
        <w:t>r</w:t>
      </w:r>
      <w:r w:rsidRPr="00B50F67">
        <w:rPr>
          <w:bCs/>
        </w:rPr>
        <w:t xml:space="preserve">egulation: A </w:t>
      </w:r>
      <w:r>
        <w:rPr>
          <w:bCs/>
        </w:rPr>
        <w:t>p</w:t>
      </w:r>
      <w:r w:rsidRPr="00B50F67">
        <w:rPr>
          <w:bCs/>
        </w:rPr>
        <w:t xml:space="preserve">ilot </w:t>
      </w:r>
      <w:r>
        <w:rPr>
          <w:bCs/>
        </w:rPr>
        <w:t>o</w:t>
      </w:r>
      <w:r w:rsidRPr="00B50F67">
        <w:rPr>
          <w:bCs/>
        </w:rPr>
        <w:t xml:space="preserve">pen </w:t>
      </w:r>
      <w:r w:rsidR="00992BC9">
        <w:rPr>
          <w:bCs/>
        </w:rPr>
        <w:tab/>
      </w:r>
      <w:r>
        <w:rPr>
          <w:bCs/>
        </w:rPr>
        <w:t>t</w:t>
      </w:r>
      <w:r w:rsidRPr="00B50F67">
        <w:rPr>
          <w:bCs/>
        </w:rPr>
        <w:t>rial. </w:t>
      </w:r>
      <w:r w:rsidRPr="00B50F67">
        <w:rPr>
          <w:bCs/>
          <w:i/>
          <w:iCs/>
        </w:rPr>
        <w:t>International Journal of Environmental Research and Public Health</w:t>
      </w:r>
      <w:r w:rsidRPr="00B50F67">
        <w:rPr>
          <w:bCs/>
        </w:rPr>
        <w:t>, </w:t>
      </w:r>
      <w:r w:rsidRPr="00B50F67">
        <w:rPr>
          <w:bCs/>
          <w:i/>
          <w:iCs/>
        </w:rPr>
        <w:t>18</w:t>
      </w:r>
      <w:r w:rsidRPr="00B50F67">
        <w:rPr>
          <w:bCs/>
        </w:rPr>
        <w:t>(6), 2958.</w:t>
      </w:r>
    </w:p>
    <w:p w14:paraId="021345B7" w14:textId="01CE99C4" w:rsidR="002B139B" w:rsidRPr="00C82FB7" w:rsidRDefault="002B139B" w:rsidP="00F67BF4">
      <w:pPr>
        <w:spacing w:line="480" w:lineRule="auto"/>
        <w:rPr>
          <w:bCs/>
        </w:rPr>
      </w:pPr>
      <w:r w:rsidRPr="002B139B">
        <w:rPr>
          <w:bCs/>
        </w:rPr>
        <w:t xml:space="preserve">Franklin, M. E., Flessner, C. A., Woods, D. W., </w:t>
      </w:r>
      <w:proofErr w:type="spellStart"/>
      <w:r w:rsidRPr="002B139B">
        <w:rPr>
          <w:bCs/>
        </w:rPr>
        <w:t>Keuthen</w:t>
      </w:r>
      <w:proofErr w:type="spellEnd"/>
      <w:r w:rsidRPr="002B139B">
        <w:rPr>
          <w:bCs/>
        </w:rPr>
        <w:t xml:space="preserve">, N. J., </w:t>
      </w:r>
      <w:proofErr w:type="spellStart"/>
      <w:r w:rsidRPr="002B139B">
        <w:rPr>
          <w:bCs/>
        </w:rPr>
        <w:t>Piacentini</w:t>
      </w:r>
      <w:proofErr w:type="spellEnd"/>
      <w:r w:rsidRPr="002B139B">
        <w:rPr>
          <w:bCs/>
        </w:rPr>
        <w:t xml:space="preserve">, J. C., Moore, P., ... &amp; </w:t>
      </w:r>
      <w:r>
        <w:rPr>
          <w:bCs/>
        </w:rPr>
        <w:tab/>
      </w:r>
      <w:r w:rsidRPr="002B139B">
        <w:rPr>
          <w:bCs/>
        </w:rPr>
        <w:t xml:space="preserve">Board, T. L. C. S. A. (2008). The child and adolescent trichotillomania impact project: </w:t>
      </w:r>
      <w:r>
        <w:rPr>
          <w:bCs/>
        </w:rPr>
        <w:tab/>
        <w:t>De</w:t>
      </w:r>
      <w:r w:rsidRPr="002B139B">
        <w:rPr>
          <w:bCs/>
        </w:rPr>
        <w:t xml:space="preserve">scriptive psychopathology, comorbidity, functional impairment, and treatment </w:t>
      </w:r>
      <w:r>
        <w:rPr>
          <w:bCs/>
        </w:rPr>
        <w:tab/>
      </w:r>
      <w:r w:rsidRPr="002B139B">
        <w:rPr>
          <w:bCs/>
        </w:rPr>
        <w:t>utilization. </w:t>
      </w:r>
      <w:r w:rsidRPr="002B139B">
        <w:rPr>
          <w:bCs/>
          <w:i/>
          <w:iCs/>
        </w:rPr>
        <w:t>Journal of Developmental &amp; Behavioral Pediatrics</w:t>
      </w:r>
      <w:r w:rsidRPr="002B139B">
        <w:rPr>
          <w:bCs/>
        </w:rPr>
        <w:t>, </w:t>
      </w:r>
      <w:r w:rsidRPr="002B139B">
        <w:rPr>
          <w:bCs/>
          <w:i/>
          <w:iCs/>
        </w:rPr>
        <w:t>29</w:t>
      </w:r>
      <w:r w:rsidRPr="002B139B">
        <w:rPr>
          <w:bCs/>
        </w:rPr>
        <w:t>(6), 493-500.</w:t>
      </w:r>
    </w:p>
    <w:p w14:paraId="2F5F8EED" w14:textId="77777777" w:rsidR="009255D1" w:rsidRPr="009255D1" w:rsidRDefault="009255D1" w:rsidP="009255D1">
      <w:pPr>
        <w:spacing w:line="480" w:lineRule="auto"/>
        <w:rPr>
          <w:bCs/>
        </w:rPr>
      </w:pPr>
      <w:r w:rsidRPr="009255D1">
        <w:rPr>
          <w:bCs/>
        </w:rPr>
        <w:t xml:space="preserve">Franklin, M. E., Edson, A. L., &amp; Freeman, J. B. (2010). Behavior therapy for pediatric </w:t>
      </w:r>
      <w:r>
        <w:rPr>
          <w:bCs/>
        </w:rPr>
        <w:tab/>
      </w:r>
      <w:r w:rsidRPr="009255D1">
        <w:rPr>
          <w:bCs/>
        </w:rPr>
        <w:t>trichotillomania: exploring the effects of age on treatment outcome. </w:t>
      </w:r>
      <w:r w:rsidRPr="009255D1">
        <w:rPr>
          <w:bCs/>
          <w:i/>
          <w:iCs/>
        </w:rPr>
        <w:t xml:space="preserve">Child and Adolescent </w:t>
      </w:r>
      <w:r>
        <w:rPr>
          <w:bCs/>
          <w:i/>
          <w:iCs/>
        </w:rPr>
        <w:tab/>
      </w:r>
      <w:r w:rsidRPr="009255D1">
        <w:rPr>
          <w:bCs/>
          <w:i/>
          <w:iCs/>
        </w:rPr>
        <w:t>Psychiatry and Mental Health</w:t>
      </w:r>
      <w:r w:rsidRPr="009255D1">
        <w:rPr>
          <w:bCs/>
        </w:rPr>
        <w:t>, </w:t>
      </w:r>
      <w:r w:rsidRPr="009255D1">
        <w:rPr>
          <w:bCs/>
          <w:i/>
          <w:iCs/>
        </w:rPr>
        <w:t>4</w:t>
      </w:r>
      <w:r w:rsidRPr="009255D1">
        <w:rPr>
          <w:bCs/>
        </w:rPr>
        <w:t>(1), 1-6.</w:t>
      </w:r>
    </w:p>
    <w:p w14:paraId="7FFAD643" w14:textId="77777777" w:rsidR="00B24F94" w:rsidRPr="00B24F94" w:rsidRDefault="00B24F94" w:rsidP="00B24F94">
      <w:pPr>
        <w:spacing w:line="480" w:lineRule="auto"/>
        <w:rPr>
          <w:bCs/>
        </w:rPr>
      </w:pPr>
      <w:r w:rsidRPr="00B24F94">
        <w:rPr>
          <w:bCs/>
        </w:rPr>
        <w:t xml:space="preserve">Franklin, M. E., </w:t>
      </w:r>
      <w:proofErr w:type="spellStart"/>
      <w:r w:rsidRPr="00B24F94">
        <w:rPr>
          <w:bCs/>
        </w:rPr>
        <w:t>Zagrabbe</w:t>
      </w:r>
      <w:proofErr w:type="spellEnd"/>
      <w:r w:rsidRPr="00B24F94">
        <w:rPr>
          <w:bCs/>
        </w:rPr>
        <w:t xml:space="preserve">, K., &amp; Benavides, K. L. (2011). Trichotillomania and its treatment: </w:t>
      </w:r>
      <w:r>
        <w:rPr>
          <w:bCs/>
        </w:rPr>
        <w:t>A</w:t>
      </w:r>
      <w:r w:rsidRPr="00B24F94">
        <w:rPr>
          <w:bCs/>
        </w:rPr>
        <w:t xml:space="preserve"> </w:t>
      </w:r>
      <w:r>
        <w:rPr>
          <w:bCs/>
        </w:rPr>
        <w:tab/>
      </w:r>
      <w:r w:rsidRPr="00B24F94">
        <w:rPr>
          <w:bCs/>
        </w:rPr>
        <w:t>review and recommendations. </w:t>
      </w:r>
      <w:r w:rsidRPr="00B24F94">
        <w:rPr>
          <w:bCs/>
          <w:i/>
          <w:iCs/>
        </w:rPr>
        <w:t xml:space="preserve">Expert </w:t>
      </w:r>
      <w:r>
        <w:rPr>
          <w:bCs/>
          <w:i/>
          <w:iCs/>
        </w:rPr>
        <w:t>R</w:t>
      </w:r>
      <w:r w:rsidRPr="00B24F94">
        <w:rPr>
          <w:bCs/>
          <w:i/>
          <w:iCs/>
        </w:rPr>
        <w:t xml:space="preserve">eview of </w:t>
      </w:r>
      <w:r>
        <w:rPr>
          <w:bCs/>
          <w:i/>
          <w:iCs/>
        </w:rPr>
        <w:t>N</w:t>
      </w:r>
      <w:r w:rsidRPr="00B24F94">
        <w:rPr>
          <w:bCs/>
          <w:i/>
          <w:iCs/>
        </w:rPr>
        <w:t>eurotherapeutics</w:t>
      </w:r>
      <w:r w:rsidRPr="00B24F94">
        <w:rPr>
          <w:bCs/>
        </w:rPr>
        <w:t>, </w:t>
      </w:r>
      <w:r w:rsidRPr="00B24F94">
        <w:rPr>
          <w:bCs/>
          <w:i/>
          <w:iCs/>
        </w:rPr>
        <w:t>11</w:t>
      </w:r>
      <w:r w:rsidRPr="00B24F94">
        <w:rPr>
          <w:bCs/>
        </w:rPr>
        <w:t>(8), 1165-1174.</w:t>
      </w:r>
    </w:p>
    <w:p w14:paraId="54FAC312" w14:textId="77777777" w:rsidR="00B77CB0" w:rsidRPr="00B77CB0" w:rsidRDefault="00B77CB0" w:rsidP="00B77CB0">
      <w:pPr>
        <w:spacing w:line="480" w:lineRule="auto"/>
        <w:rPr>
          <w:bCs/>
        </w:rPr>
      </w:pPr>
      <w:r w:rsidRPr="00B77CB0">
        <w:rPr>
          <w:bCs/>
        </w:rPr>
        <w:t xml:space="preserve">Grant, J. E., Redden, S. A., Medeiros, G. C., </w:t>
      </w:r>
      <w:proofErr w:type="spellStart"/>
      <w:r w:rsidRPr="00B77CB0">
        <w:rPr>
          <w:bCs/>
        </w:rPr>
        <w:t>Odlaug</w:t>
      </w:r>
      <w:proofErr w:type="spellEnd"/>
      <w:r w:rsidRPr="00B77CB0">
        <w:rPr>
          <w:bCs/>
        </w:rPr>
        <w:t xml:space="preserve">, B. L., Curley, E. E., Tavares, H., &amp; </w:t>
      </w:r>
      <w:r>
        <w:rPr>
          <w:bCs/>
        </w:rPr>
        <w:tab/>
      </w:r>
      <w:proofErr w:type="spellStart"/>
      <w:r w:rsidRPr="00B77CB0">
        <w:rPr>
          <w:bCs/>
        </w:rPr>
        <w:t>Keuthen</w:t>
      </w:r>
      <w:proofErr w:type="spellEnd"/>
      <w:r w:rsidRPr="00B77CB0">
        <w:rPr>
          <w:bCs/>
        </w:rPr>
        <w:t xml:space="preserve">, N. J. (2017). Trichotillomania and its clinical relationship to depression and </w:t>
      </w:r>
      <w:r>
        <w:rPr>
          <w:bCs/>
        </w:rPr>
        <w:tab/>
      </w:r>
      <w:r w:rsidRPr="00B77CB0">
        <w:rPr>
          <w:bCs/>
        </w:rPr>
        <w:t>anxiety. </w:t>
      </w:r>
      <w:r w:rsidRPr="00B77CB0">
        <w:rPr>
          <w:bCs/>
          <w:i/>
          <w:iCs/>
        </w:rPr>
        <w:t xml:space="preserve">International </w:t>
      </w:r>
      <w:r>
        <w:rPr>
          <w:bCs/>
          <w:i/>
          <w:iCs/>
        </w:rPr>
        <w:t>J</w:t>
      </w:r>
      <w:r w:rsidRPr="00B77CB0">
        <w:rPr>
          <w:bCs/>
          <w:i/>
          <w:iCs/>
        </w:rPr>
        <w:t xml:space="preserve">ournal of </w:t>
      </w:r>
      <w:r>
        <w:rPr>
          <w:bCs/>
          <w:i/>
          <w:iCs/>
        </w:rPr>
        <w:t>P</w:t>
      </w:r>
      <w:r w:rsidRPr="00B77CB0">
        <w:rPr>
          <w:bCs/>
          <w:i/>
          <w:iCs/>
        </w:rPr>
        <w:t xml:space="preserve">sychiatry in </w:t>
      </w:r>
      <w:r>
        <w:rPr>
          <w:bCs/>
          <w:i/>
          <w:iCs/>
        </w:rPr>
        <w:t>C</w:t>
      </w:r>
      <w:r w:rsidRPr="00B77CB0">
        <w:rPr>
          <w:bCs/>
          <w:i/>
          <w:iCs/>
        </w:rPr>
        <w:t xml:space="preserve">linical </w:t>
      </w:r>
      <w:r>
        <w:rPr>
          <w:bCs/>
          <w:i/>
          <w:iCs/>
        </w:rPr>
        <w:t>P</w:t>
      </w:r>
      <w:r w:rsidRPr="00B77CB0">
        <w:rPr>
          <w:bCs/>
          <w:i/>
          <w:iCs/>
        </w:rPr>
        <w:t>ractice</w:t>
      </w:r>
      <w:r w:rsidRPr="00B77CB0">
        <w:rPr>
          <w:bCs/>
        </w:rPr>
        <w:t>, </w:t>
      </w:r>
      <w:r w:rsidRPr="00B77CB0">
        <w:rPr>
          <w:bCs/>
          <w:i/>
          <w:iCs/>
        </w:rPr>
        <w:t>21</w:t>
      </w:r>
      <w:r w:rsidRPr="00B77CB0">
        <w:rPr>
          <w:bCs/>
        </w:rPr>
        <w:t>(4), 302-306.</w:t>
      </w:r>
    </w:p>
    <w:p w14:paraId="331A77C2" w14:textId="5A3A49E2" w:rsidR="00A82249" w:rsidRDefault="00A82249" w:rsidP="00F67BF4">
      <w:pPr>
        <w:spacing w:line="480" w:lineRule="auto"/>
        <w:rPr>
          <w:bCs/>
        </w:rPr>
      </w:pPr>
      <w:proofErr w:type="spellStart"/>
      <w:r w:rsidRPr="00A82249">
        <w:rPr>
          <w:bCs/>
        </w:rPr>
        <w:t>Haaland</w:t>
      </w:r>
      <w:proofErr w:type="spellEnd"/>
      <w:r w:rsidRPr="00A82249">
        <w:rPr>
          <w:bCs/>
        </w:rPr>
        <w:t xml:space="preserve">, Å. T., </w:t>
      </w:r>
      <w:proofErr w:type="spellStart"/>
      <w:r w:rsidRPr="00A82249">
        <w:rPr>
          <w:bCs/>
        </w:rPr>
        <w:t>Eskeland</w:t>
      </w:r>
      <w:proofErr w:type="spellEnd"/>
      <w:r w:rsidRPr="00A82249">
        <w:rPr>
          <w:bCs/>
        </w:rPr>
        <w:t xml:space="preserve">, S. O., Moen, E. M., Vogel, P. A., </w:t>
      </w:r>
      <w:proofErr w:type="spellStart"/>
      <w:r w:rsidRPr="00A82249">
        <w:rPr>
          <w:bCs/>
        </w:rPr>
        <w:t>Haseth</w:t>
      </w:r>
      <w:proofErr w:type="spellEnd"/>
      <w:r w:rsidRPr="00A82249">
        <w:rPr>
          <w:bCs/>
        </w:rPr>
        <w:t xml:space="preserve">, S., </w:t>
      </w:r>
      <w:proofErr w:type="spellStart"/>
      <w:r w:rsidRPr="00A82249">
        <w:rPr>
          <w:bCs/>
        </w:rPr>
        <w:t>Mellingen</w:t>
      </w:r>
      <w:proofErr w:type="spellEnd"/>
      <w:r w:rsidRPr="00A82249">
        <w:rPr>
          <w:bCs/>
        </w:rPr>
        <w:t xml:space="preserve">, K., ... &amp; </w:t>
      </w:r>
      <w:r w:rsidR="00F67BF4">
        <w:rPr>
          <w:bCs/>
        </w:rPr>
        <w:tab/>
      </w:r>
      <w:proofErr w:type="spellStart"/>
      <w:r w:rsidRPr="00A82249">
        <w:rPr>
          <w:bCs/>
        </w:rPr>
        <w:t>Hummelen</w:t>
      </w:r>
      <w:proofErr w:type="spellEnd"/>
      <w:r w:rsidRPr="00A82249">
        <w:rPr>
          <w:bCs/>
        </w:rPr>
        <w:t xml:space="preserve">, B. (2017). ACT-enhanced behavior therapy in group format for </w:t>
      </w:r>
      <w:r w:rsidR="00F67BF4">
        <w:rPr>
          <w:bCs/>
        </w:rPr>
        <w:lastRenderedPageBreak/>
        <w:tab/>
      </w:r>
      <w:r w:rsidRPr="00A82249">
        <w:rPr>
          <w:bCs/>
        </w:rPr>
        <w:t>Trichotillomania: An effectiveness study. </w:t>
      </w:r>
      <w:r w:rsidRPr="00A82249">
        <w:rPr>
          <w:bCs/>
          <w:i/>
          <w:iCs/>
        </w:rPr>
        <w:t xml:space="preserve">Journal of Obsessive-Compulsive and Related </w:t>
      </w:r>
      <w:r w:rsidR="00F67BF4">
        <w:rPr>
          <w:bCs/>
          <w:i/>
          <w:iCs/>
        </w:rPr>
        <w:tab/>
      </w:r>
      <w:r w:rsidRPr="00A82249">
        <w:rPr>
          <w:bCs/>
          <w:i/>
          <w:iCs/>
        </w:rPr>
        <w:t>Disorders</w:t>
      </w:r>
      <w:r w:rsidRPr="00A82249">
        <w:rPr>
          <w:bCs/>
        </w:rPr>
        <w:t>, </w:t>
      </w:r>
      <w:r w:rsidRPr="00A82249">
        <w:rPr>
          <w:bCs/>
          <w:i/>
          <w:iCs/>
        </w:rPr>
        <w:t>12</w:t>
      </w:r>
      <w:r w:rsidRPr="00A82249">
        <w:rPr>
          <w:bCs/>
        </w:rPr>
        <w:t>, 109-116.</w:t>
      </w:r>
    </w:p>
    <w:p w14:paraId="09315A64" w14:textId="38B75982" w:rsidR="00DF5CDA" w:rsidRDefault="00DF5CDA" w:rsidP="00F67BF4">
      <w:pPr>
        <w:spacing w:line="480" w:lineRule="auto"/>
        <w:rPr>
          <w:bCs/>
        </w:rPr>
      </w:pPr>
      <w:r w:rsidRPr="00DF5CDA">
        <w:rPr>
          <w:bCs/>
        </w:rPr>
        <w:t xml:space="preserve">Hancock, K. M., Swain, J., Hainsworth, C. J., Dixon, A. L., Koo, S., &amp; Munro, K. (2018). </w:t>
      </w:r>
      <w:r>
        <w:rPr>
          <w:bCs/>
        </w:rPr>
        <w:tab/>
      </w:r>
      <w:r w:rsidRPr="00DF5CDA">
        <w:rPr>
          <w:bCs/>
        </w:rPr>
        <w:t xml:space="preserve">Acceptance and commitment therapy versus cognitive behavior therapy for children with </w:t>
      </w:r>
      <w:r>
        <w:rPr>
          <w:bCs/>
        </w:rPr>
        <w:tab/>
      </w:r>
      <w:r w:rsidRPr="00DF5CDA">
        <w:rPr>
          <w:bCs/>
        </w:rPr>
        <w:t xml:space="preserve">anxiety: Outcomes of a randomized controlled trial. </w:t>
      </w:r>
      <w:r w:rsidRPr="00DF5CDA">
        <w:rPr>
          <w:bCs/>
          <w:i/>
          <w:iCs/>
        </w:rPr>
        <w:t xml:space="preserve">Journal of Clinical Child &amp; </w:t>
      </w:r>
      <w:r w:rsidRPr="00DF5CDA">
        <w:rPr>
          <w:bCs/>
          <w:i/>
          <w:iCs/>
        </w:rPr>
        <w:tab/>
        <w:t>Adolescent Psychology</w:t>
      </w:r>
      <w:r w:rsidRPr="00DF5CDA">
        <w:rPr>
          <w:bCs/>
        </w:rPr>
        <w:t xml:space="preserve">, </w:t>
      </w:r>
      <w:r w:rsidRPr="00DF5CDA">
        <w:rPr>
          <w:bCs/>
          <w:i/>
          <w:iCs/>
        </w:rPr>
        <w:t>47</w:t>
      </w:r>
      <w:r w:rsidRPr="00DF5CDA">
        <w:rPr>
          <w:bCs/>
        </w:rPr>
        <w:t>(2), 296-311.</w:t>
      </w:r>
    </w:p>
    <w:p w14:paraId="261AB34C" w14:textId="77777777" w:rsidR="001928F2" w:rsidRDefault="001928F2" w:rsidP="00F67BF4">
      <w:pPr>
        <w:spacing w:line="480" w:lineRule="auto"/>
        <w:rPr>
          <w:bCs/>
        </w:rPr>
      </w:pPr>
      <w:r w:rsidRPr="001928F2">
        <w:rPr>
          <w:bCs/>
        </w:rPr>
        <w:t xml:space="preserve">Kuznetsova, A., </w:t>
      </w:r>
      <w:proofErr w:type="spellStart"/>
      <w:r w:rsidRPr="001928F2">
        <w:rPr>
          <w:bCs/>
        </w:rPr>
        <w:t>Brockhoff</w:t>
      </w:r>
      <w:proofErr w:type="spellEnd"/>
      <w:r w:rsidRPr="001928F2">
        <w:rPr>
          <w:bCs/>
        </w:rPr>
        <w:t xml:space="preserve">, P. B., &amp; Christensen, R. H. (2017). </w:t>
      </w:r>
      <w:proofErr w:type="spellStart"/>
      <w:r w:rsidRPr="001928F2">
        <w:rPr>
          <w:bCs/>
        </w:rPr>
        <w:t>lmerTest</w:t>
      </w:r>
      <w:proofErr w:type="spellEnd"/>
      <w:r w:rsidRPr="001928F2">
        <w:rPr>
          <w:bCs/>
        </w:rPr>
        <w:t xml:space="preserve"> package: </w:t>
      </w:r>
      <w:r w:rsidR="00AF17FD">
        <w:rPr>
          <w:bCs/>
        </w:rPr>
        <w:t>T</w:t>
      </w:r>
      <w:r w:rsidRPr="001928F2">
        <w:rPr>
          <w:bCs/>
        </w:rPr>
        <w:t>ests in linear</w:t>
      </w:r>
      <w:r>
        <w:rPr>
          <w:bCs/>
        </w:rPr>
        <w:tab/>
      </w:r>
      <w:r>
        <w:rPr>
          <w:bCs/>
        </w:rPr>
        <w:tab/>
        <w:t xml:space="preserve"> </w:t>
      </w:r>
      <w:r w:rsidRPr="001928F2">
        <w:rPr>
          <w:bCs/>
        </w:rPr>
        <w:t>mixed effects models. </w:t>
      </w:r>
      <w:r w:rsidRPr="001928F2">
        <w:rPr>
          <w:bCs/>
          <w:i/>
          <w:iCs/>
        </w:rPr>
        <w:t xml:space="preserve">Journal of </w:t>
      </w:r>
      <w:r w:rsidR="000A11BC">
        <w:rPr>
          <w:bCs/>
          <w:i/>
          <w:iCs/>
        </w:rPr>
        <w:t>S</w:t>
      </w:r>
      <w:r w:rsidRPr="001928F2">
        <w:rPr>
          <w:bCs/>
          <w:i/>
          <w:iCs/>
        </w:rPr>
        <w:t xml:space="preserve">tatistical </w:t>
      </w:r>
      <w:r w:rsidR="000A11BC">
        <w:rPr>
          <w:bCs/>
          <w:i/>
          <w:iCs/>
        </w:rPr>
        <w:t>S</w:t>
      </w:r>
      <w:r w:rsidRPr="001928F2">
        <w:rPr>
          <w:bCs/>
          <w:i/>
          <w:iCs/>
        </w:rPr>
        <w:t>oftware</w:t>
      </w:r>
      <w:r w:rsidRPr="001928F2">
        <w:rPr>
          <w:bCs/>
        </w:rPr>
        <w:t>, </w:t>
      </w:r>
      <w:r w:rsidRPr="001928F2">
        <w:rPr>
          <w:bCs/>
          <w:i/>
          <w:iCs/>
        </w:rPr>
        <w:t>82</w:t>
      </w:r>
      <w:r w:rsidRPr="001928F2">
        <w:rPr>
          <w:bCs/>
        </w:rPr>
        <w:t>(1), 1-26.</w:t>
      </w:r>
    </w:p>
    <w:p w14:paraId="0A230597" w14:textId="0D526A23" w:rsidR="001C2B6F" w:rsidRDefault="001C2B6F" w:rsidP="00F67BF4">
      <w:pPr>
        <w:spacing w:line="480" w:lineRule="auto"/>
        <w:rPr>
          <w:bCs/>
        </w:rPr>
      </w:pPr>
      <w:r w:rsidRPr="001C2B6F">
        <w:rPr>
          <w:bCs/>
        </w:rPr>
        <w:t xml:space="preserve">Lee, E. B., </w:t>
      </w:r>
      <w:proofErr w:type="spellStart"/>
      <w:r w:rsidRPr="001C2B6F">
        <w:rPr>
          <w:bCs/>
        </w:rPr>
        <w:t>Haeger</w:t>
      </w:r>
      <w:proofErr w:type="spellEnd"/>
      <w:r w:rsidRPr="001C2B6F">
        <w:rPr>
          <w:bCs/>
        </w:rPr>
        <w:t xml:space="preserve">, J. A., Levin, M. E., Ong, C. W., &amp; Twohig, M. P. (2018). </w:t>
      </w:r>
      <w:proofErr w:type="spellStart"/>
      <w:r w:rsidRPr="001C2B6F">
        <w:rPr>
          <w:bCs/>
        </w:rPr>
        <w:t>Telepsychotherapy</w:t>
      </w:r>
      <w:proofErr w:type="spellEnd"/>
      <w:r w:rsidRPr="001C2B6F">
        <w:rPr>
          <w:bCs/>
        </w:rPr>
        <w:t xml:space="preserve"> </w:t>
      </w:r>
      <w:r>
        <w:rPr>
          <w:bCs/>
        </w:rPr>
        <w:tab/>
      </w:r>
      <w:r w:rsidRPr="001C2B6F">
        <w:rPr>
          <w:bCs/>
        </w:rPr>
        <w:t xml:space="preserve">for trichotillomania: A randomized controlled trial of ACT enhanced behavior therapy. </w:t>
      </w:r>
      <w:r>
        <w:rPr>
          <w:bCs/>
        </w:rPr>
        <w:tab/>
      </w:r>
      <w:r w:rsidRPr="001C2B6F">
        <w:rPr>
          <w:bCs/>
          <w:i/>
          <w:iCs/>
        </w:rPr>
        <w:t>Journal of Obsessive-Compulsive and Related Disorders</w:t>
      </w:r>
      <w:r w:rsidRPr="001C2B6F">
        <w:rPr>
          <w:bCs/>
        </w:rPr>
        <w:t xml:space="preserve">, </w:t>
      </w:r>
      <w:r w:rsidRPr="001C2B6F">
        <w:rPr>
          <w:bCs/>
          <w:i/>
          <w:iCs/>
        </w:rPr>
        <w:t>18</w:t>
      </w:r>
      <w:r w:rsidRPr="001C2B6F">
        <w:rPr>
          <w:bCs/>
        </w:rPr>
        <w:t>, 106-115.</w:t>
      </w:r>
    </w:p>
    <w:p w14:paraId="695D2BA5" w14:textId="60251853" w:rsidR="00040343" w:rsidRDefault="00040343" w:rsidP="00F67BF4">
      <w:pPr>
        <w:spacing w:line="480" w:lineRule="auto"/>
        <w:rPr>
          <w:bCs/>
        </w:rPr>
      </w:pPr>
      <w:r w:rsidRPr="00381FDC">
        <w:rPr>
          <w:bCs/>
        </w:rPr>
        <w:t xml:space="preserve">Lee, E. B., Homan, K. J., Morrison, K. L., Ong, C. W., Levin, M. E., &amp; Twohig, M. P. (2020). </w:t>
      </w:r>
      <w:r w:rsidR="00F67BF4">
        <w:rPr>
          <w:bCs/>
        </w:rPr>
        <w:tab/>
      </w:r>
      <w:r w:rsidRPr="00381FDC">
        <w:rPr>
          <w:bCs/>
        </w:rPr>
        <w:t xml:space="preserve">Acceptance and commitment therapy for trichotillomania: A randomized controlled trial </w:t>
      </w:r>
      <w:r w:rsidR="00F67BF4">
        <w:rPr>
          <w:bCs/>
        </w:rPr>
        <w:tab/>
      </w:r>
      <w:r w:rsidRPr="00381FDC">
        <w:rPr>
          <w:bCs/>
        </w:rPr>
        <w:t>of adults and adolescents. </w:t>
      </w:r>
      <w:r w:rsidRPr="00381FDC">
        <w:rPr>
          <w:bCs/>
          <w:i/>
          <w:iCs/>
        </w:rPr>
        <w:t>Behavior modification</w:t>
      </w:r>
      <w:r w:rsidRPr="00381FDC">
        <w:rPr>
          <w:bCs/>
        </w:rPr>
        <w:t>, </w:t>
      </w:r>
      <w:r w:rsidRPr="00381FDC">
        <w:rPr>
          <w:bCs/>
          <w:i/>
          <w:iCs/>
        </w:rPr>
        <w:t>44</w:t>
      </w:r>
      <w:r w:rsidRPr="00381FDC">
        <w:rPr>
          <w:bCs/>
        </w:rPr>
        <w:t>(1), 70-91.</w:t>
      </w:r>
    </w:p>
    <w:p w14:paraId="36604C42" w14:textId="77777777" w:rsidR="00D51A47" w:rsidRDefault="00D51A47" w:rsidP="00F67BF4">
      <w:pPr>
        <w:spacing w:line="480" w:lineRule="auto"/>
        <w:rPr>
          <w:bCs/>
        </w:rPr>
      </w:pPr>
      <w:proofErr w:type="spellStart"/>
      <w:r w:rsidRPr="00D51A47">
        <w:rPr>
          <w:bCs/>
        </w:rPr>
        <w:t>Leifeld</w:t>
      </w:r>
      <w:proofErr w:type="spellEnd"/>
      <w:r w:rsidRPr="00D51A47">
        <w:rPr>
          <w:bCs/>
        </w:rPr>
        <w:t xml:space="preserve">, P. (2013). </w:t>
      </w:r>
      <w:proofErr w:type="spellStart"/>
      <w:r w:rsidRPr="00D51A47">
        <w:rPr>
          <w:bCs/>
        </w:rPr>
        <w:t>texreg</w:t>
      </w:r>
      <w:proofErr w:type="spellEnd"/>
      <w:r w:rsidRPr="00D51A47">
        <w:rPr>
          <w:bCs/>
        </w:rPr>
        <w:t xml:space="preserve">: Conversion of </w:t>
      </w:r>
      <w:r w:rsidR="00C70C6A">
        <w:rPr>
          <w:bCs/>
        </w:rPr>
        <w:t>s</w:t>
      </w:r>
      <w:r w:rsidRPr="00D51A47">
        <w:rPr>
          <w:bCs/>
        </w:rPr>
        <w:t xml:space="preserve">tatistical </w:t>
      </w:r>
      <w:r w:rsidR="00C70C6A">
        <w:rPr>
          <w:bCs/>
        </w:rPr>
        <w:t>m</w:t>
      </w:r>
      <w:r w:rsidRPr="00D51A47">
        <w:rPr>
          <w:bCs/>
        </w:rPr>
        <w:t xml:space="preserve">odel </w:t>
      </w:r>
      <w:r w:rsidR="00C70C6A">
        <w:rPr>
          <w:bCs/>
        </w:rPr>
        <w:t>o</w:t>
      </w:r>
      <w:r w:rsidRPr="00D51A47">
        <w:rPr>
          <w:bCs/>
        </w:rPr>
        <w:t xml:space="preserve">utput in R to LATEX and HTML </w:t>
      </w:r>
      <w:r>
        <w:rPr>
          <w:bCs/>
        </w:rPr>
        <w:tab/>
      </w:r>
      <w:r w:rsidR="00C70C6A">
        <w:rPr>
          <w:bCs/>
        </w:rPr>
        <w:t>t</w:t>
      </w:r>
      <w:r w:rsidRPr="00D51A47">
        <w:rPr>
          <w:bCs/>
        </w:rPr>
        <w:t>ables. </w:t>
      </w:r>
      <w:r w:rsidRPr="00D51A47">
        <w:rPr>
          <w:bCs/>
          <w:i/>
          <w:iCs/>
        </w:rPr>
        <w:t>Journal of Statistical Software</w:t>
      </w:r>
      <w:r w:rsidRPr="00D51A47">
        <w:rPr>
          <w:bCs/>
        </w:rPr>
        <w:t>, </w:t>
      </w:r>
      <w:r w:rsidRPr="00D51A47">
        <w:rPr>
          <w:bCs/>
          <w:i/>
          <w:iCs/>
        </w:rPr>
        <w:t>55</w:t>
      </w:r>
      <w:r w:rsidRPr="00D51A47">
        <w:rPr>
          <w:bCs/>
        </w:rPr>
        <w:t>(8), 1-24.</w:t>
      </w:r>
    </w:p>
    <w:p w14:paraId="275A485C" w14:textId="77777777" w:rsidR="00C70C6A" w:rsidRPr="00C70C6A" w:rsidRDefault="00C70C6A" w:rsidP="00C70C6A">
      <w:pPr>
        <w:spacing w:line="480" w:lineRule="auto"/>
        <w:rPr>
          <w:bCs/>
        </w:rPr>
      </w:pPr>
      <w:r w:rsidRPr="00C70C6A">
        <w:rPr>
          <w:bCs/>
        </w:rPr>
        <w:t xml:space="preserve">Lewin, A. B., </w:t>
      </w:r>
      <w:proofErr w:type="spellStart"/>
      <w:r w:rsidRPr="00C70C6A">
        <w:rPr>
          <w:bCs/>
        </w:rPr>
        <w:t>Piacentini</w:t>
      </w:r>
      <w:proofErr w:type="spellEnd"/>
      <w:r w:rsidRPr="00C70C6A">
        <w:rPr>
          <w:bCs/>
        </w:rPr>
        <w:t xml:space="preserve">, J., Flessner, C. A., Woods, D. W., Franklin, M. E., </w:t>
      </w:r>
      <w:proofErr w:type="spellStart"/>
      <w:r w:rsidRPr="00C70C6A">
        <w:rPr>
          <w:bCs/>
        </w:rPr>
        <w:t>Keuthen</w:t>
      </w:r>
      <w:proofErr w:type="spellEnd"/>
      <w:r w:rsidRPr="00C70C6A">
        <w:rPr>
          <w:bCs/>
        </w:rPr>
        <w:t xml:space="preserve">, N. J., ... &amp; </w:t>
      </w:r>
      <w:r>
        <w:rPr>
          <w:bCs/>
        </w:rPr>
        <w:tab/>
      </w:r>
      <w:r w:rsidRPr="00C70C6A">
        <w:rPr>
          <w:bCs/>
        </w:rPr>
        <w:t xml:space="preserve">Stein, D. J. (2009). Depression, anxiety, and functional impairment in children with </w:t>
      </w:r>
      <w:r>
        <w:rPr>
          <w:bCs/>
        </w:rPr>
        <w:tab/>
      </w:r>
      <w:r w:rsidRPr="00C70C6A">
        <w:rPr>
          <w:bCs/>
        </w:rPr>
        <w:t>trichotillomania. </w:t>
      </w:r>
      <w:r w:rsidRPr="00C70C6A">
        <w:rPr>
          <w:bCs/>
          <w:i/>
          <w:iCs/>
        </w:rPr>
        <w:t>Depression and Anxiety</w:t>
      </w:r>
      <w:r w:rsidRPr="00C70C6A">
        <w:rPr>
          <w:bCs/>
        </w:rPr>
        <w:t>, </w:t>
      </w:r>
      <w:r w:rsidRPr="00C70C6A">
        <w:rPr>
          <w:bCs/>
          <w:i/>
          <w:iCs/>
        </w:rPr>
        <w:t>26</w:t>
      </w:r>
      <w:r w:rsidRPr="00C70C6A">
        <w:rPr>
          <w:bCs/>
        </w:rPr>
        <w:t>(6), 521-527.</w:t>
      </w:r>
    </w:p>
    <w:p w14:paraId="4D96B6BB" w14:textId="3F88C925" w:rsidR="000918B8" w:rsidRDefault="000918B8" w:rsidP="00F67BF4">
      <w:pPr>
        <w:spacing w:line="480" w:lineRule="auto"/>
        <w:rPr>
          <w:bCs/>
        </w:rPr>
      </w:pPr>
      <w:proofErr w:type="spellStart"/>
      <w:r w:rsidRPr="000918B8">
        <w:rPr>
          <w:bCs/>
        </w:rPr>
        <w:t>Mailund</w:t>
      </w:r>
      <w:proofErr w:type="spellEnd"/>
      <w:r w:rsidRPr="000918B8">
        <w:rPr>
          <w:bCs/>
        </w:rPr>
        <w:t xml:space="preserve">, T. (2019). Manipulating data frames: </w:t>
      </w:r>
      <w:proofErr w:type="spellStart"/>
      <w:r w:rsidRPr="000918B8">
        <w:rPr>
          <w:bCs/>
        </w:rPr>
        <w:t>dplyr</w:t>
      </w:r>
      <w:proofErr w:type="spellEnd"/>
      <w:r w:rsidRPr="000918B8">
        <w:rPr>
          <w:bCs/>
        </w:rPr>
        <w:t>. In </w:t>
      </w:r>
      <w:r w:rsidRPr="000918B8">
        <w:rPr>
          <w:bCs/>
          <w:i/>
          <w:iCs/>
        </w:rPr>
        <w:t>R Data Science Quick Reference</w:t>
      </w:r>
      <w:r w:rsidRPr="000918B8">
        <w:rPr>
          <w:bCs/>
        </w:rPr>
        <w:t xml:space="preserve"> (pp. </w:t>
      </w:r>
      <w:r>
        <w:rPr>
          <w:bCs/>
        </w:rPr>
        <w:tab/>
      </w:r>
      <w:r w:rsidRPr="000918B8">
        <w:rPr>
          <w:bCs/>
        </w:rPr>
        <w:t xml:space="preserve">109-160). </w:t>
      </w:r>
      <w:proofErr w:type="spellStart"/>
      <w:r w:rsidRPr="000918B8">
        <w:rPr>
          <w:bCs/>
        </w:rPr>
        <w:t>Apress</w:t>
      </w:r>
      <w:proofErr w:type="spellEnd"/>
      <w:r w:rsidRPr="000918B8">
        <w:rPr>
          <w:bCs/>
        </w:rPr>
        <w:t>, Berkeley, CA.</w:t>
      </w:r>
    </w:p>
    <w:p w14:paraId="184FC1FA" w14:textId="2186D14C" w:rsidR="00405435" w:rsidRPr="00405435" w:rsidRDefault="00405435" w:rsidP="00405435">
      <w:pPr>
        <w:spacing w:line="480" w:lineRule="auto"/>
        <w:rPr>
          <w:bCs/>
        </w:rPr>
      </w:pPr>
      <w:proofErr w:type="spellStart"/>
      <w:r w:rsidRPr="00405435">
        <w:rPr>
          <w:bCs/>
        </w:rPr>
        <w:lastRenderedPageBreak/>
        <w:t>Olino</w:t>
      </w:r>
      <w:proofErr w:type="spellEnd"/>
      <w:r w:rsidRPr="00405435">
        <w:rPr>
          <w:bCs/>
        </w:rPr>
        <w:t xml:space="preserve">, T. M., </w:t>
      </w:r>
      <w:proofErr w:type="spellStart"/>
      <w:r w:rsidRPr="00405435">
        <w:rPr>
          <w:bCs/>
        </w:rPr>
        <w:t>Finsaas</w:t>
      </w:r>
      <w:proofErr w:type="spellEnd"/>
      <w:r w:rsidRPr="00405435">
        <w:rPr>
          <w:bCs/>
        </w:rPr>
        <w:t xml:space="preserve">, M., Dougherty, L. R., &amp; Klein, D. N. (2018). Is parent–child disagreement </w:t>
      </w:r>
      <w:r>
        <w:rPr>
          <w:bCs/>
        </w:rPr>
        <w:tab/>
      </w:r>
      <w:r w:rsidRPr="00405435">
        <w:rPr>
          <w:bCs/>
        </w:rPr>
        <w:t xml:space="preserve">on child anxiety explained by differences in measurement properties? An examination of </w:t>
      </w:r>
      <w:r>
        <w:rPr>
          <w:bCs/>
        </w:rPr>
        <w:tab/>
      </w:r>
      <w:r w:rsidRPr="00405435">
        <w:rPr>
          <w:bCs/>
        </w:rPr>
        <w:t>measurement invariance across informants and time. </w:t>
      </w:r>
      <w:r w:rsidRPr="00405435">
        <w:rPr>
          <w:bCs/>
          <w:i/>
          <w:iCs/>
        </w:rPr>
        <w:t>Frontiers in Psychology</w:t>
      </w:r>
      <w:r w:rsidRPr="00405435">
        <w:rPr>
          <w:bCs/>
        </w:rPr>
        <w:t>, </w:t>
      </w:r>
      <w:r w:rsidRPr="00405435">
        <w:rPr>
          <w:bCs/>
          <w:i/>
          <w:iCs/>
        </w:rPr>
        <w:t>9</w:t>
      </w:r>
      <w:r w:rsidRPr="00405435">
        <w:rPr>
          <w:bCs/>
        </w:rPr>
        <w:t>, 1295.</w:t>
      </w:r>
    </w:p>
    <w:p w14:paraId="7D997930" w14:textId="77777777" w:rsidR="00405435" w:rsidRDefault="00405435" w:rsidP="00F67BF4">
      <w:pPr>
        <w:spacing w:line="480" w:lineRule="auto"/>
        <w:rPr>
          <w:bCs/>
        </w:rPr>
      </w:pPr>
    </w:p>
    <w:p w14:paraId="50DFB7D2" w14:textId="3BACD1EA" w:rsidR="008A6A8D" w:rsidRDefault="008A6A8D" w:rsidP="00F67BF4">
      <w:pPr>
        <w:spacing w:line="480" w:lineRule="auto"/>
        <w:rPr>
          <w:bCs/>
        </w:rPr>
      </w:pPr>
      <w:r w:rsidRPr="008A6A8D">
        <w:rPr>
          <w:bCs/>
        </w:rPr>
        <w:t xml:space="preserve">Ong, C. W., Lee, E. B., Levin, M. E., &amp; Twohig, M. P. (2019). A review of AAQ variants and </w:t>
      </w:r>
      <w:r>
        <w:rPr>
          <w:bCs/>
        </w:rPr>
        <w:tab/>
      </w:r>
      <w:r w:rsidRPr="008A6A8D">
        <w:rPr>
          <w:bCs/>
        </w:rPr>
        <w:t>other context-specific measures of psychological flexibility. </w:t>
      </w:r>
      <w:r w:rsidRPr="008A6A8D">
        <w:rPr>
          <w:bCs/>
          <w:i/>
          <w:iCs/>
        </w:rPr>
        <w:t xml:space="preserve">Journal of Contextual </w:t>
      </w:r>
      <w:r>
        <w:rPr>
          <w:bCs/>
          <w:i/>
          <w:iCs/>
        </w:rPr>
        <w:tab/>
      </w:r>
      <w:r w:rsidRPr="008A6A8D">
        <w:rPr>
          <w:bCs/>
          <w:i/>
          <w:iCs/>
        </w:rPr>
        <w:t>Behavioral Science</w:t>
      </w:r>
      <w:r w:rsidRPr="008A6A8D">
        <w:rPr>
          <w:bCs/>
        </w:rPr>
        <w:t>, </w:t>
      </w:r>
      <w:r w:rsidRPr="008A6A8D">
        <w:rPr>
          <w:bCs/>
          <w:i/>
          <w:iCs/>
        </w:rPr>
        <w:t>12</w:t>
      </w:r>
      <w:r w:rsidRPr="008A6A8D">
        <w:rPr>
          <w:bCs/>
        </w:rPr>
        <w:t>, 329-346.</w:t>
      </w:r>
    </w:p>
    <w:p w14:paraId="6FFDD48C" w14:textId="6C1FE038" w:rsidR="000B7199" w:rsidRDefault="000B7199" w:rsidP="00F67BF4">
      <w:pPr>
        <w:spacing w:line="480" w:lineRule="auto"/>
        <w:rPr>
          <w:bCs/>
        </w:rPr>
      </w:pPr>
      <w:r w:rsidRPr="000B7199">
        <w:rPr>
          <w:bCs/>
        </w:rPr>
        <w:t xml:space="preserve">Rahman, O., McGuire, J., Storch, E. A., &amp; Lewin, A. B. (2017). Preliminary randomized </w:t>
      </w:r>
      <w:r>
        <w:rPr>
          <w:bCs/>
        </w:rPr>
        <w:tab/>
      </w:r>
      <w:r>
        <w:rPr>
          <w:bCs/>
        </w:rPr>
        <w:tab/>
      </w:r>
      <w:r w:rsidRPr="000B7199">
        <w:rPr>
          <w:bCs/>
        </w:rPr>
        <w:t>controlled trial of habit reversal training for treatment of hair pulling in youth. </w:t>
      </w:r>
      <w:r w:rsidRPr="000B7199">
        <w:rPr>
          <w:bCs/>
          <w:i/>
          <w:iCs/>
        </w:rPr>
        <w:t xml:space="preserve">Journal of </w:t>
      </w:r>
      <w:r>
        <w:rPr>
          <w:bCs/>
          <w:i/>
          <w:iCs/>
        </w:rPr>
        <w:tab/>
        <w:t>C</w:t>
      </w:r>
      <w:r w:rsidRPr="000B7199">
        <w:rPr>
          <w:bCs/>
          <w:i/>
          <w:iCs/>
        </w:rPr>
        <w:t xml:space="preserve">hild and </w:t>
      </w:r>
      <w:r>
        <w:rPr>
          <w:bCs/>
          <w:i/>
          <w:iCs/>
        </w:rPr>
        <w:t>A</w:t>
      </w:r>
      <w:r w:rsidRPr="000B7199">
        <w:rPr>
          <w:bCs/>
          <w:i/>
          <w:iCs/>
        </w:rPr>
        <w:t xml:space="preserve">dolescent </w:t>
      </w:r>
      <w:r>
        <w:rPr>
          <w:bCs/>
          <w:i/>
          <w:iCs/>
        </w:rPr>
        <w:t>P</w:t>
      </w:r>
      <w:r w:rsidRPr="000B7199">
        <w:rPr>
          <w:bCs/>
          <w:i/>
          <w:iCs/>
        </w:rPr>
        <w:t>sychopharmacology</w:t>
      </w:r>
      <w:r w:rsidRPr="000B7199">
        <w:rPr>
          <w:bCs/>
        </w:rPr>
        <w:t>, </w:t>
      </w:r>
      <w:r w:rsidRPr="000B7199">
        <w:rPr>
          <w:bCs/>
          <w:i/>
          <w:iCs/>
        </w:rPr>
        <w:t>27</w:t>
      </w:r>
      <w:r w:rsidRPr="000B7199">
        <w:rPr>
          <w:bCs/>
        </w:rPr>
        <w:t>(2), 132-139.</w:t>
      </w:r>
    </w:p>
    <w:p w14:paraId="1DE9B2CA" w14:textId="388FBFAF" w:rsidR="009650E0" w:rsidRDefault="009650E0" w:rsidP="00F67BF4">
      <w:pPr>
        <w:spacing w:line="480" w:lineRule="auto"/>
        <w:rPr>
          <w:bCs/>
        </w:rPr>
      </w:pPr>
      <w:r w:rsidRPr="009650E0">
        <w:rPr>
          <w:bCs/>
        </w:rPr>
        <w:t xml:space="preserve">Ricard, R. J., Lerma, E., &amp; Heard, C. C. (2013). Piloting a dialectical behavioral therapy (DBT) </w:t>
      </w:r>
      <w:r>
        <w:rPr>
          <w:bCs/>
        </w:rPr>
        <w:tab/>
      </w:r>
      <w:r w:rsidRPr="009650E0">
        <w:rPr>
          <w:bCs/>
        </w:rPr>
        <w:t>infused skills group in a disciplinary alternative education program (DAEP). </w:t>
      </w:r>
      <w:r w:rsidRPr="009650E0">
        <w:rPr>
          <w:bCs/>
          <w:i/>
          <w:iCs/>
        </w:rPr>
        <w:t xml:space="preserve">The Journal </w:t>
      </w:r>
      <w:r>
        <w:rPr>
          <w:bCs/>
          <w:i/>
          <w:iCs/>
        </w:rPr>
        <w:tab/>
      </w:r>
      <w:r w:rsidRPr="009650E0">
        <w:rPr>
          <w:bCs/>
          <w:i/>
          <w:iCs/>
        </w:rPr>
        <w:t>for Specialists in Group Work</w:t>
      </w:r>
      <w:r w:rsidRPr="009650E0">
        <w:rPr>
          <w:bCs/>
        </w:rPr>
        <w:t>, </w:t>
      </w:r>
      <w:r w:rsidRPr="009650E0">
        <w:rPr>
          <w:bCs/>
          <w:i/>
          <w:iCs/>
        </w:rPr>
        <w:t>38</w:t>
      </w:r>
      <w:r w:rsidRPr="009650E0">
        <w:rPr>
          <w:bCs/>
        </w:rPr>
        <w:t>(4), 285-306.</w:t>
      </w:r>
    </w:p>
    <w:p w14:paraId="09FB200D" w14:textId="55063AA8" w:rsidR="0051697B" w:rsidRDefault="0051697B" w:rsidP="00F67BF4">
      <w:pPr>
        <w:spacing w:line="480" w:lineRule="auto"/>
        <w:rPr>
          <w:bCs/>
        </w:rPr>
      </w:pPr>
      <w:r w:rsidRPr="0051697B">
        <w:rPr>
          <w:bCs/>
        </w:rPr>
        <w:t xml:space="preserve">Ridge, N. W., Warren, J. S., Burlingame, G. M., Wells, M. G., &amp; </w:t>
      </w:r>
      <w:proofErr w:type="spellStart"/>
      <w:r w:rsidRPr="0051697B">
        <w:rPr>
          <w:bCs/>
        </w:rPr>
        <w:t>Tumblin</w:t>
      </w:r>
      <w:proofErr w:type="spellEnd"/>
      <w:r w:rsidRPr="0051697B">
        <w:rPr>
          <w:bCs/>
        </w:rPr>
        <w:t xml:space="preserve">, K. M. (2009). </w:t>
      </w:r>
      <w:r>
        <w:rPr>
          <w:bCs/>
        </w:rPr>
        <w:tab/>
      </w:r>
      <w:r w:rsidRPr="0051697B">
        <w:rPr>
          <w:bCs/>
        </w:rPr>
        <w:t>Reliability and validity of the youth outcome questionnaire self‐report. </w:t>
      </w:r>
      <w:r w:rsidRPr="0051697B">
        <w:rPr>
          <w:bCs/>
          <w:i/>
          <w:iCs/>
        </w:rPr>
        <w:t xml:space="preserve">Journal of </w:t>
      </w:r>
      <w:r>
        <w:rPr>
          <w:bCs/>
          <w:i/>
          <w:iCs/>
        </w:rPr>
        <w:tab/>
      </w:r>
      <w:r w:rsidRPr="0051697B">
        <w:rPr>
          <w:bCs/>
          <w:i/>
          <w:iCs/>
        </w:rPr>
        <w:t>Clinical Psychology</w:t>
      </w:r>
      <w:r w:rsidRPr="0051697B">
        <w:rPr>
          <w:bCs/>
        </w:rPr>
        <w:t>, </w:t>
      </w:r>
      <w:r w:rsidRPr="0051697B">
        <w:rPr>
          <w:bCs/>
          <w:i/>
          <w:iCs/>
        </w:rPr>
        <w:t>65</w:t>
      </w:r>
      <w:r w:rsidRPr="0051697B">
        <w:rPr>
          <w:bCs/>
        </w:rPr>
        <w:t>(10), 1115-1126.</w:t>
      </w:r>
    </w:p>
    <w:p w14:paraId="6B05241B" w14:textId="4C9B7EBB" w:rsidR="009A325D" w:rsidRDefault="009A325D" w:rsidP="00F67BF4">
      <w:pPr>
        <w:spacing w:line="480" w:lineRule="auto"/>
        <w:rPr>
          <w:bCs/>
        </w:rPr>
      </w:pPr>
      <w:r w:rsidRPr="009A325D">
        <w:rPr>
          <w:bCs/>
        </w:rPr>
        <w:t xml:space="preserve">Russell, K. C., &amp; Gillis, H. L. L. (2018). An </w:t>
      </w:r>
      <w:r>
        <w:rPr>
          <w:bCs/>
        </w:rPr>
        <w:t>e</w:t>
      </w:r>
      <w:r w:rsidRPr="009A325D">
        <w:rPr>
          <w:bCs/>
        </w:rPr>
        <w:t xml:space="preserve">valuation of Alaska Crossings: Comparison of the </w:t>
      </w:r>
      <w:r>
        <w:rPr>
          <w:bCs/>
        </w:rPr>
        <w:tab/>
        <w:t>c</w:t>
      </w:r>
      <w:r w:rsidRPr="009A325D">
        <w:rPr>
          <w:bCs/>
        </w:rPr>
        <w:t xml:space="preserve">lient </w:t>
      </w:r>
      <w:r>
        <w:rPr>
          <w:bCs/>
        </w:rPr>
        <w:t>s</w:t>
      </w:r>
      <w:r w:rsidRPr="009A325D">
        <w:rPr>
          <w:bCs/>
        </w:rPr>
        <w:t xml:space="preserve">tatus </w:t>
      </w:r>
      <w:r>
        <w:rPr>
          <w:bCs/>
        </w:rPr>
        <w:t>r</w:t>
      </w:r>
      <w:r w:rsidRPr="009A325D">
        <w:rPr>
          <w:bCs/>
        </w:rPr>
        <w:t xml:space="preserve">eview and the </w:t>
      </w:r>
      <w:r>
        <w:rPr>
          <w:bCs/>
        </w:rPr>
        <w:t>y</w:t>
      </w:r>
      <w:r w:rsidRPr="009A325D">
        <w:rPr>
          <w:bCs/>
        </w:rPr>
        <w:t xml:space="preserve">outh </w:t>
      </w:r>
      <w:r>
        <w:rPr>
          <w:bCs/>
        </w:rPr>
        <w:t>o</w:t>
      </w:r>
      <w:r w:rsidRPr="009A325D">
        <w:rPr>
          <w:bCs/>
        </w:rPr>
        <w:t xml:space="preserve">utcome </w:t>
      </w:r>
      <w:r>
        <w:rPr>
          <w:bCs/>
        </w:rPr>
        <w:t>q</w:t>
      </w:r>
      <w:r w:rsidRPr="009A325D">
        <w:rPr>
          <w:bCs/>
        </w:rPr>
        <w:t xml:space="preserve">uestionnaire. </w:t>
      </w:r>
      <w:r w:rsidRPr="009A325D">
        <w:rPr>
          <w:bCs/>
          <w:i/>
          <w:iCs/>
        </w:rPr>
        <w:t>J</w:t>
      </w:r>
      <w:r>
        <w:rPr>
          <w:bCs/>
          <w:i/>
          <w:iCs/>
        </w:rPr>
        <w:t xml:space="preserve">ournal of Therapeutic </w:t>
      </w:r>
      <w:r>
        <w:rPr>
          <w:bCs/>
          <w:i/>
          <w:iCs/>
        </w:rPr>
        <w:tab/>
        <w:t>Schools and Programs</w:t>
      </w:r>
      <w:r w:rsidRPr="009A325D">
        <w:rPr>
          <w:bCs/>
        </w:rPr>
        <w:t>, 127.</w:t>
      </w:r>
    </w:p>
    <w:p w14:paraId="0459A9BF" w14:textId="58960E5F" w:rsidR="001E2ACA" w:rsidRDefault="001E2ACA" w:rsidP="00F67BF4">
      <w:pPr>
        <w:spacing w:line="480" w:lineRule="auto"/>
        <w:rPr>
          <w:bCs/>
        </w:rPr>
      </w:pPr>
      <w:proofErr w:type="spellStart"/>
      <w:r w:rsidRPr="001E2ACA">
        <w:rPr>
          <w:bCs/>
        </w:rPr>
        <w:t>Tolin</w:t>
      </w:r>
      <w:proofErr w:type="spellEnd"/>
      <w:r w:rsidRPr="001E2ACA">
        <w:rPr>
          <w:bCs/>
        </w:rPr>
        <w:t xml:space="preserve">, D. F., </w:t>
      </w:r>
      <w:proofErr w:type="spellStart"/>
      <w:r w:rsidRPr="001E2ACA">
        <w:rPr>
          <w:bCs/>
        </w:rPr>
        <w:t>Diefenbach</w:t>
      </w:r>
      <w:proofErr w:type="spellEnd"/>
      <w:r w:rsidRPr="001E2ACA">
        <w:rPr>
          <w:bCs/>
        </w:rPr>
        <w:t xml:space="preserve">, G. J., Flessner, C. A., Franklin, M. E., </w:t>
      </w:r>
      <w:proofErr w:type="spellStart"/>
      <w:r w:rsidRPr="001E2ACA">
        <w:rPr>
          <w:bCs/>
        </w:rPr>
        <w:t>Keuthen</w:t>
      </w:r>
      <w:proofErr w:type="spellEnd"/>
      <w:r w:rsidRPr="001E2ACA">
        <w:rPr>
          <w:bCs/>
        </w:rPr>
        <w:t xml:space="preserve">, N. J., Moore, P., </w:t>
      </w:r>
      <w:r w:rsidR="00F261CB">
        <w:rPr>
          <w:bCs/>
        </w:rPr>
        <w:tab/>
      </w:r>
      <w:proofErr w:type="spellStart"/>
      <w:r>
        <w:rPr>
          <w:bCs/>
        </w:rPr>
        <w:t>Piacentini</w:t>
      </w:r>
      <w:proofErr w:type="spellEnd"/>
      <w:r>
        <w:rPr>
          <w:bCs/>
        </w:rPr>
        <w:t>, J., Stein, D.J.,</w:t>
      </w:r>
      <w:r w:rsidRPr="001E2ACA">
        <w:rPr>
          <w:bCs/>
        </w:rPr>
        <w:t xml:space="preserve"> &amp; Woods, D. W. (2008). The trichotillomania scale for </w:t>
      </w:r>
      <w:r w:rsidR="00F261CB">
        <w:rPr>
          <w:bCs/>
        </w:rPr>
        <w:tab/>
      </w:r>
      <w:r w:rsidRPr="001E2ACA">
        <w:rPr>
          <w:bCs/>
        </w:rPr>
        <w:t xml:space="preserve">children: </w:t>
      </w:r>
      <w:r>
        <w:rPr>
          <w:bCs/>
        </w:rPr>
        <w:t>D</w:t>
      </w:r>
      <w:r w:rsidRPr="001E2ACA">
        <w:rPr>
          <w:bCs/>
        </w:rPr>
        <w:t>evelopment and validation. </w:t>
      </w:r>
      <w:r w:rsidRPr="001E2ACA">
        <w:rPr>
          <w:bCs/>
          <w:i/>
          <w:iCs/>
        </w:rPr>
        <w:t>Child Psychiatry and Human Development</w:t>
      </w:r>
      <w:r w:rsidRPr="001E2ACA">
        <w:rPr>
          <w:bCs/>
        </w:rPr>
        <w:t>, </w:t>
      </w:r>
      <w:r w:rsidRPr="001E2ACA">
        <w:rPr>
          <w:bCs/>
          <w:i/>
          <w:iCs/>
        </w:rPr>
        <w:t>39</w:t>
      </w:r>
      <w:r w:rsidRPr="001E2ACA">
        <w:rPr>
          <w:bCs/>
        </w:rPr>
        <w:t xml:space="preserve">(3), </w:t>
      </w:r>
      <w:r w:rsidR="00F261CB">
        <w:rPr>
          <w:bCs/>
        </w:rPr>
        <w:tab/>
      </w:r>
      <w:r w:rsidRPr="001E2ACA">
        <w:rPr>
          <w:bCs/>
        </w:rPr>
        <w:t>331-349.</w:t>
      </w:r>
    </w:p>
    <w:p w14:paraId="04FCFE3E" w14:textId="2DCABB1E" w:rsidR="000729E6" w:rsidRPr="00C82FB7" w:rsidRDefault="000729E6" w:rsidP="00F67BF4">
      <w:pPr>
        <w:spacing w:line="480" w:lineRule="auto"/>
        <w:rPr>
          <w:bCs/>
        </w:rPr>
      </w:pPr>
      <w:proofErr w:type="spellStart"/>
      <w:r w:rsidRPr="000729E6">
        <w:rPr>
          <w:bCs/>
        </w:rPr>
        <w:lastRenderedPageBreak/>
        <w:t>Tolin</w:t>
      </w:r>
      <w:proofErr w:type="spellEnd"/>
      <w:r w:rsidRPr="000729E6">
        <w:rPr>
          <w:bCs/>
        </w:rPr>
        <w:t xml:space="preserve">, D. F., Franklin, M. E., </w:t>
      </w:r>
      <w:proofErr w:type="spellStart"/>
      <w:r w:rsidRPr="000729E6">
        <w:rPr>
          <w:bCs/>
        </w:rPr>
        <w:t>Diefenbach</w:t>
      </w:r>
      <w:proofErr w:type="spellEnd"/>
      <w:r w:rsidRPr="000729E6">
        <w:rPr>
          <w:bCs/>
        </w:rPr>
        <w:t xml:space="preserve">, G. J., Anderson, E., &amp; Meunier, S. A. (2007). Pediatric </w:t>
      </w:r>
      <w:r>
        <w:rPr>
          <w:bCs/>
        </w:rPr>
        <w:tab/>
      </w:r>
      <w:r w:rsidRPr="000729E6">
        <w:rPr>
          <w:bCs/>
        </w:rPr>
        <w:t xml:space="preserve">trichotillomania: </w:t>
      </w:r>
      <w:r>
        <w:rPr>
          <w:bCs/>
        </w:rPr>
        <w:t>D</w:t>
      </w:r>
      <w:r w:rsidRPr="000729E6">
        <w:rPr>
          <w:bCs/>
        </w:rPr>
        <w:t xml:space="preserve">escriptive psychopathology and an open trial of cognitive behavioral </w:t>
      </w:r>
      <w:r>
        <w:rPr>
          <w:bCs/>
        </w:rPr>
        <w:tab/>
      </w:r>
      <w:r w:rsidRPr="000729E6">
        <w:rPr>
          <w:bCs/>
        </w:rPr>
        <w:t>therapy. </w:t>
      </w:r>
      <w:r w:rsidRPr="000729E6">
        <w:rPr>
          <w:bCs/>
          <w:i/>
          <w:iCs/>
        </w:rPr>
        <w:t xml:space="preserve">Cognitive </w:t>
      </w:r>
      <w:proofErr w:type="spellStart"/>
      <w:r>
        <w:rPr>
          <w:bCs/>
          <w:i/>
          <w:iCs/>
        </w:rPr>
        <w:t>B</w:t>
      </w:r>
      <w:r w:rsidRPr="000729E6">
        <w:rPr>
          <w:bCs/>
          <w:i/>
          <w:iCs/>
        </w:rPr>
        <w:t>ehaviour</w:t>
      </w:r>
      <w:proofErr w:type="spellEnd"/>
      <w:r w:rsidRPr="000729E6">
        <w:rPr>
          <w:bCs/>
          <w:i/>
          <w:iCs/>
        </w:rPr>
        <w:t xml:space="preserve"> </w:t>
      </w:r>
      <w:r>
        <w:rPr>
          <w:bCs/>
          <w:i/>
          <w:iCs/>
        </w:rPr>
        <w:t>T</w:t>
      </w:r>
      <w:r w:rsidRPr="000729E6">
        <w:rPr>
          <w:bCs/>
          <w:i/>
          <w:iCs/>
        </w:rPr>
        <w:t>herapy</w:t>
      </w:r>
      <w:r w:rsidRPr="000729E6">
        <w:rPr>
          <w:bCs/>
        </w:rPr>
        <w:t>, </w:t>
      </w:r>
      <w:r w:rsidRPr="000729E6">
        <w:rPr>
          <w:bCs/>
          <w:i/>
          <w:iCs/>
        </w:rPr>
        <w:t>36</w:t>
      </w:r>
      <w:r w:rsidRPr="000729E6">
        <w:rPr>
          <w:bCs/>
        </w:rPr>
        <w:t>(3), 129-144.</w:t>
      </w:r>
    </w:p>
    <w:p w14:paraId="29ECFE73" w14:textId="6B25B570" w:rsidR="00040343" w:rsidRDefault="00ED13F4" w:rsidP="00F67BF4">
      <w:pPr>
        <w:spacing w:line="480" w:lineRule="auto"/>
        <w:rPr>
          <w:bCs/>
        </w:rPr>
      </w:pPr>
      <w:r w:rsidRPr="00ED13F4">
        <w:rPr>
          <w:bCs/>
        </w:rPr>
        <w:t xml:space="preserve">Twohig, M. P., &amp; Woods, D. W. (2004). A preliminary investigation of acceptance and </w:t>
      </w:r>
      <w:r w:rsidR="00F67BF4">
        <w:rPr>
          <w:bCs/>
        </w:rPr>
        <w:tab/>
      </w:r>
      <w:r w:rsidRPr="00ED13F4">
        <w:rPr>
          <w:bCs/>
        </w:rPr>
        <w:t>commitment therapy and habit reversal as a treatment for trichotillomania. </w:t>
      </w:r>
      <w:r w:rsidRPr="00ED13F4">
        <w:rPr>
          <w:bCs/>
          <w:i/>
          <w:iCs/>
        </w:rPr>
        <w:t xml:space="preserve">Behavior </w:t>
      </w:r>
      <w:r w:rsidR="00F67BF4">
        <w:rPr>
          <w:bCs/>
          <w:i/>
          <w:iCs/>
        </w:rPr>
        <w:tab/>
      </w:r>
      <w:r w:rsidRPr="00ED13F4">
        <w:rPr>
          <w:bCs/>
          <w:i/>
          <w:iCs/>
        </w:rPr>
        <w:t>Therapy</w:t>
      </w:r>
      <w:r w:rsidRPr="00ED13F4">
        <w:rPr>
          <w:bCs/>
        </w:rPr>
        <w:t>, </w:t>
      </w:r>
      <w:r w:rsidRPr="00ED13F4">
        <w:rPr>
          <w:bCs/>
          <w:i/>
          <w:iCs/>
        </w:rPr>
        <w:t>35</w:t>
      </w:r>
      <w:r w:rsidRPr="00ED13F4">
        <w:rPr>
          <w:bCs/>
        </w:rPr>
        <w:t>(4), 803-820.</w:t>
      </w:r>
    </w:p>
    <w:p w14:paraId="20AE6B19" w14:textId="32D76934" w:rsidR="00ED123D" w:rsidRDefault="00ED123D" w:rsidP="00F67BF4">
      <w:pPr>
        <w:spacing w:line="480" w:lineRule="auto"/>
        <w:rPr>
          <w:bCs/>
        </w:rPr>
      </w:pPr>
      <w:r w:rsidRPr="00ED123D">
        <w:rPr>
          <w:bCs/>
        </w:rPr>
        <w:t xml:space="preserve">Walther, M. R., Snorrason, I., Flessner, C. A., Franklin, M. E., </w:t>
      </w:r>
      <w:proofErr w:type="spellStart"/>
      <w:r w:rsidRPr="00ED123D">
        <w:rPr>
          <w:bCs/>
        </w:rPr>
        <w:t>Burkel</w:t>
      </w:r>
      <w:proofErr w:type="spellEnd"/>
      <w:r w:rsidRPr="00ED123D">
        <w:rPr>
          <w:bCs/>
        </w:rPr>
        <w:t xml:space="preserve">, R., &amp; Woods, D. W. </w:t>
      </w:r>
      <w:r>
        <w:rPr>
          <w:bCs/>
        </w:rPr>
        <w:tab/>
      </w:r>
      <w:r w:rsidRPr="00ED123D">
        <w:rPr>
          <w:bCs/>
        </w:rPr>
        <w:t xml:space="preserve">(2014). The trichotillomania impact project in young children (TIP-YC): </w:t>
      </w:r>
      <w:r>
        <w:rPr>
          <w:bCs/>
        </w:rPr>
        <w:t>Cl</w:t>
      </w:r>
      <w:r w:rsidRPr="00ED123D">
        <w:rPr>
          <w:bCs/>
        </w:rPr>
        <w:t xml:space="preserve">inical </w:t>
      </w:r>
      <w:r>
        <w:rPr>
          <w:bCs/>
        </w:rPr>
        <w:tab/>
      </w:r>
      <w:r w:rsidRPr="00ED123D">
        <w:rPr>
          <w:bCs/>
        </w:rPr>
        <w:t xml:space="preserve">characteristics, comorbidity, functional </w:t>
      </w:r>
      <w:proofErr w:type="gramStart"/>
      <w:r w:rsidRPr="00ED123D">
        <w:rPr>
          <w:bCs/>
        </w:rPr>
        <w:t>impairment</w:t>
      </w:r>
      <w:proofErr w:type="gramEnd"/>
      <w:r w:rsidRPr="00ED123D">
        <w:rPr>
          <w:bCs/>
        </w:rPr>
        <w:t xml:space="preserve"> and treatment utilization. </w:t>
      </w:r>
      <w:r w:rsidRPr="00ED123D">
        <w:rPr>
          <w:bCs/>
          <w:i/>
          <w:iCs/>
        </w:rPr>
        <w:t xml:space="preserve">Child </w:t>
      </w:r>
      <w:r>
        <w:rPr>
          <w:bCs/>
          <w:i/>
          <w:iCs/>
        </w:rPr>
        <w:tab/>
      </w:r>
      <w:r w:rsidRPr="00ED123D">
        <w:rPr>
          <w:bCs/>
          <w:i/>
          <w:iCs/>
        </w:rPr>
        <w:t>Psychiatry &amp; Human Development</w:t>
      </w:r>
      <w:r w:rsidRPr="00ED123D">
        <w:rPr>
          <w:bCs/>
        </w:rPr>
        <w:t>, </w:t>
      </w:r>
      <w:r w:rsidRPr="00ED123D">
        <w:rPr>
          <w:bCs/>
          <w:i/>
          <w:iCs/>
        </w:rPr>
        <w:t>45</w:t>
      </w:r>
      <w:r w:rsidRPr="00ED123D">
        <w:rPr>
          <w:bCs/>
        </w:rPr>
        <w:t>(1), 24-31.</w:t>
      </w:r>
    </w:p>
    <w:p w14:paraId="03EA4571" w14:textId="77777777" w:rsidR="008606E5" w:rsidRDefault="008606E5" w:rsidP="00F67BF4">
      <w:pPr>
        <w:spacing w:line="480" w:lineRule="auto"/>
        <w:rPr>
          <w:bCs/>
        </w:rPr>
      </w:pPr>
      <w:r w:rsidRPr="008606E5">
        <w:rPr>
          <w:bCs/>
        </w:rPr>
        <w:t>Wickham, H. (2011). ggplot2. </w:t>
      </w:r>
      <w:r w:rsidRPr="008606E5">
        <w:rPr>
          <w:bCs/>
          <w:i/>
          <w:iCs/>
        </w:rPr>
        <w:t>Wiley Interdisciplinary Reviews: Computational Statistics</w:t>
      </w:r>
      <w:r w:rsidRPr="008606E5">
        <w:rPr>
          <w:bCs/>
        </w:rPr>
        <w:t>, </w:t>
      </w:r>
      <w:r w:rsidRPr="008606E5">
        <w:rPr>
          <w:bCs/>
          <w:i/>
          <w:iCs/>
        </w:rPr>
        <w:t>3</w:t>
      </w:r>
      <w:r w:rsidRPr="008606E5">
        <w:rPr>
          <w:bCs/>
        </w:rPr>
        <w:t xml:space="preserve">(2), </w:t>
      </w:r>
      <w:r>
        <w:rPr>
          <w:bCs/>
        </w:rPr>
        <w:tab/>
      </w:r>
      <w:r w:rsidRPr="008606E5">
        <w:rPr>
          <w:bCs/>
        </w:rPr>
        <w:t>180-185.</w:t>
      </w:r>
    </w:p>
    <w:p w14:paraId="4D76B45A" w14:textId="77777777" w:rsidR="00285667" w:rsidRDefault="00285667" w:rsidP="00F67BF4">
      <w:pPr>
        <w:spacing w:line="480" w:lineRule="auto"/>
        <w:rPr>
          <w:bCs/>
        </w:rPr>
      </w:pPr>
      <w:r w:rsidRPr="00285667">
        <w:rPr>
          <w:bCs/>
        </w:rPr>
        <w:t xml:space="preserve">Wickham, H., </w:t>
      </w:r>
      <w:proofErr w:type="spellStart"/>
      <w:r w:rsidRPr="00285667">
        <w:rPr>
          <w:bCs/>
        </w:rPr>
        <w:t>Averick</w:t>
      </w:r>
      <w:proofErr w:type="spellEnd"/>
      <w:r w:rsidRPr="00285667">
        <w:rPr>
          <w:bCs/>
        </w:rPr>
        <w:t xml:space="preserve">, M., Bryan, J., Chang, W., McGowan, L. D. A., François, R., ... &amp; </w:t>
      </w:r>
      <w:proofErr w:type="spellStart"/>
      <w:r w:rsidRPr="00285667">
        <w:rPr>
          <w:bCs/>
        </w:rPr>
        <w:t>Yutani</w:t>
      </w:r>
      <w:proofErr w:type="spellEnd"/>
      <w:r w:rsidRPr="00285667">
        <w:rPr>
          <w:bCs/>
        </w:rPr>
        <w:t xml:space="preserve">, </w:t>
      </w:r>
      <w:r>
        <w:rPr>
          <w:bCs/>
        </w:rPr>
        <w:tab/>
      </w:r>
      <w:r w:rsidRPr="00285667">
        <w:rPr>
          <w:bCs/>
        </w:rPr>
        <w:t xml:space="preserve">H. (2019). Welcome to the </w:t>
      </w:r>
      <w:proofErr w:type="spellStart"/>
      <w:r w:rsidRPr="00285667">
        <w:rPr>
          <w:bCs/>
        </w:rPr>
        <w:t>Tidyverse</w:t>
      </w:r>
      <w:proofErr w:type="spellEnd"/>
      <w:r w:rsidRPr="00285667">
        <w:rPr>
          <w:bCs/>
        </w:rPr>
        <w:t>. </w:t>
      </w:r>
      <w:r w:rsidRPr="00285667">
        <w:rPr>
          <w:bCs/>
          <w:i/>
          <w:iCs/>
        </w:rPr>
        <w:t xml:space="preserve">Journal of </w:t>
      </w:r>
      <w:proofErr w:type="gramStart"/>
      <w:r w:rsidR="00A90A3C">
        <w:rPr>
          <w:bCs/>
          <w:i/>
          <w:iCs/>
        </w:rPr>
        <w:t>O</w:t>
      </w:r>
      <w:r w:rsidRPr="00285667">
        <w:rPr>
          <w:bCs/>
          <w:i/>
          <w:iCs/>
        </w:rPr>
        <w:t xml:space="preserve">pen </w:t>
      </w:r>
      <w:r w:rsidR="00A90A3C">
        <w:rPr>
          <w:bCs/>
          <w:i/>
          <w:iCs/>
        </w:rPr>
        <w:t>S</w:t>
      </w:r>
      <w:r w:rsidRPr="00285667">
        <w:rPr>
          <w:bCs/>
          <w:i/>
          <w:iCs/>
        </w:rPr>
        <w:t>ource</w:t>
      </w:r>
      <w:proofErr w:type="gramEnd"/>
      <w:r w:rsidRPr="00285667">
        <w:rPr>
          <w:bCs/>
          <w:i/>
          <w:iCs/>
        </w:rPr>
        <w:t xml:space="preserve"> </w:t>
      </w:r>
      <w:r w:rsidR="00A90A3C">
        <w:rPr>
          <w:bCs/>
          <w:i/>
          <w:iCs/>
        </w:rPr>
        <w:t>S</w:t>
      </w:r>
      <w:r w:rsidRPr="00285667">
        <w:rPr>
          <w:bCs/>
          <w:i/>
          <w:iCs/>
        </w:rPr>
        <w:t>oftware</w:t>
      </w:r>
      <w:r w:rsidRPr="00285667">
        <w:rPr>
          <w:bCs/>
        </w:rPr>
        <w:t>, </w:t>
      </w:r>
      <w:r w:rsidRPr="00285667">
        <w:rPr>
          <w:bCs/>
          <w:i/>
          <w:iCs/>
        </w:rPr>
        <w:t>4</w:t>
      </w:r>
      <w:r w:rsidRPr="00285667">
        <w:rPr>
          <w:bCs/>
        </w:rPr>
        <w:t>(43), 1686.</w:t>
      </w:r>
    </w:p>
    <w:p w14:paraId="5DF1B24A" w14:textId="77777777" w:rsidR="00870A79" w:rsidRDefault="00870A79" w:rsidP="00F67BF4">
      <w:pPr>
        <w:spacing w:line="480" w:lineRule="auto"/>
        <w:rPr>
          <w:bCs/>
        </w:rPr>
      </w:pPr>
      <w:r w:rsidRPr="00870A79">
        <w:rPr>
          <w:bCs/>
        </w:rPr>
        <w:t>Wickham, H., &amp; Wickham, M. H. (2019). Package ‘</w:t>
      </w:r>
      <w:proofErr w:type="spellStart"/>
      <w:r w:rsidRPr="00870A79">
        <w:rPr>
          <w:bCs/>
        </w:rPr>
        <w:t>stringr</w:t>
      </w:r>
      <w:proofErr w:type="spellEnd"/>
      <w:r w:rsidRPr="00870A79">
        <w:rPr>
          <w:bCs/>
        </w:rPr>
        <w:t>’.</w:t>
      </w:r>
    </w:p>
    <w:p w14:paraId="1C51B9AB" w14:textId="77777777" w:rsidR="00217D54" w:rsidRPr="00C82FB7" w:rsidRDefault="00217D54" w:rsidP="00F67BF4">
      <w:pPr>
        <w:spacing w:line="480" w:lineRule="auto"/>
        <w:rPr>
          <w:bCs/>
        </w:rPr>
      </w:pPr>
      <w:r w:rsidRPr="00217D54">
        <w:rPr>
          <w:bCs/>
        </w:rPr>
        <w:t>Wilke, C. O., Wickham, H., &amp; Wilke, M. C. O. (2019). Package ‘</w:t>
      </w:r>
      <w:proofErr w:type="spellStart"/>
      <w:r w:rsidRPr="00217D54">
        <w:rPr>
          <w:bCs/>
        </w:rPr>
        <w:t>cowplot</w:t>
      </w:r>
      <w:proofErr w:type="spellEnd"/>
      <w:r w:rsidRPr="00217D54">
        <w:rPr>
          <w:bCs/>
        </w:rPr>
        <w:t>’. </w:t>
      </w:r>
      <w:r w:rsidRPr="00217D54">
        <w:rPr>
          <w:bCs/>
          <w:i/>
          <w:iCs/>
        </w:rPr>
        <w:t xml:space="preserve">Streamlined Plot </w:t>
      </w:r>
      <w:r>
        <w:rPr>
          <w:bCs/>
          <w:i/>
          <w:iCs/>
        </w:rPr>
        <w:tab/>
      </w:r>
      <w:r w:rsidRPr="00217D54">
        <w:rPr>
          <w:bCs/>
          <w:i/>
          <w:iCs/>
        </w:rPr>
        <w:t>Theme and Plot Annotations for ‘ggplot2</w:t>
      </w:r>
      <w:r w:rsidRPr="00217D54">
        <w:rPr>
          <w:bCs/>
        </w:rPr>
        <w:t>.</w:t>
      </w:r>
    </w:p>
    <w:p w14:paraId="064CA779" w14:textId="77777777" w:rsidR="00E738A1" w:rsidRPr="00E738A1" w:rsidRDefault="00E738A1" w:rsidP="00E738A1">
      <w:pPr>
        <w:spacing w:line="480" w:lineRule="auto"/>
        <w:rPr>
          <w:bCs/>
        </w:rPr>
      </w:pPr>
      <w:r w:rsidRPr="00E738A1">
        <w:rPr>
          <w:bCs/>
        </w:rPr>
        <w:t xml:space="preserve">Woods, D. W., Flessner, C. A., Franklin, M. E., </w:t>
      </w:r>
      <w:proofErr w:type="spellStart"/>
      <w:r w:rsidRPr="00E738A1">
        <w:rPr>
          <w:bCs/>
        </w:rPr>
        <w:t>Keuthen</w:t>
      </w:r>
      <w:proofErr w:type="spellEnd"/>
      <w:r w:rsidRPr="00E738A1">
        <w:rPr>
          <w:bCs/>
        </w:rPr>
        <w:t xml:space="preserve">, N. J., Goodwin, R. D., Stein, D. J., &amp; </w:t>
      </w:r>
      <w:r>
        <w:rPr>
          <w:bCs/>
        </w:rPr>
        <w:tab/>
      </w:r>
      <w:r w:rsidRPr="00E738A1">
        <w:rPr>
          <w:bCs/>
        </w:rPr>
        <w:t xml:space="preserve">Walther, M. R. (2006). The Trichotillomania Impact Project (TIP): exploring </w:t>
      </w:r>
      <w:r>
        <w:rPr>
          <w:bCs/>
        </w:rPr>
        <w:tab/>
      </w:r>
      <w:r w:rsidRPr="00E738A1">
        <w:rPr>
          <w:bCs/>
        </w:rPr>
        <w:t>phenomenology, functional impairment, and treatment utilization. </w:t>
      </w:r>
      <w:r w:rsidRPr="00E738A1">
        <w:rPr>
          <w:bCs/>
          <w:i/>
          <w:iCs/>
        </w:rPr>
        <w:t xml:space="preserve">Journal of Clinical </w:t>
      </w:r>
      <w:r>
        <w:rPr>
          <w:bCs/>
          <w:i/>
          <w:iCs/>
        </w:rPr>
        <w:tab/>
      </w:r>
      <w:r w:rsidRPr="00E738A1">
        <w:rPr>
          <w:bCs/>
          <w:i/>
          <w:iCs/>
        </w:rPr>
        <w:t>Psychiatry</w:t>
      </w:r>
      <w:r w:rsidRPr="00E738A1">
        <w:rPr>
          <w:bCs/>
        </w:rPr>
        <w:t>, </w:t>
      </w:r>
      <w:r w:rsidRPr="00E738A1">
        <w:rPr>
          <w:bCs/>
          <w:i/>
          <w:iCs/>
        </w:rPr>
        <w:t>67</w:t>
      </w:r>
      <w:r w:rsidRPr="00E738A1">
        <w:rPr>
          <w:bCs/>
        </w:rPr>
        <w:t>(12), 1877.</w:t>
      </w:r>
    </w:p>
    <w:p w14:paraId="45C171F9" w14:textId="77777777" w:rsidR="00ED13F4" w:rsidRDefault="00ED13F4" w:rsidP="00872B22">
      <w:pPr>
        <w:spacing w:line="480" w:lineRule="auto"/>
        <w:rPr>
          <w:bCs/>
        </w:rPr>
      </w:pPr>
      <w:r w:rsidRPr="00ED13F4">
        <w:rPr>
          <w:bCs/>
        </w:rPr>
        <w:lastRenderedPageBreak/>
        <w:t xml:space="preserve">Woods, D. W., </w:t>
      </w:r>
      <w:proofErr w:type="spellStart"/>
      <w:r w:rsidRPr="00ED13F4">
        <w:rPr>
          <w:bCs/>
        </w:rPr>
        <w:t>Wetterneck</w:t>
      </w:r>
      <w:proofErr w:type="spellEnd"/>
      <w:r w:rsidRPr="00ED13F4">
        <w:rPr>
          <w:bCs/>
        </w:rPr>
        <w:t xml:space="preserve">, C. T., &amp; Flessner, C. A. (2006). A controlled evaluation of </w:t>
      </w:r>
      <w:r w:rsidR="00F67BF4">
        <w:rPr>
          <w:bCs/>
        </w:rPr>
        <w:tab/>
      </w:r>
      <w:r w:rsidRPr="00ED13F4">
        <w:rPr>
          <w:bCs/>
        </w:rPr>
        <w:t>acceptance and commitment therapy plus habit reversal for trichotillomania. </w:t>
      </w:r>
      <w:proofErr w:type="spellStart"/>
      <w:r w:rsidRPr="00ED13F4">
        <w:rPr>
          <w:bCs/>
          <w:i/>
          <w:iCs/>
        </w:rPr>
        <w:t>Behaviour</w:t>
      </w:r>
      <w:proofErr w:type="spellEnd"/>
      <w:r w:rsidRPr="00ED13F4">
        <w:rPr>
          <w:bCs/>
          <w:i/>
          <w:iCs/>
        </w:rPr>
        <w:t xml:space="preserve"> </w:t>
      </w:r>
      <w:r w:rsidR="00F67BF4">
        <w:rPr>
          <w:bCs/>
          <w:i/>
          <w:iCs/>
        </w:rPr>
        <w:tab/>
      </w:r>
      <w:r w:rsidR="00DD2DA1">
        <w:rPr>
          <w:bCs/>
          <w:i/>
          <w:iCs/>
        </w:rPr>
        <w:t>R</w:t>
      </w:r>
      <w:r w:rsidRPr="00ED13F4">
        <w:rPr>
          <w:bCs/>
          <w:i/>
          <w:iCs/>
        </w:rPr>
        <w:t xml:space="preserve">esearch and </w:t>
      </w:r>
      <w:r w:rsidR="00DD2DA1">
        <w:rPr>
          <w:bCs/>
          <w:i/>
          <w:iCs/>
        </w:rPr>
        <w:t>T</w:t>
      </w:r>
      <w:r w:rsidRPr="00ED13F4">
        <w:rPr>
          <w:bCs/>
          <w:i/>
          <w:iCs/>
        </w:rPr>
        <w:t>herapy</w:t>
      </w:r>
      <w:r w:rsidRPr="00ED13F4">
        <w:rPr>
          <w:bCs/>
        </w:rPr>
        <w:t>, </w:t>
      </w:r>
      <w:r w:rsidRPr="00ED13F4">
        <w:rPr>
          <w:bCs/>
          <w:i/>
          <w:iCs/>
        </w:rPr>
        <w:t>44</w:t>
      </w:r>
      <w:r w:rsidRPr="00ED13F4">
        <w:rPr>
          <w:bCs/>
        </w:rPr>
        <w:t>(5), 639-656.</w:t>
      </w:r>
    </w:p>
    <w:p w14:paraId="293E2CF5" w14:textId="77777777" w:rsidR="00872B22" w:rsidRPr="00872B22" w:rsidRDefault="00872B22" w:rsidP="00872B22">
      <w:pPr>
        <w:spacing w:line="480" w:lineRule="auto"/>
        <w:rPr>
          <w:bCs/>
        </w:rPr>
      </w:pPr>
      <w:r w:rsidRPr="00872B22">
        <w:rPr>
          <w:bCs/>
        </w:rPr>
        <w:t xml:space="preserve">Woods, D. W., &amp; Houghton, D. C. (2014). Diagnosis, evaluation, and management of </w:t>
      </w:r>
      <w:r>
        <w:rPr>
          <w:bCs/>
        </w:rPr>
        <w:tab/>
      </w:r>
      <w:r w:rsidRPr="00872B22">
        <w:rPr>
          <w:bCs/>
        </w:rPr>
        <w:t>trichotillomania. </w:t>
      </w:r>
      <w:r w:rsidRPr="00872B22">
        <w:rPr>
          <w:bCs/>
          <w:i/>
          <w:iCs/>
        </w:rPr>
        <w:t>Psychiatric Clinics</w:t>
      </w:r>
      <w:r w:rsidRPr="00872B22">
        <w:rPr>
          <w:bCs/>
        </w:rPr>
        <w:t>, </w:t>
      </w:r>
      <w:r w:rsidRPr="00872B22">
        <w:rPr>
          <w:bCs/>
          <w:i/>
          <w:iCs/>
        </w:rPr>
        <w:t>37</w:t>
      </w:r>
      <w:r w:rsidRPr="00872B22">
        <w:rPr>
          <w:bCs/>
        </w:rPr>
        <w:t>(3), 301-317.</w:t>
      </w:r>
    </w:p>
    <w:p w14:paraId="514F8221" w14:textId="66126101" w:rsidR="008F3634" w:rsidRDefault="008F3634">
      <w:pPr>
        <w:rPr>
          <w:bCs/>
        </w:rPr>
      </w:pPr>
      <w:r>
        <w:rPr>
          <w:bCs/>
        </w:rPr>
        <w:br w:type="page"/>
      </w:r>
    </w:p>
    <w:p w14:paraId="3594078C" w14:textId="77777777" w:rsidR="008F3634" w:rsidRDefault="008F3634" w:rsidP="008F3634">
      <w:pPr>
        <w:jc w:val="center"/>
        <w:rPr>
          <w:b/>
        </w:rPr>
      </w:pPr>
      <w:r>
        <w:rPr>
          <w:b/>
        </w:rPr>
        <w:lastRenderedPageBreak/>
        <w:t xml:space="preserve">Acknowledgments </w:t>
      </w:r>
    </w:p>
    <w:p w14:paraId="0CC1A50F" w14:textId="77777777" w:rsidR="008F3634" w:rsidRDefault="008F3634" w:rsidP="008F3634">
      <w:pPr>
        <w:jc w:val="center"/>
        <w:rPr>
          <w:b/>
        </w:rPr>
      </w:pPr>
    </w:p>
    <w:p w14:paraId="03116335" w14:textId="217BCF89" w:rsidR="008F3634" w:rsidRPr="008F3634" w:rsidRDefault="008F3634" w:rsidP="008F3634">
      <w:pPr>
        <w:rPr>
          <w:bCs/>
        </w:rPr>
      </w:pPr>
      <w:r w:rsidRPr="008F3634">
        <w:rPr>
          <w:bCs/>
        </w:rPr>
        <w:t>This study was supported by funding from the</w:t>
      </w:r>
      <w:r w:rsidR="002067AC">
        <w:rPr>
          <w:bCs/>
        </w:rPr>
        <w:t xml:space="preserve"> Huntsman Foundation.</w:t>
      </w:r>
    </w:p>
    <w:p w14:paraId="4D17A23F" w14:textId="77777777" w:rsidR="008F3634" w:rsidRPr="008F3634" w:rsidRDefault="008F3634" w:rsidP="008F3634">
      <w:pPr>
        <w:rPr>
          <w:bCs/>
        </w:rPr>
      </w:pPr>
    </w:p>
    <w:p w14:paraId="3261DDE3" w14:textId="77777777" w:rsidR="002067AC" w:rsidRPr="00053BFC" w:rsidRDefault="002067AC" w:rsidP="002067AC">
      <w:r w:rsidRPr="00476366">
        <w:t xml:space="preserve">Given their role as an </w:t>
      </w:r>
      <w:r>
        <w:t>Editorial Board Member</w:t>
      </w:r>
      <w:r w:rsidRPr="00476366">
        <w:t xml:space="preserve">, </w:t>
      </w:r>
      <w:r>
        <w:t>Michael Twohig</w:t>
      </w:r>
      <w:r w:rsidRPr="00476366">
        <w:t xml:space="preserve"> </w:t>
      </w:r>
      <w:proofErr w:type="gramStart"/>
      <w:r w:rsidRPr="00476366">
        <w:t>had no involvement</w:t>
      </w:r>
      <w:proofErr w:type="gramEnd"/>
      <w:r w:rsidRPr="00476366">
        <w:t xml:space="preserve"> in the peer-review of this article and had no access to information regarding its peer-review</w:t>
      </w:r>
      <w:r>
        <w:t xml:space="preserve">. </w:t>
      </w:r>
      <w:r w:rsidRPr="00053BFC">
        <w:t>The authors declare no conflict of interest.</w:t>
      </w:r>
    </w:p>
    <w:p w14:paraId="59C9B251" w14:textId="77777777" w:rsidR="00ED13F4" w:rsidRPr="00C82FB7" w:rsidRDefault="00ED13F4" w:rsidP="00EE1432">
      <w:pPr>
        <w:rPr>
          <w:bCs/>
        </w:rPr>
        <w:sectPr w:rsidR="00ED13F4" w:rsidRPr="00C82FB7" w:rsidSect="003619FC">
          <w:headerReference w:type="even" r:id="rId7"/>
          <w:headerReference w:type="default" r:id="rId8"/>
          <w:headerReference w:type="first" r:id="rId9"/>
          <w:pgSz w:w="12240" w:h="15840"/>
          <w:pgMar w:top="1440" w:right="1440" w:bottom="1440" w:left="1440" w:header="720" w:footer="720" w:gutter="0"/>
          <w:cols w:space="720"/>
          <w:titlePg/>
          <w:docGrid w:linePitch="360"/>
        </w:sectPr>
      </w:pPr>
    </w:p>
    <w:p w14:paraId="723FFEA2" w14:textId="77777777" w:rsidR="003B1ECB" w:rsidRDefault="003B1ECB">
      <w:r>
        <w:lastRenderedPageBreak/>
        <w:t>Table 1</w:t>
      </w:r>
    </w:p>
    <w:p w14:paraId="1C18741B" w14:textId="5DAD23DE" w:rsidR="003B1ECB" w:rsidRDefault="003B1ECB" w:rsidP="00ED3E8F">
      <w:pPr>
        <w:rPr>
          <w:i/>
          <w:iCs/>
        </w:rPr>
      </w:pPr>
      <w:r>
        <w:rPr>
          <w:i/>
          <w:iCs/>
        </w:rPr>
        <w:t>Means and standard deviation for youth</w:t>
      </w:r>
      <w:r w:rsidR="0052470B">
        <w:rPr>
          <w:i/>
          <w:iCs/>
        </w:rPr>
        <w:t xml:space="preserve"> and parent</w:t>
      </w:r>
      <w:r>
        <w:rPr>
          <w:i/>
          <w:iCs/>
        </w:rPr>
        <w:t>-rated outcomes</w:t>
      </w:r>
    </w:p>
    <w:tbl>
      <w:tblPr>
        <w:tblW w:w="9290" w:type="dxa"/>
        <w:tblLook w:val="04A0" w:firstRow="1" w:lastRow="0" w:firstColumn="1" w:lastColumn="0" w:noHBand="0" w:noVBand="1"/>
      </w:tblPr>
      <w:tblGrid>
        <w:gridCol w:w="1611"/>
        <w:gridCol w:w="1611"/>
        <w:gridCol w:w="1715"/>
        <w:gridCol w:w="1451"/>
        <w:gridCol w:w="1451"/>
        <w:gridCol w:w="1451"/>
      </w:tblGrid>
      <w:tr w:rsidR="003B1ECB" w:rsidRPr="00434513" w14:paraId="60825135" w14:textId="77777777" w:rsidTr="00C21CCB">
        <w:trPr>
          <w:trHeight w:val="687"/>
        </w:trPr>
        <w:tc>
          <w:tcPr>
            <w:tcW w:w="1611" w:type="dxa"/>
            <w:tcBorders>
              <w:top w:val="single" w:sz="12" w:space="0" w:color="auto"/>
              <w:left w:val="nil"/>
              <w:bottom w:val="single" w:sz="12" w:space="0" w:color="auto"/>
              <w:right w:val="nil"/>
            </w:tcBorders>
            <w:shd w:val="clear" w:color="auto" w:fill="auto"/>
            <w:noWrap/>
            <w:vAlign w:val="bottom"/>
            <w:hideMark/>
          </w:tcPr>
          <w:p w14:paraId="712AEEF8" w14:textId="77777777" w:rsidR="003B1ECB" w:rsidRPr="00434513" w:rsidRDefault="003B1ECB" w:rsidP="00ED3E8F">
            <w:pPr>
              <w:rPr>
                <w:color w:val="000000"/>
              </w:rPr>
            </w:pPr>
          </w:p>
        </w:tc>
        <w:tc>
          <w:tcPr>
            <w:tcW w:w="1611" w:type="dxa"/>
            <w:tcBorders>
              <w:top w:val="single" w:sz="12" w:space="0" w:color="auto"/>
              <w:left w:val="nil"/>
              <w:bottom w:val="single" w:sz="12" w:space="0" w:color="auto"/>
              <w:right w:val="nil"/>
            </w:tcBorders>
            <w:shd w:val="clear" w:color="auto" w:fill="auto"/>
            <w:noWrap/>
            <w:vAlign w:val="center"/>
            <w:hideMark/>
          </w:tcPr>
          <w:p w14:paraId="171EA505" w14:textId="77777777" w:rsidR="003B1ECB" w:rsidRPr="00434513" w:rsidRDefault="003B1ECB" w:rsidP="00931C3F">
            <w:pPr>
              <w:rPr>
                <w:color w:val="000000"/>
              </w:rPr>
            </w:pPr>
            <w:r w:rsidRPr="002A5793">
              <w:rPr>
                <w:color w:val="000000"/>
              </w:rPr>
              <w:t>Pretreatment</w:t>
            </w:r>
          </w:p>
        </w:tc>
        <w:tc>
          <w:tcPr>
            <w:tcW w:w="1715" w:type="dxa"/>
            <w:tcBorders>
              <w:top w:val="single" w:sz="12" w:space="0" w:color="auto"/>
              <w:left w:val="nil"/>
              <w:bottom w:val="single" w:sz="12" w:space="0" w:color="auto"/>
              <w:right w:val="nil"/>
            </w:tcBorders>
            <w:shd w:val="clear" w:color="auto" w:fill="auto"/>
            <w:noWrap/>
            <w:vAlign w:val="center"/>
            <w:hideMark/>
          </w:tcPr>
          <w:p w14:paraId="0DAD6D49" w14:textId="77777777" w:rsidR="003B1ECB" w:rsidRPr="00434513" w:rsidRDefault="003B1ECB" w:rsidP="00931C3F">
            <w:pPr>
              <w:rPr>
                <w:color w:val="000000"/>
              </w:rPr>
            </w:pPr>
            <w:r w:rsidRPr="002A5793">
              <w:rPr>
                <w:color w:val="000000"/>
              </w:rPr>
              <w:t>Posttreatment</w:t>
            </w:r>
          </w:p>
        </w:tc>
        <w:tc>
          <w:tcPr>
            <w:tcW w:w="1451" w:type="dxa"/>
            <w:tcBorders>
              <w:top w:val="single" w:sz="12" w:space="0" w:color="auto"/>
              <w:left w:val="nil"/>
              <w:bottom w:val="single" w:sz="12" w:space="0" w:color="auto"/>
              <w:right w:val="nil"/>
            </w:tcBorders>
            <w:shd w:val="clear" w:color="auto" w:fill="auto"/>
            <w:noWrap/>
            <w:vAlign w:val="center"/>
            <w:hideMark/>
          </w:tcPr>
          <w:p w14:paraId="51465366" w14:textId="77777777" w:rsidR="003B1ECB" w:rsidRPr="00434513" w:rsidRDefault="003B1ECB" w:rsidP="00931C3F">
            <w:pPr>
              <w:rPr>
                <w:color w:val="000000"/>
              </w:rPr>
            </w:pPr>
            <w:r>
              <w:rPr>
                <w:color w:val="000000"/>
              </w:rPr>
              <w:t>Three-month follow-up</w:t>
            </w:r>
          </w:p>
        </w:tc>
        <w:tc>
          <w:tcPr>
            <w:tcW w:w="1451" w:type="dxa"/>
            <w:tcBorders>
              <w:top w:val="single" w:sz="12" w:space="0" w:color="auto"/>
              <w:left w:val="nil"/>
              <w:bottom w:val="single" w:sz="12" w:space="0" w:color="auto"/>
              <w:right w:val="nil"/>
            </w:tcBorders>
            <w:shd w:val="clear" w:color="auto" w:fill="auto"/>
            <w:noWrap/>
            <w:vAlign w:val="center"/>
            <w:hideMark/>
          </w:tcPr>
          <w:p w14:paraId="11FA4DA5" w14:textId="77777777" w:rsidR="003B1ECB" w:rsidRPr="00434513" w:rsidRDefault="003B1ECB" w:rsidP="00931C3F">
            <w:pPr>
              <w:rPr>
                <w:color w:val="000000"/>
              </w:rPr>
            </w:pPr>
            <w:r>
              <w:rPr>
                <w:color w:val="000000"/>
              </w:rPr>
              <w:t>Six-month follow-up</w:t>
            </w:r>
          </w:p>
        </w:tc>
        <w:tc>
          <w:tcPr>
            <w:tcW w:w="1451" w:type="dxa"/>
            <w:tcBorders>
              <w:top w:val="single" w:sz="12" w:space="0" w:color="auto"/>
              <w:left w:val="nil"/>
              <w:bottom w:val="single" w:sz="12" w:space="0" w:color="auto"/>
              <w:right w:val="nil"/>
            </w:tcBorders>
            <w:shd w:val="clear" w:color="auto" w:fill="auto"/>
            <w:noWrap/>
            <w:vAlign w:val="center"/>
            <w:hideMark/>
          </w:tcPr>
          <w:p w14:paraId="4A816166" w14:textId="77777777" w:rsidR="003B1ECB" w:rsidRPr="00434513" w:rsidRDefault="003B1ECB" w:rsidP="00931C3F">
            <w:pPr>
              <w:rPr>
                <w:color w:val="000000"/>
              </w:rPr>
            </w:pPr>
            <w:r>
              <w:rPr>
                <w:color w:val="000000"/>
              </w:rPr>
              <w:t>12-month follow-up</w:t>
            </w:r>
          </w:p>
        </w:tc>
      </w:tr>
      <w:tr w:rsidR="003B1ECB" w:rsidRPr="00434513" w14:paraId="1F89CFB8" w14:textId="77777777" w:rsidTr="00ED3E8F">
        <w:trPr>
          <w:trHeight w:val="687"/>
        </w:trPr>
        <w:tc>
          <w:tcPr>
            <w:tcW w:w="1611" w:type="dxa"/>
            <w:tcBorders>
              <w:top w:val="single" w:sz="12" w:space="0" w:color="auto"/>
              <w:left w:val="nil"/>
              <w:bottom w:val="nil"/>
              <w:right w:val="nil"/>
            </w:tcBorders>
            <w:shd w:val="clear" w:color="auto" w:fill="auto"/>
            <w:noWrap/>
            <w:vAlign w:val="bottom"/>
            <w:hideMark/>
          </w:tcPr>
          <w:p w14:paraId="02723F37" w14:textId="030873BE" w:rsidR="003B1ECB" w:rsidRPr="00434513" w:rsidRDefault="003B1ECB" w:rsidP="00ED3E8F">
            <w:pPr>
              <w:rPr>
                <w:color w:val="000000"/>
              </w:rPr>
            </w:pPr>
            <w:r>
              <w:rPr>
                <w:color w:val="000000"/>
              </w:rPr>
              <w:t>TSC-</w:t>
            </w:r>
            <w:r w:rsidR="005D5B6F">
              <w:rPr>
                <w:color w:val="000000"/>
              </w:rPr>
              <w:t xml:space="preserve">Y </w:t>
            </w:r>
            <w:r>
              <w:rPr>
                <w:color w:val="000000"/>
              </w:rPr>
              <w:t>Severity</w:t>
            </w:r>
          </w:p>
        </w:tc>
        <w:tc>
          <w:tcPr>
            <w:tcW w:w="1611" w:type="dxa"/>
            <w:tcBorders>
              <w:top w:val="single" w:sz="12" w:space="0" w:color="auto"/>
              <w:left w:val="nil"/>
              <w:bottom w:val="nil"/>
              <w:right w:val="nil"/>
            </w:tcBorders>
            <w:shd w:val="clear" w:color="auto" w:fill="auto"/>
            <w:noWrap/>
            <w:vAlign w:val="bottom"/>
            <w:hideMark/>
          </w:tcPr>
          <w:p w14:paraId="73EFD61A" w14:textId="77777777" w:rsidR="003B1ECB" w:rsidRPr="00434513" w:rsidRDefault="003B1ECB" w:rsidP="00ED3E8F">
            <w:pPr>
              <w:rPr>
                <w:color w:val="000000"/>
              </w:rPr>
            </w:pPr>
            <w:r w:rsidRPr="00434513">
              <w:rPr>
                <w:color w:val="000000"/>
              </w:rPr>
              <w:t>1.3 (0.4)</w:t>
            </w:r>
          </w:p>
        </w:tc>
        <w:tc>
          <w:tcPr>
            <w:tcW w:w="1715" w:type="dxa"/>
            <w:tcBorders>
              <w:top w:val="single" w:sz="12" w:space="0" w:color="auto"/>
              <w:left w:val="nil"/>
              <w:bottom w:val="nil"/>
              <w:right w:val="nil"/>
            </w:tcBorders>
            <w:shd w:val="clear" w:color="auto" w:fill="auto"/>
            <w:noWrap/>
            <w:vAlign w:val="bottom"/>
            <w:hideMark/>
          </w:tcPr>
          <w:p w14:paraId="52F59B55" w14:textId="77777777" w:rsidR="003B1ECB" w:rsidRPr="00434513" w:rsidRDefault="003B1ECB" w:rsidP="00ED3E8F">
            <w:pPr>
              <w:rPr>
                <w:color w:val="000000"/>
              </w:rPr>
            </w:pPr>
            <w:r w:rsidRPr="00434513">
              <w:rPr>
                <w:color w:val="000000"/>
              </w:rPr>
              <w:t>0.6 (0.6)</w:t>
            </w:r>
          </w:p>
        </w:tc>
        <w:tc>
          <w:tcPr>
            <w:tcW w:w="1451" w:type="dxa"/>
            <w:tcBorders>
              <w:top w:val="single" w:sz="12" w:space="0" w:color="auto"/>
              <w:left w:val="nil"/>
              <w:bottom w:val="nil"/>
              <w:right w:val="nil"/>
            </w:tcBorders>
            <w:shd w:val="clear" w:color="auto" w:fill="auto"/>
            <w:noWrap/>
            <w:vAlign w:val="bottom"/>
            <w:hideMark/>
          </w:tcPr>
          <w:p w14:paraId="3354EE69" w14:textId="77777777" w:rsidR="003B1ECB" w:rsidRPr="00434513" w:rsidRDefault="003B1ECB" w:rsidP="00ED3E8F">
            <w:pPr>
              <w:rPr>
                <w:color w:val="000000"/>
              </w:rPr>
            </w:pPr>
            <w:r w:rsidRPr="00434513">
              <w:rPr>
                <w:color w:val="000000"/>
              </w:rPr>
              <w:t>0.8 (0.5)</w:t>
            </w:r>
          </w:p>
        </w:tc>
        <w:tc>
          <w:tcPr>
            <w:tcW w:w="1451" w:type="dxa"/>
            <w:tcBorders>
              <w:top w:val="single" w:sz="12" w:space="0" w:color="auto"/>
              <w:left w:val="nil"/>
              <w:bottom w:val="nil"/>
              <w:right w:val="nil"/>
            </w:tcBorders>
            <w:shd w:val="clear" w:color="auto" w:fill="auto"/>
            <w:noWrap/>
            <w:vAlign w:val="bottom"/>
            <w:hideMark/>
          </w:tcPr>
          <w:p w14:paraId="5C4B0683" w14:textId="77777777" w:rsidR="003B1ECB" w:rsidRPr="00434513" w:rsidRDefault="003B1ECB" w:rsidP="00ED3E8F">
            <w:pPr>
              <w:rPr>
                <w:color w:val="000000"/>
              </w:rPr>
            </w:pPr>
            <w:r w:rsidRPr="00434513">
              <w:rPr>
                <w:color w:val="000000"/>
              </w:rPr>
              <w:t>0.7 (0.5)</w:t>
            </w:r>
          </w:p>
        </w:tc>
        <w:tc>
          <w:tcPr>
            <w:tcW w:w="1451" w:type="dxa"/>
            <w:tcBorders>
              <w:top w:val="single" w:sz="12" w:space="0" w:color="auto"/>
              <w:left w:val="nil"/>
              <w:bottom w:val="nil"/>
              <w:right w:val="nil"/>
            </w:tcBorders>
            <w:shd w:val="clear" w:color="auto" w:fill="auto"/>
            <w:noWrap/>
            <w:vAlign w:val="bottom"/>
            <w:hideMark/>
          </w:tcPr>
          <w:p w14:paraId="4545BDA9" w14:textId="77777777" w:rsidR="003B1ECB" w:rsidRPr="00434513" w:rsidRDefault="003B1ECB" w:rsidP="00ED3E8F">
            <w:pPr>
              <w:rPr>
                <w:color w:val="000000"/>
              </w:rPr>
            </w:pPr>
            <w:r w:rsidRPr="00434513">
              <w:rPr>
                <w:color w:val="000000"/>
              </w:rPr>
              <w:t>0.7 (0.6)</w:t>
            </w:r>
          </w:p>
        </w:tc>
      </w:tr>
      <w:tr w:rsidR="003B1ECB" w:rsidRPr="00434513" w14:paraId="31078005" w14:textId="77777777" w:rsidTr="00ED3E8F">
        <w:trPr>
          <w:trHeight w:val="687"/>
        </w:trPr>
        <w:tc>
          <w:tcPr>
            <w:tcW w:w="1611" w:type="dxa"/>
            <w:tcBorders>
              <w:top w:val="nil"/>
              <w:left w:val="nil"/>
              <w:bottom w:val="nil"/>
              <w:right w:val="nil"/>
            </w:tcBorders>
            <w:shd w:val="clear" w:color="auto" w:fill="auto"/>
            <w:noWrap/>
            <w:vAlign w:val="bottom"/>
            <w:hideMark/>
          </w:tcPr>
          <w:p w14:paraId="04F278B9" w14:textId="02CCD42B" w:rsidR="003B1ECB" w:rsidRPr="00434513" w:rsidRDefault="003B1ECB" w:rsidP="00ED3E8F">
            <w:pPr>
              <w:rPr>
                <w:color w:val="000000"/>
              </w:rPr>
            </w:pPr>
            <w:r>
              <w:rPr>
                <w:color w:val="000000"/>
              </w:rPr>
              <w:t>TSC-</w:t>
            </w:r>
            <w:r w:rsidR="005D5B6F">
              <w:rPr>
                <w:color w:val="000000"/>
              </w:rPr>
              <w:t xml:space="preserve">Y </w:t>
            </w:r>
            <w:r>
              <w:rPr>
                <w:color w:val="000000"/>
              </w:rPr>
              <w:t>Distress</w:t>
            </w:r>
          </w:p>
        </w:tc>
        <w:tc>
          <w:tcPr>
            <w:tcW w:w="1611" w:type="dxa"/>
            <w:tcBorders>
              <w:top w:val="nil"/>
              <w:left w:val="nil"/>
              <w:bottom w:val="nil"/>
              <w:right w:val="nil"/>
            </w:tcBorders>
            <w:shd w:val="clear" w:color="auto" w:fill="auto"/>
            <w:noWrap/>
            <w:vAlign w:val="bottom"/>
            <w:hideMark/>
          </w:tcPr>
          <w:p w14:paraId="650E117E" w14:textId="77777777" w:rsidR="003B1ECB" w:rsidRPr="00434513" w:rsidRDefault="003B1ECB" w:rsidP="00ED3E8F">
            <w:pPr>
              <w:rPr>
                <w:color w:val="000000"/>
              </w:rPr>
            </w:pPr>
            <w:r w:rsidRPr="00434513">
              <w:rPr>
                <w:color w:val="000000"/>
              </w:rPr>
              <w:t>0.8 (0.5)</w:t>
            </w:r>
          </w:p>
        </w:tc>
        <w:tc>
          <w:tcPr>
            <w:tcW w:w="1715" w:type="dxa"/>
            <w:tcBorders>
              <w:top w:val="nil"/>
              <w:left w:val="nil"/>
              <w:bottom w:val="nil"/>
              <w:right w:val="nil"/>
            </w:tcBorders>
            <w:shd w:val="clear" w:color="auto" w:fill="auto"/>
            <w:noWrap/>
            <w:vAlign w:val="bottom"/>
            <w:hideMark/>
          </w:tcPr>
          <w:p w14:paraId="67C20921" w14:textId="77777777" w:rsidR="003B1ECB" w:rsidRPr="00434513" w:rsidRDefault="003B1ECB" w:rsidP="00ED3E8F">
            <w:pPr>
              <w:rPr>
                <w:color w:val="000000"/>
              </w:rPr>
            </w:pPr>
            <w:r w:rsidRPr="00434513">
              <w:rPr>
                <w:color w:val="000000"/>
              </w:rPr>
              <w:t>0.5 (0.5)</w:t>
            </w:r>
          </w:p>
        </w:tc>
        <w:tc>
          <w:tcPr>
            <w:tcW w:w="1451" w:type="dxa"/>
            <w:tcBorders>
              <w:top w:val="nil"/>
              <w:left w:val="nil"/>
              <w:bottom w:val="nil"/>
              <w:right w:val="nil"/>
            </w:tcBorders>
            <w:shd w:val="clear" w:color="auto" w:fill="auto"/>
            <w:noWrap/>
            <w:vAlign w:val="bottom"/>
            <w:hideMark/>
          </w:tcPr>
          <w:p w14:paraId="19E52895" w14:textId="77777777" w:rsidR="003B1ECB" w:rsidRPr="00434513" w:rsidRDefault="003B1ECB" w:rsidP="00ED3E8F">
            <w:pPr>
              <w:rPr>
                <w:color w:val="000000"/>
              </w:rPr>
            </w:pPr>
            <w:r w:rsidRPr="00434513">
              <w:rPr>
                <w:color w:val="000000"/>
              </w:rPr>
              <w:t>0.5 (0.6)</w:t>
            </w:r>
          </w:p>
        </w:tc>
        <w:tc>
          <w:tcPr>
            <w:tcW w:w="1451" w:type="dxa"/>
            <w:tcBorders>
              <w:top w:val="nil"/>
              <w:left w:val="nil"/>
              <w:bottom w:val="nil"/>
              <w:right w:val="nil"/>
            </w:tcBorders>
            <w:shd w:val="clear" w:color="auto" w:fill="auto"/>
            <w:noWrap/>
            <w:vAlign w:val="bottom"/>
            <w:hideMark/>
          </w:tcPr>
          <w:p w14:paraId="07529DB2" w14:textId="77777777" w:rsidR="003B1ECB" w:rsidRPr="00434513" w:rsidRDefault="003B1ECB" w:rsidP="00ED3E8F">
            <w:pPr>
              <w:rPr>
                <w:color w:val="000000"/>
              </w:rPr>
            </w:pPr>
            <w:r w:rsidRPr="00434513">
              <w:rPr>
                <w:color w:val="000000"/>
              </w:rPr>
              <w:t>0.4 (0.5)</w:t>
            </w:r>
          </w:p>
        </w:tc>
        <w:tc>
          <w:tcPr>
            <w:tcW w:w="1451" w:type="dxa"/>
            <w:tcBorders>
              <w:top w:val="nil"/>
              <w:left w:val="nil"/>
              <w:bottom w:val="nil"/>
              <w:right w:val="nil"/>
            </w:tcBorders>
            <w:shd w:val="clear" w:color="auto" w:fill="auto"/>
            <w:noWrap/>
            <w:vAlign w:val="bottom"/>
            <w:hideMark/>
          </w:tcPr>
          <w:p w14:paraId="077866AC" w14:textId="77777777" w:rsidR="003B1ECB" w:rsidRPr="00434513" w:rsidRDefault="003B1ECB" w:rsidP="00ED3E8F">
            <w:pPr>
              <w:rPr>
                <w:color w:val="000000"/>
              </w:rPr>
            </w:pPr>
            <w:r w:rsidRPr="00434513">
              <w:rPr>
                <w:color w:val="000000"/>
              </w:rPr>
              <w:t>0.5 (0.6)</w:t>
            </w:r>
          </w:p>
        </w:tc>
      </w:tr>
      <w:tr w:rsidR="003B1ECB" w:rsidRPr="00434513" w14:paraId="05A404E3" w14:textId="77777777" w:rsidTr="00ED3E8F">
        <w:trPr>
          <w:trHeight w:val="687"/>
        </w:trPr>
        <w:tc>
          <w:tcPr>
            <w:tcW w:w="1611" w:type="dxa"/>
            <w:tcBorders>
              <w:top w:val="nil"/>
              <w:left w:val="nil"/>
              <w:bottom w:val="nil"/>
              <w:right w:val="nil"/>
            </w:tcBorders>
            <w:shd w:val="clear" w:color="auto" w:fill="auto"/>
            <w:noWrap/>
            <w:vAlign w:val="bottom"/>
            <w:hideMark/>
          </w:tcPr>
          <w:p w14:paraId="07C707C0" w14:textId="77777777" w:rsidR="003B1ECB" w:rsidRPr="000550DA" w:rsidRDefault="003B1ECB" w:rsidP="00ED3E8F">
            <w:pPr>
              <w:rPr>
                <w:color w:val="000000"/>
                <w:vertAlign w:val="superscript"/>
              </w:rPr>
            </w:pPr>
            <w:r>
              <w:rPr>
                <w:color w:val="000000"/>
              </w:rPr>
              <w:t>AFQ</w:t>
            </w:r>
            <w:r w:rsidR="0051049B">
              <w:rPr>
                <w:color w:val="000000"/>
              </w:rPr>
              <w:t>-</w:t>
            </w:r>
            <w:r>
              <w:rPr>
                <w:color w:val="000000"/>
              </w:rPr>
              <w:t>Y</w:t>
            </w:r>
            <w:r w:rsidR="0051049B">
              <w:rPr>
                <w:color w:val="000000"/>
              </w:rPr>
              <w:t>8</w:t>
            </w:r>
          </w:p>
        </w:tc>
        <w:tc>
          <w:tcPr>
            <w:tcW w:w="1611" w:type="dxa"/>
            <w:tcBorders>
              <w:top w:val="nil"/>
              <w:left w:val="nil"/>
              <w:bottom w:val="nil"/>
              <w:right w:val="nil"/>
            </w:tcBorders>
            <w:shd w:val="clear" w:color="auto" w:fill="auto"/>
            <w:noWrap/>
            <w:vAlign w:val="bottom"/>
            <w:hideMark/>
          </w:tcPr>
          <w:p w14:paraId="7981129C" w14:textId="77777777" w:rsidR="003B1ECB" w:rsidRPr="00434513" w:rsidRDefault="003B1ECB" w:rsidP="00ED3E8F">
            <w:pPr>
              <w:rPr>
                <w:color w:val="000000"/>
              </w:rPr>
            </w:pPr>
            <w:r w:rsidRPr="00434513">
              <w:rPr>
                <w:color w:val="000000"/>
              </w:rPr>
              <w:t>6.1 (6.0)</w:t>
            </w:r>
          </w:p>
        </w:tc>
        <w:tc>
          <w:tcPr>
            <w:tcW w:w="1715" w:type="dxa"/>
            <w:tcBorders>
              <w:top w:val="nil"/>
              <w:left w:val="nil"/>
              <w:bottom w:val="nil"/>
              <w:right w:val="nil"/>
            </w:tcBorders>
            <w:shd w:val="clear" w:color="auto" w:fill="auto"/>
            <w:noWrap/>
            <w:vAlign w:val="bottom"/>
            <w:hideMark/>
          </w:tcPr>
          <w:p w14:paraId="67B3DDE9" w14:textId="77777777" w:rsidR="003B1ECB" w:rsidRPr="00434513" w:rsidRDefault="003B1ECB" w:rsidP="00ED3E8F">
            <w:pPr>
              <w:rPr>
                <w:color w:val="000000"/>
              </w:rPr>
            </w:pPr>
            <w:r w:rsidRPr="00434513">
              <w:rPr>
                <w:color w:val="000000"/>
              </w:rPr>
              <w:t>5.8 (4.7)</w:t>
            </w:r>
          </w:p>
        </w:tc>
        <w:tc>
          <w:tcPr>
            <w:tcW w:w="1451" w:type="dxa"/>
            <w:tcBorders>
              <w:top w:val="nil"/>
              <w:left w:val="nil"/>
              <w:bottom w:val="nil"/>
              <w:right w:val="nil"/>
            </w:tcBorders>
            <w:shd w:val="clear" w:color="auto" w:fill="auto"/>
            <w:noWrap/>
            <w:vAlign w:val="bottom"/>
            <w:hideMark/>
          </w:tcPr>
          <w:p w14:paraId="7A551B91" w14:textId="77777777" w:rsidR="003B1ECB" w:rsidRPr="00434513" w:rsidRDefault="003B1ECB" w:rsidP="00ED3E8F">
            <w:pPr>
              <w:rPr>
                <w:color w:val="000000"/>
              </w:rPr>
            </w:pPr>
            <w:r w:rsidRPr="00434513">
              <w:rPr>
                <w:color w:val="000000"/>
              </w:rPr>
              <w:t>5.4 (5.6)</w:t>
            </w:r>
          </w:p>
        </w:tc>
        <w:tc>
          <w:tcPr>
            <w:tcW w:w="1451" w:type="dxa"/>
            <w:tcBorders>
              <w:top w:val="nil"/>
              <w:left w:val="nil"/>
              <w:bottom w:val="nil"/>
              <w:right w:val="nil"/>
            </w:tcBorders>
            <w:shd w:val="clear" w:color="auto" w:fill="auto"/>
            <w:noWrap/>
            <w:vAlign w:val="bottom"/>
            <w:hideMark/>
          </w:tcPr>
          <w:p w14:paraId="2E0F8768" w14:textId="77777777" w:rsidR="003B1ECB" w:rsidRPr="00434513" w:rsidRDefault="003B1ECB" w:rsidP="00ED3E8F">
            <w:pPr>
              <w:rPr>
                <w:color w:val="000000"/>
              </w:rPr>
            </w:pPr>
            <w:r w:rsidRPr="00434513">
              <w:rPr>
                <w:color w:val="000000"/>
              </w:rPr>
              <w:t>7.2 (8.0)</w:t>
            </w:r>
          </w:p>
        </w:tc>
        <w:tc>
          <w:tcPr>
            <w:tcW w:w="1451" w:type="dxa"/>
            <w:tcBorders>
              <w:top w:val="nil"/>
              <w:left w:val="nil"/>
              <w:bottom w:val="nil"/>
              <w:right w:val="nil"/>
            </w:tcBorders>
            <w:shd w:val="clear" w:color="auto" w:fill="auto"/>
            <w:noWrap/>
            <w:vAlign w:val="bottom"/>
            <w:hideMark/>
          </w:tcPr>
          <w:p w14:paraId="24CA72D4" w14:textId="77777777" w:rsidR="003B1ECB" w:rsidRPr="00434513" w:rsidRDefault="003B1ECB" w:rsidP="00ED3E8F">
            <w:pPr>
              <w:rPr>
                <w:color w:val="000000"/>
              </w:rPr>
            </w:pPr>
            <w:r w:rsidRPr="00434513">
              <w:rPr>
                <w:color w:val="000000"/>
              </w:rPr>
              <w:t>7.2 (7.0)</w:t>
            </w:r>
          </w:p>
        </w:tc>
      </w:tr>
      <w:tr w:rsidR="003B1ECB" w:rsidRPr="00434513" w14:paraId="50337057" w14:textId="77777777" w:rsidTr="00ED3E8F">
        <w:trPr>
          <w:trHeight w:val="687"/>
        </w:trPr>
        <w:tc>
          <w:tcPr>
            <w:tcW w:w="1611" w:type="dxa"/>
            <w:tcBorders>
              <w:top w:val="nil"/>
              <w:left w:val="nil"/>
              <w:right w:val="nil"/>
            </w:tcBorders>
            <w:shd w:val="clear" w:color="auto" w:fill="auto"/>
            <w:noWrap/>
            <w:vAlign w:val="bottom"/>
            <w:hideMark/>
          </w:tcPr>
          <w:p w14:paraId="005C3217" w14:textId="77777777" w:rsidR="003B1ECB" w:rsidRPr="000550DA" w:rsidRDefault="003B1ECB" w:rsidP="00ED3E8F">
            <w:pPr>
              <w:rPr>
                <w:color w:val="000000"/>
                <w:vertAlign w:val="superscript"/>
              </w:rPr>
            </w:pPr>
            <w:r>
              <w:rPr>
                <w:color w:val="000000"/>
              </w:rPr>
              <w:t>AAQ-TTM</w:t>
            </w:r>
            <w:r w:rsidR="000550DA">
              <w:rPr>
                <w:color w:val="000000"/>
                <w:vertAlign w:val="superscript"/>
              </w:rPr>
              <w:t>1</w:t>
            </w:r>
          </w:p>
        </w:tc>
        <w:tc>
          <w:tcPr>
            <w:tcW w:w="1611" w:type="dxa"/>
            <w:tcBorders>
              <w:top w:val="nil"/>
              <w:left w:val="nil"/>
              <w:right w:val="nil"/>
            </w:tcBorders>
            <w:shd w:val="clear" w:color="auto" w:fill="auto"/>
            <w:noWrap/>
            <w:vAlign w:val="bottom"/>
            <w:hideMark/>
          </w:tcPr>
          <w:p w14:paraId="6BFA439E" w14:textId="77777777" w:rsidR="003B1ECB" w:rsidRPr="00434513" w:rsidRDefault="003B1ECB" w:rsidP="00ED3E8F">
            <w:pPr>
              <w:rPr>
                <w:color w:val="000000"/>
              </w:rPr>
            </w:pPr>
            <w:r w:rsidRPr="00434513">
              <w:rPr>
                <w:color w:val="000000"/>
              </w:rPr>
              <w:t>42.0 (12.7)</w:t>
            </w:r>
          </w:p>
        </w:tc>
        <w:tc>
          <w:tcPr>
            <w:tcW w:w="1715" w:type="dxa"/>
            <w:tcBorders>
              <w:top w:val="nil"/>
              <w:left w:val="nil"/>
              <w:right w:val="nil"/>
            </w:tcBorders>
            <w:shd w:val="clear" w:color="auto" w:fill="auto"/>
            <w:noWrap/>
            <w:vAlign w:val="bottom"/>
            <w:hideMark/>
          </w:tcPr>
          <w:p w14:paraId="7B00E521" w14:textId="77777777" w:rsidR="003B1ECB" w:rsidRPr="00434513" w:rsidRDefault="003B1ECB" w:rsidP="00ED3E8F">
            <w:pPr>
              <w:rPr>
                <w:color w:val="000000"/>
              </w:rPr>
            </w:pPr>
            <w:r w:rsidRPr="00434513">
              <w:rPr>
                <w:color w:val="000000"/>
              </w:rPr>
              <w:t>47.5 (13.5)</w:t>
            </w:r>
          </w:p>
        </w:tc>
        <w:tc>
          <w:tcPr>
            <w:tcW w:w="1451" w:type="dxa"/>
            <w:tcBorders>
              <w:top w:val="nil"/>
              <w:left w:val="nil"/>
              <w:right w:val="nil"/>
            </w:tcBorders>
            <w:shd w:val="clear" w:color="auto" w:fill="auto"/>
            <w:noWrap/>
            <w:vAlign w:val="bottom"/>
            <w:hideMark/>
          </w:tcPr>
          <w:p w14:paraId="6C631E65" w14:textId="77777777" w:rsidR="003B1ECB" w:rsidRPr="00434513" w:rsidRDefault="003B1ECB" w:rsidP="00ED3E8F">
            <w:pPr>
              <w:rPr>
                <w:color w:val="000000"/>
              </w:rPr>
            </w:pPr>
            <w:r w:rsidRPr="00434513">
              <w:rPr>
                <w:color w:val="000000"/>
              </w:rPr>
              <w:t>47.8 (13.0)</w:t>
            </w:r>
          </w:p>
        </w:tc>
        <w:tc>
          <w:tcPr>
            <w:tcW w:w="1451" w:type="dxa"/>
            <w:tcBorders>
              <w:top w:val="nil"/>
              <w:left w:val="nil"/>
              <w:right w:val="nil"/>
            </w:tcBorders>
            <w:shd w:val="clear" w:color="auto" w:fill="auto"/>
            <w:noWrap/>
            <w:vAlign w:val="bottom"/>
            <w:hideMark/>
          </w:tcPr>
          <w:p w14:paraId="3191E8D3" w14:textId="77777777" w:rsidR="003B1ECB" w:rsidRPr="00434513" w:rsidRDefault="003B1ECB" w:rsidP="00ED3E8F">
            <w:pPr>
              <w:rPr>
                <w:color w:val="000000"/>
              </w:rPr>
            </w:pPr>
            <w:r w:rsidRPr="00434513">
              <w:rPr>
                <w:color w:val="000000"/>
              </w:rPr>
              <w:t>49.1 (13.7)</w:t>
            </w:r>
          </w:p>
        </w:tc>
        <w:tc>
          <w:tcPr>
            <w:tcW w:w="1451" w:type="dxa"/>
            <w:tcBorders>
              <w:top w:val="nil"/>
              <w:left w:val="nil"/>
              <w:right w:val="nil"/>
            </w:tcBorders>
            <w:shd w:val="clear" w:color="auto" w:fill="auto"/>
            <w:noWrap/>
            <w:vAlign w:val="bottom"/>
            <w:hideMark/>
          </w:tcPr>
          <w:p w14:paraId="459DC24A" w14:textId="77777777" w:rsidR="003B1ECB" w:rsidRPr="00434513" w:rsidRDefault="003B1ECB" w:rsidP="00ED3E8F">
            <w:pPr>
              <w:rPr>
                <w:color w:val="000000"/>
              </w:rPr>
            </w:pPr>
            <w:r w:rsidRPr="00434513">
              <w:rPr>
                <w:color w:val="000000"/>
              </w:rPr>
              <w:t>48.3 (13.6)</w:t>
            </w:r>
          </w:p>
        </w:tc>
      </w:tr>
      <w:tr w:rsidR="003B1ECB" w:rsidRPr="00434513" w14:paraId="472EAED0" w14:textId="77777777" w:rsidTr="0052470B">
        <w:trPr>
          <w:trHeight w:val="687"/>
        </w:trPr>
        <w:tc>
          <w:tcPr>
            <w:tcW w:w="1611" w:type="dxa"/>
            <w:tcBorders>
              <w:top w:val="nil"/>
              <w:left w:val="nil"/>
              <w:bottom w:val="nil"/>
              <w:right w:val="nil"/>
            </w:tcBorders>
            <w:shd w:val="clear" w:color="auto" w:fill="auto"/>
            <w:noWrap/>
            <w:vAlign w:val="bottom"/>
            <w:hideMark/>
          </w:tcPr>
          <w:p w14:paraId="6069A32E" w14:textId="77777777" w:rsidR="003B1ECB" w:rsidRPr="00434513" w:rsidRDefault="003B1ECB" w:rsidP="00ED3E8F">
            <w:pPr>
              <w:rPr>
                <w:color w:val="000000"/>
              </w:rPr>
            </w:pPr>
            <w:r>
              <w:rPr>
                <w:color w:val="000000"/>
              </w:rPr>
              <w:t>YOQ-C</w:t>
            </w:r>
          </w:p>
        </w:tc>
        <w:tc>
          <w:tcPr>
            <w:tcW w:w="1611" w:type="dxa"/>
            <w:tcBorders>
              <w:top w:val="nil"/>
              <w:left w:val="nil"/>
              <w:bottom w:val="nil"/>
              <w:right w:val="nil"/>
            </w:tcBorders>
            <w:shd w:val="clear" w:color="auto" w:fill="auto"/>
            <w:noWrap/>
            <w:vAlign w:val="bottom"/>
            <w:hideMark/>
          </w:tcPr>
          <w:p w14:paraId="4FA5F2ED" w14:textId="77777777" w:rsidR="003B1ECB" w:rsidRPr="00434513" w:rsidRDefault="003B1ECB" w:rsidP="00ED3E8F">
            <w:pPr>
              <w:rPr>
                <w:color w:val="000000"/>
              </w:rPr>
            </w:pPr>
            <w:r w:rsidRPr="00434513">
              <w:rPr>
                <w:color w:val="000000"/>
              </w:rPr>
              <w:t>25.0 (21.5)</w:t>
            </w:r>
          </w:p>
        </w:tc>
        <w:tc>
          <w:tcPr>
            <w:tcW w:w="1715" w:type="dxa"/>
            <w:tcBorders>
              <w:top w:val="nil"/>
              <w:left w:val="nil"/>
              <w:bottom w:val="nil"/>
              <w:right w:val="nil"/>
            </w:tcBorders>
            <w:shd w:val="clear" w:color="auto" w:fill="auto"/>
            <w:noWrap/>
            <w:vAlign w:val="bottom"/>
            <w:hideMark/>
          </w:tcPr>
          <w:p w14:paraId="2C65586C" w14:textId="77777777" w:rsidR="003B1ECB" w:rsidRPr="00434513" w:rsidRDefault="003B1ECB" w:rsidP="00ED3E8F">
            <w:pPr>
              <w:rPr>
                <w:color w:val="000000"/>
              </w:rPr>
            </w:pPr>
            <w:r w:rsidRPr="00434513">
              <w:rPr>
                <w:color w:val="000000"/>
              </w:rPr>
              <w:t>22.1 (14.9)</w:t>
            </w:r>
          </w:p>
        </w:tc>
        <w:tc>
          <w:tcPr>
            <w:tcW w:w="1451" w:type="dxa"/>
            <w:tcBorders>
              <w:top w:val="nil"/>
              <w:left w:val="nil"/>
              <w:bottom w:val="nil"/>
              <w:right w:val="nil"/>
            </w:tcBorders>
            <w:shd w:val="clear" w:color="auto" w:fill="auto"/>
            <w:noWrap/>
            <w:vAlign w:val="bottom"/>
            <w:hideMark/>
          </w:tcPr>
          <w:p w14:paraId="46FDF768" w14:textId="77777777" w:rsidR="003B1ECB" w:rsidRPr="00434513" w:rsidRDefault="003B1ECB" w:rsidP="00ED3E8F">
            <w:pPr>
              <w:rPr>
                <w:color w:val="000000"/>
              </w:rPr>
            </w:pPr>
            <w:r w:rsidRPr="00434513">
              <w:rPr>
                <w:color w:val="000000"/>
              </w:rPr>
              <w:t>17.4 (13.7)</w:t>
            </w:r>
          </w:p>
        </w:tc>
        <w:tc>
          <w:tcPr>
            <w:tcW w:w="1451" w:type="dxa"/>
            <w:tcBorders>
              <w:top w:val="nil"/>
              <w:left w:val="nil"/>
              <w:bottom w:val="nil"/>
              <w:right w:val="nil"/>
            </w:tcBorders>
            <w:shd w:val="clear" w:color="auto" w:fill="auto"/>
            <w:noWrap/>
            <w:vAlign w:val="bottom"/>
            <w:hideMark/>
          </w:tcPr>
          <w:p w14:paraId="18093843" w14:textId="77777777" w:rsidR="003B1ECB" w:rsidRPr="00434513" w:rsidRDefault="003B1ECB" w:rsidP="00ED3E8F">
            <w:pPr>
              <w:rPr>
                <w:color w:val="000000"/>
              </w:rPr>
            </w:pPr>
            <w:r w:rsidRPr="00434513">
              <w:rPr>
                <w:color w:val="000000"/>
              </w:rPr>
              <w:t>19.8 (19.0)</w:t>
            </w:r>
          </w:p>
        </w:tc>
        <w:tc>
          <w:tcPr>
            <w:tcW w:w="1451" w:type="dxa"/>
            <w:tcBorders>
              <w:top w:val="nil"/>
              <w:left w:val="nil"/>
              <w:bottom w:val="nil"/>
              <w:right w:val="nil"/>
            </w:tcBorders>
            <w:shd w:val="clear" w:color="auto" w:fill="auto"/>
            <w:noWrap/>
            <w:vAlign w:val="bottom"/>
            <w:hideMark/>
          </w:tcPr>
          <w:p w14:paraId="34C00FE6" w14:textId="77777777" w:rsidR="003B1ECB" w:rsidRPr="00434513" w:rsidRDefault="003B1ECB" w:rsidP="00ED3E8F">
            <w:pPr>
              <w:rPr>
                <w:color w:val="000000"/>
              </w:rPr>
            </w:pPr>
            <w:r w:rsidRPr="00434513">
              <w:rPr>
                <w:color w:val="000000"/>
              </w:rPr>
              <w:t>22.1 (18.7)</w:t>
            </w:r>
          </w:p>
        </w:tc>
      </w:tr>
      <w:tr w:rsidR="0052470B" w:rsidRPr="00434513" w14:paraId="588F8A29" w14:textId="77777777" w:rsidTr="0052470B">
        <w:trPr>
          <w:trHeight w:val="687"/>
        </w:trPr>
        <w:tc>
          <w:tcPr>
            <w:tcW w:w="1611" w:type="dxa"/>
            <w:tcBorders>
              <w:top w:val="nil"/>
              <w:left w:val="nil"/>
              <w:bottom w:val="nil"/>
              <w:right w:val="nil"/>
            </w:tcBorders>
            <w:shd w:val="clear" w:color="auto" w:fill="auto"/>
            <w:noWrap/>
            <w:vAlign w:val="bottom"/>
          </w:tcPr>
          <w:p w14:paraId="3B5D2496" w14:textId="004C8D0E" w:rsidR="0052470B" w:rsidRDefault="0052470B" w:rsidP="0052470B">
            <w:pPr>
              <w:rPr>
                <w:color w:val="000000"/>
              </w:rPr>
            </w:pPr>
            <w:r>
              <w:rPr>
                <w:color w:val="000000"/>
              </w:rPr>
              <w:t>TSC</w:t>
            </w:r>
            <w:r w:rsidR="00135503">
              <w:rPr>
                <w:color w:val="000000"/>
              </w:rPr>
              <w:t>-</w:t>
            </w:r>
            <w:r>
              <w:rPr>
                <w:color w:val="000000"/>
              </w:rPr>
              <w:t>P</w:t>
            </w:r>
            <w:r w:rsidR="00135503">
              <w:rPr>
                <w:color w:val="000000"/>
              </w:rPr>
              <w:t xml:space="preserve"> </w:t>
            </w:r>
            <w:r>
              <w:rPr>
                <w:color w:val="000000"/>
              </w:rPr>
              <w:t>S</w:t>
            </w:r>
            <w:r w:rsidR="00135503">
              <w:rPr>
                <w:color w:val="000000"/>
              </w:rPr>
              <w:t>everity</w:t>
            </w:r>
          </w:p>
        </w:tc>
        <w:tc>
          <w:tcPr>
            <w:tcW w:w="1611" w:type="dxa"/>
            <w:tcBorders>
              <w:top w:val="nil"/>
              <w:left w:val="nil"/>
              <w:bottom w:val="nil"/>
              <w:right w:val="nil"/>
            </w:tcBorders>
            <w:shd w:val="clear" w:color="auto" w:fill="auto"/>
            <w:noWrap/>
            <w:vAlign w:val="bottom"/>
          </w:tcPr>
          <w:p w14:paraId="7F516CAC" w14:textId="3A5A361A" w:rsidR="0052470B" w:rsidRPr="00434513" w:rsidRDefault="0052470B" w:rsidP="0052470B">
            <w:pPr>
              <w:rPr>
                <w:color w:val="000000"/>
              </w:rPr>
            </w:pPr>
            <w:r w:rsidRPr="002A5793">
              <w:rPr>
                <w:color w:val="000000"/>
              </w:rPr>
              <w:t>1.3 (0.4)</w:t>
            </w:r>
          </w:p>
        </w:tc>
        <w:tc>
          <w:tcPr>
            <w:tcW w:w="1715" w:type="dxa"/>
            <w:tcBorders>
              <w:top w:val="nil"/>
              <w:left w:val="nil"/>
              <w:bottom w:val="nil"/>
              <w:right w:val="nil"/>
            </w:tcBorders>
            <w:shd w:val="clear" w:color="auto" w:fill="auto"/>
            <w:noWrap/>
            <w:vAlign w:val="bottom"/>
          </w:tcPr>
          <w:p w14:paraId="71C30F0C" w14:textId="31DA5EDC" w:rsidR="0052470B" w:rsidRPr="00434513" w:rsidRDefault="0052470B" w:rsidP="0052470B">
            <w:pPr>
              <w:rPr>
                <w:color w:val="000000"/>
              </w:rPr>
            </w:pPr>
            <w:r w:rsidRPr="002A5793">
              <w:rPr>
                <w:color w:val="000000"/>
              </w:rPr>
              <w:t>0.9 (0.5)</w:t>
            </w:r>
          </w:p>
        </w:tc>
        <w:tc>
          <w:tcPr>
            <w:tcW w:w="1451" w:type="dxa"/>
            <w:tcBorders>
              <w:top w:val="nil"/>
              <w:left w:val="nil"/>
              <w:bottom w:val="nil"/>
              <w:right w:val="nil"/>
            </w:tcBorders>
            <w:shd w:val="clear" w:color="auto" w:fill="auto"/>
            <w:noWrap/>
            <w:vAlign w:val="bottom"/>
          </w:tcPr>
          <w:p w14:paraId="63253645" w14:textId="2175E87A" w:rsidR="0052470B" w:rsidRPr="00434513" w:rsidRDefault="0052470B" w:rsidP="0052470B">
            <w:pPr>
              <w:rPr>
                <w:color w:val="000000"/>
              </w:rPr>
            </w:pPr>
            <w:r w:rsidRPr="002A5793">
              <w:rPr>
                <w:color w:val="000000"/>
              </w:rPr>
              <w:t>1.0 (0.5)</w:t>
            </w:r>
          </w:p>
        </w:tc>
        <w:tc>
          <w:tcPr>
            <w:tcW w:w="1451" w:type="dxa"/>
            <w:tcBorders>
              <w:top w:val="nil"/>
              <w:left w:val="nil"/>
              <w:bottom w:val="nil"/>
              <w:right w:val="nil"/>
            </w:tcBorders>
            <w:shd w:val="clear" w:color="auto" w:fill="auto"/>
            <w:noWrap/>
            <w:vAlign w:val="bottom"/>
          </w:tcPr>
          <w:p w14:paraId="259FD919" w14:textId="43645FE5" w:rsidR="0052470B" w:rsidRPr="00434513" w:rsidRDefault="0052470B" w:rsidP="0052470B">
            <w:pPr>
              <w:rPr>
                <w:color w:val="000000"/>
              </w:rPr>
            </w:pPr>
            <w:r w:rsidRPr="002A5793">
              <w:rPr>
                <w:color w:val="000000"/>
              </w:rPr>
              <w:t>0.9 (0.5)</w:t>
            </w:r>
          </w:p>
        </w:tc>
        <w:tc>
          <w:tcPr>
            <w:tcW w:w="1451" w:type="dxa"/>
            <w:tcBorders>
              <w:top w:val="nil"/>
              <w:left w:val="nil"/>
              <w:bottom w:val="nil"/>
              <w:right w:val="nil"/>
            </w:tcBorders>
            <w:shd w:val="clear" w:color="auto" w:fill="auto"/>
            <w:noWrap/>
            <w:vAlign w:val="bottom"/>
          </w:tcPr>
          <w:p w14:paraId="00585A5E" w14:textId="7CBFAA48" w:rsidR="0052470B" w:rsidRPr="00434513" w:rsidRDefault="0052470B" w:rsidP="0052470B">
            <w:pPr>
              <w:rPr>
                <w:color w:val="000000"/>
              </w:rPr>
            </w:pPr>
            <w:r w:rsidRPr="002A5793">
              <w:rPr>
                <w:color w:val="000000"/>
              </w:rPr>
              <w:t>0.8 (0.7)</w:t>
            </w:r>
          </w:p>
        </w:tc>
      </w:tr>
      <w:tr w:rsidR="0052470B" w:rsidRPr="00434513" w14:paraId="3B0ED1EA" w14:textId="77777777" w:rsidTr="0052470B">
        <w:trPr>
          <w:trHeight w:val="687"/>
        </w:trPr>
        <w:tc>
          <w:tcPr>
            <w:tcW w:w="1611" w:type="dxa"/>
            <w:tcBorders>
              <w:top w:val="nil"/>
              <w:left w:val="nil"/>
              <w:bottom w:val="nil"/>
              <w:right w:val="nil"/>
            </w:tcBorders>
            <w:shd w:val="clear" w:color="auto" w:fill="auto"/>
            <w:noWrap/>
            <w:vAlign w:val="bottom"/>
          </w:tcPr>
          <w:p w14:paraId="5B6589A2" w14:textId="08A48107" w:rsidR="0052470B" w:rsidRDefault="0052470B" w:rsidP="0052470B">
            <w:pPr>
              <w:rPr>
                <w:color w:val="000000"/>
              </w:rPr>
            </w:pPr>
            <w:r>
              <w:rPr>
                <w:color w:val="000000"/>
              </w:rPr>
              <w:t>TSC</w:t>
            </w:r>
            <w:r w:rsidR="00135503">
              <w:rPr>
                <w:color w:val="000000"/>
              </w:rPr>
              <w:t>-</w:t>
            </w:r>
            <w:r>
              <w:rPr>
                <w:color w:val="000000"/>
              </w:rPr>
              <w:t>P</w:t>
            </w:r>
            <w:r w:rsidR="00135503">
              <w:rPr>
                <w:color w:val="000000"/>
              </w:rPr>
              <w:t xml:space="preserve"> </w:t>
            </w:r>
            <w:r>
              <w:rPr>
                <w:color w:val="000000"/>
              </w:rPr>
              <w:t>D</w:t>
            </w:r>
            <w:r w:rsidR="00135503">
              <w:rPr>
                <w:color w:val="000000"/>
              </w:rPr>
              <w:t>istress</w:t>
            </w:r>
          </w:p>
        </w:tc>
        <w:tc>
          <w:tcPr>
            <w:tcW w:w="1611" w:type="dxa"/>
            <w:tcBorders>
              <w:top w:val="nil"/>
              <w:left w:val="nil"/>
              <w:bottom w:val="nil"/>
              <w:right w:val="nil"/>
            </w:tcBorders>
            <w:shd w:val="clear" w:color="auto" w:fill="auto"/>
            <w:noWrap/>
            <w:vAlign w:val="bottom"/>
          </w:tcPr>
          <w:p w14:paraId="615E0349" w14:textId="42076A9F" w:rsidR="0052470B" w:rsidRPr="00434513" w:rsidRDefault="0052470B" w:rsidP="0052470B">
            <w:pPr>
              <w:rPr>
                <w:color w:val="000000"/>
              </w:rPr>
            </w:pPr>
            <w:r w:rsidRPr="002A5793">
              <w:rPr>
                <w:color w:val="000000"/>
              </w:rPr>
              <w:t>0.9 (0.4)</w:t>
            </w:r>
          </w:p>
        </w:tc>
        <w:tc>
          <w:tcPr>
            <w:tcW w:w="1715" w:type="dxa"/>
            <w:tcBorders>
              <w:top w:val="nil"/>
              <w:left w:val="nil"/>
              <w:bottom w:val="nil"/>
              <w:right w:val="nil"/>
            </w:tcBorders>
            <w:shd w:val="clear" w:color="auto" w:fill="auto"/>
            <w:noWrap/>
            <w:vAlign w:val="bottom"/>
          </w:tcPr>
          <w:p w14:paraId="6EB0F5E3" w14:textId="3192379F" w:rsidR="0052470B" w:rsidRPr="00434513" w:rsidRDefault="0052470B" w:rsidP="0052470B">
            <w:pPr>
              <w:rPr>
                <w:color w:val="000000"/>
              </w:rPr>
            </w:pPr>
            <w:r w:rsidRPr="002A5793">
              <w:rPr>
                <w:color w:val="000000"/>
              </w:rPr>
              <w:t>0.5 (0.4)</w:t>
            </w:r>
          </w:p>
        </w:tc>
        <w:tc>
          <w:tcPr>
            <w:tcW w:w="1451" w:type="dxa"/>
            <w:tcBorders>
              <w:top w:val="nil"/>
              <w:left w:val="nil"/>
              <w:bottom w:val="nil"/>
              <w:right w:val="nil"/>
            </w:tcBorders>
            <w:shd w:val="clear" w:color="auto" w:fill="auto"/>
            <w:noWrap/>
            <w:vAlign w:val="bottom"/>
          </w:tcPr>
          <w:p w14:paraId="15D5F4A9" w14:textId="516C8AC7" w:rsidR="0052470B" w:rsidRPr="00434513" w:rsidRDefault="0052470B" w:rsidP="0052470B">
            <w:pPr>
              <w:rPr>
                <w:color w:val="000000"/>
              </w:rPr>
            </w:pPr>
            <w:r w:rsidRPr="002A5793">
              <w:rPr>
                <w:color w:val="000000"/>
              </w:rPr>
              <w:t>0.6 (0.6)</w:t>
            </w:r>
          </w:p>
        </w:tc>
        <w:tc>
          <w:tcPr>
            <w:tcW w:w="1451" w:type="dxa"/>
            <w:tcBorders>
              <w:top w:val="nil"/>
              <w:left w:val="nil"/>
              <w:bottom w:val="nil"/>
              <w:right w:val="nil"/>
            </w:tcBorders>
            <w:shd w:val="clear" w:color="auto" w:fill="auto"/>
            <w:noWrap/>
            <w:vAlign w:val="bottom"/>
          </w:tcPr>
          <w:p w14:paraId="4C17C026" w14:textId="4C14E117" w:rsidR="0052470B" w:rsidRPr="00434513" w:rsidRDefault="0052470B" w:rsidP="0052470B">
            <w:pPr>
              <w:rPr>
                <w:color w:val="000000"/>
              </w:rPr>
            </w:pPr>
            <w:r w:rsidRPr="002A5793">
              <w:rPr>
                <w:color w:val="000000"/>
              </w:rPr>
              <w:t>0.4 (0.5)</w:t>
            </w:r>
          </w:p>
        </w:tc>
        <w:tc>
          <w:tcPr>
            <w:tcW w:w="1451" w:type="dxa"/>
            <w:tcBorders>
              <w:top w:val="nil"/>
              <w:left w:val="nil"/>
              <w:bottom w:val="nil"/>
              <w:right w:val="nil"/>
            </w:tcBorders>
            <w:shd w:val="clear" w:color="auto" w:fill="auto"/>
            <w:noWrap/>
            <w:vAlign w:val="bottom"/>
          </w:tcPr>
          <w:p w14:paraId="463359F4" w14:textId="580BFF4E" w:rsidR="0052470B" w:rsidRPr="00434513" w:rsidRDefault="0052470B" w:rsidP="0052470B">
            <w:pPr>
              <w:rPr>
                <w:color w:val="000000"/>
              </w:rPr>
            </w:pPr>
            <w:r w:rsidRPr="002A5793">
              <w:rPr>
                <w:color w:val="000000"/>
              </w:rPr>
              <w:t>0.5 (0.6)</w:t>
            </w:r>
          </w:p>
        </w:tc>
      </w:tr>
      <w:tr w:rsidR="0052470B" w:rsidRPr="00434513" w14:paraId="4CFA5D9A" w14:textId="77777777" w:rsidTr="0052470B">
        <w:trPr>
          <w:trHeight w:val="687"/>
        </w:trPr>
        <w:tc>
          <w:tcPr>
            <w:tcW w:w="1611" w:type="dxa"/>
            <w:tcBorders>
              <w:top w:val="nil"/>
              <w:left w:val="nil"/>
              <w:bottom w:val="nil"/>
              <w:right w:val="nil"/>
            </w:tcBorders>
            <w:shd w:val="clear" w:color="auto" w:fill="auto"/>
            <w:noWrap/>
            <w:vAlign w:val="bottom"/>
          </w:tcPr>
          <w:p w14:paraId="50CD0294" w14:textId="74482E8B" w:rsidR="0052470B" w:rsidRDefault="00936244" w:rsidP="0052470B">
            <w:pPr>
              <w:rPr>
                <w:color w:val="000000"/>
              </w:rPr>
            </w:pPr>
            <w:r>
              <w:rPr>
                <w:color w:val="000000"/>
              </w:rPr>
              <w:t>6-</w:t>
            </w:r>
            <w:r w:rsidR="0052470B">
              <w:rPr>
                <w:color w:val="000000"/>
              </w:rPr>
              <w:t>PAQ</w:t>
            </w:r>
          </w:p>
        </w:tc>
        <w:tc>
          <w:tcPr>
            <w:tcW w:w="1611" w:type="dxa"/>
            <w:tcBorders>
              <w:top w:val="nil"/>
              <w:left w:val="nil"/>
              <w:bottom w:val="nil"/>
              <w:right w:val="nil"/>
            </w:tcBorders>
            <w:shd w:val="clear" w:color="auto" w:fill="auto"/>
            <w:noWrap/>
            <w:vAlign w:val="bottom"/>
          </w:tcPr>
          <w:p w14:paraId="63E8CB0B" w14:textId="54111590" w:rsidR="0052470B" w:rsidRPr="00434513" w:rsidRDefault="0052470B" w:rsidP="0052470B">
            <w:pPr>
              <w:rPr>
                <w:color w:val="000000"/>
              </w:rPr>
            </w:pPr>
            <w:r w:rsidRPr="002A5793">
              <w:rPr>
                <w:color w:val="000000"/>
              </w:rPr>
              <w:t>31.6 (4.9)</w:t>
            </w:r>
          </w:p>
        </w:tc>
        <w:tc>
          <w:tcPr>
            <w:tcW w:w="1715" w:type="dxa"/>
            <w:tcBorders>
              <w:top w:val="nil"/>
              <w:left w:val="nil"/>
              <w:bottom w:val="nil"/>
              <w:right w:val="nil"/>
            </w:tcBorders>
            <w:shd w:val="clear" w:color="auto" w:fill="auto"/>
            <w:noWrap/>
            <w:vAlign w:val="bottom"/>
          </w:tcPr>
          <w:p w14:paraId="74C258AF" w14:textId="2E751ED0" w:rsidR="0052470B" w:rsidRPr="00434513" w:rsidRDefault="0052470B" w:rsidP="0052470B">
            <w:pPr>
              <w:rPr>
                <w:color w:val="000000"/>
              </w:rPr>
            </w:pPr>
            <w:r w:rsidRPr="002A5793">
              <w:rPr>
                <w:color w:val="000000"/>
              </w:rPr>
              <w:t>31.2 (5.5)</w:t>
            </w:r>
          </w:p>
        </w:tc>
        <w:tc>
          <w:tcPr>
            <w:tcW w:w="1451" w:type="dxa"/>
            <w:tcBorders>
              <w:top w:val="nil"/>
              <w:left w:val="nil"/>
              <w:bottom w:val="nil"/>
              <w:right w:val="nil"/>
            </w:tcBorders>
            <w:shd w:val="clear" w:color="auto" w:fill="auto"/>
            <w:noWrap/>
            <w:vAlign w:val="bottom"/>
          </w:tcPr>
          <w:p w14:paraId="5ED11CCC" w14:textId="5E2BE1CF" w:rsidR="0052470B" w:rsidRPr="00434513" w:rsidRDefault="0052470B" w:rsidP="0052470B">
            <w:pPr>
              <w:rPr>
                <w:color w:val="000000"/>
              </w:rPr>
            </w:pPr>
            <w:r w:rsidRPr="002A5793">
              <w:rPr>
                <w:color w:val="000000"/>
              </w:rPr>
              <w:t>31.4 (6.4)</w:t>
            </w:r>
          </w:p>
        </w:tc>
        <w:tc>
          <w:tcPr>
            <w:tcW w:w="1451" w:type="dxa"/>
            <w:tcBorders>
              <w:top w:val="nil"/>
              <w:left w:val="nil"/>
              <w:bottom w:val="nil"/>
              <w:right w:val="nil"/>
            </w:tcBorders>
            <w:shd w:val="clear" w:color="auto" w:fill="auto"/>
            <w:noWrap/>
            <w:vAlign w:val="bottom"/>
          </w:tcPr>
          <w:p w14:paraId="174A9541" w14:textId="5482B0A5" w:rsidR="0052470B" w:rsidRPr="00434513" w:rsidRDefault="0052470B" w:rsidP="0052470B">
            <w:pPr>
              <w:rPr>
                <w:color w:val="000000"/>
              </w:rPr>
            </w:pPr>
            <w:r w:rsidRPr="002A5793">
              <w:rPr>
                <w:color w:val="000000"/>
              </w:rPr>
              <w:t>32.5 (6.2)</w:t>
            </w:r>
          </w:p>
        </w:tc>
        <w:tc>
          <w:tcPr>
            <w:tcW w:w="1451" w:type="dxa"/>
            <w:tcBorders>
              <w:top w:val="nil"/>
              <w:left w:val="nil"/>
              <w:bottom w:val="nil"/>
              <w:right w:val="nil"/>
            </w:tcBorders>
            <w:shd w:val="clear" w:color="auto" w:fill="auto"/>
            <w:noWrap/>
            <w:vAlign w:val="bottom"/>
          </w:tcPr>
          <w:p w14:paraId="234C9B9B" w14:textId="34BF79BE" w:rsidR="0052470B" w:rsidRPr="00434513" w:rsidRDefault="0052470B" w:rsidP="0052470B">
            <w:pPr>
              <w:rPr>
                <w:color w:val="000000"/>
              </w:rPr>
            </w:pPr>
            <w:r w:rsidRPr="002A5793">
              <w:rPr>
                <w:color w:val="000000"/>
              </w:rPr>
              <w:t>29.9 (6.1)</w:t>
            </w:r>
          </w:p>
        </w:tc>
      </w:tr>
      <w:tr w:rsidR="0052470B" w:rsidRPr="00434513" w14:paraId="5CD8BDC1" w14:textId="77777777" w:rsidTr="00ED3E8F">
        <w:trPr>
          <w:trHeight w:val="687"/>
        </w:trPr>
        <w:tc>
          <w:tcPr>
            <w:tcW w:w="1611" w:type="dxa"/>
            <w:tcBorders>
              <w:top w:val="nil"/>
              <w:left w:val="nil"/>
              <w:bottom w:val="single" w:sz="12" w:space="0" w:color="auto"/>
              <w:right w:val="nil"/>
            </w:tcBorders>
            <w:shd w:val="clear" w:color="auto" w:fill="auto"/>
            <w:noWrap/>
            <w:vAlign w:val="bottom"/>
          </w:tcPr>
          <w:p w14:paraId="6DDB79D4" w14:textId="30AE32A9" w:rsidR="0052470B" w:rsidRDefault="0052470B" w:rsidP="0052470B">
            <w:pPr>
              <w:rPr>
                <w:color w:val="000000"/>
              </w:rPr>
            </w:pPr>
            <w:r>
              <w:rPr>
                <w:color w:val="000000"/>
              </w:rPr>
              <w:t>YOQ-P</w:t>
            </w:r>
          </w:p>
        </w:tc>
        <w:tc>
          <w:tcPr>
            <w:tcW w:w="1611" w:type="dxa"/>
            <w:tcBorders>
              <w:top w:val="nil"/>
              <w:left w:val="nil"/>
              <w:bottom w:val="single" w:sz="12" w:space="0" w:color="auto"/>
              <w:right w:val="nil"/>
            </w:tcBorders>
            <w:shd w:val="clear" w:color="auto" w:fill="auto"/>
            <w:noWrap/>
            <w:vAlign w:val="bottom"/>
          </w:tcPr>
          <w:p w14:paraId="17DDBA4C" w14:textId="25DA3F8F" w:rsidR="0052470B" w:rsidRPr="00434513" w:rsidRDefault="0052470B" w:rsidP="0052470B">
            <w:pPr>
              <w:rPr>
                <w:color w:val="000000"/>
              </w:rPr>
            </w:pPr>
            <w:r w:rsidRPr="002A5793">
              <w:rPr>
                <w:color w:val="000000"/>
              </w:rPr>
              <w:t>30.6 (18.1)</w:t>
            </w:r>
          </w:p>
        </w:tc>
        <w:tc>
          <w:tcPr>
            <w:tcW w:w="1715" w:type="dxa"/>
            <w:tcBorders>
              <w:top w:val="nil"/>
              <w:left w:val="nil"/>
              <w:bottom w:val="single" w:sz="12" w:space="0" w:color="auto"/>
              <w:right w:val="nil"/>
            </w:tcBorders>
            <w:shd w:val="clear" w:color="auto" w:fill="auto"/>
            <w:noWrap/>
            <w:vAlign w:val="bottom"/>
          </w:tcPr>
          <w:p w14:paraId="3040A7E3" w14:textId="40C51356" w:rsidR="0052470B" w:rsidRPr="00434513" w:rsidRDefault="0052470B" w:rsidP="0052470B">
            <w:pPr>
              <w:rPr>
                <w:color w:val="000000"/>
              </w:rPr>
            </w:pPr>
            <w:r w:rsidRPr="002A5793">
              <w:rPr>
                <w:color w:val="000000"/>
              </w:rPr>
              <w:t>20.7 (15.3)</w:t>
            </w:r>
          </w:p>
        </w:tc>
        <w:tc>
          <w:tcPr>
            <w:tcW w:w="1451" w:type="dxa"/>
            <w:tcBorders>
              <w:top w:val="nil"/>
              <w:left w:val="nil"/>
              <w:bottom w:val="single" w:sz="12" w:space="0" w:color="auto"/>
              <w:right w:val="nil"/>
            </w:tcBorders>
            <w:shd w:val="clear" w:color="auto" w:fill="auto"/>
            <w:noWrap/>
            <w:vAlign w:val="bottom"/>
          </w:tcPr>
          <w:p w14:paraId="3B7584BC" w14:textId="6383A188" w:rsidR="0052470B" w:rsidRPr="00434513" w:rsidRDefault="0052470B" w:rsidP="0052470B">
            <w:pPr>
              <w:rPr>
                <w:color w:val="000000"/>
              </w:rPr>
            </w:pPr>
            <w:r w:rsidRPr="002A5793">
              <w:rPr>
                <w:color w:val="000000"/>
              </w:rPr>
              <w:t>18.3 (11.4)</w:t>
            </w:r>
          </w:p>
        </w:tc>
        <w:tc>
          <w:tcPr>
            <w:tcW w:w="1451" w:type="dxa"/>
            <w:tcBorders>
              <w:top w:val="nil"/>
              <w:left w:val="nil"/>
              <w:bottom w:val="single" w:sz="12" w:space="0" w:color="auto"/>
              <w:right w:val="nil"/>
            </w:tcBorders>
            <w:shd w:val="clear" w:color="auto" w:fill="auto"/>
            <w:noWrap/>
            <w:vAlign w:val="bottom"/>
          </w:tcPr>
          <w:p w14:paraId="2671EEE6" w14:textId="4BD8CFB3" w:rsidR="0052470B" w:rsidRPr="00434513" w:rsidRDefault="0052470B" w:rsidP="0052470B">
            <w:pPr>
              <w:rPr>
                <w:color w:val="000000"/>
              </w:rPr>
            </w:pPr>
            <w:r w:rsidRPr="002A5793">
              <w:rPr>
                <w:color w:val="000000"/>
              </w:rPr>
              <w:t>19.2 (15.3)</w:t>
            </w:r>
          </w:p>
        </w:tc>
        <w:tc>
          <w:tcPr>
            <w:tcW w:w="1451" w:type="dxa"/>
            <w:tcBorders>
              <w:top w:val="nil"/>
              <w:left w:val="nil"/>
              <w:bottom w:val="single" w:sz="12" w:space="0" w:color="auto"/>
              <w:right w:val="nil"/>
            </w:tcBorders>
            <w:shd w:val="clear" w:color="auto" w:fill="auto"/>
            <w:noWrap/>
            <w:vAlign w:val="bottom"/>
          </w:tcPr>
          <w:p w14:paraId="7BE6B5C8" w14:textId="57A4D214" w:rsidR="0052470B" w:rsidRPr="00434513" w:rsidRDefault="0052470B" w:rsidP="0052470B">
            <w:pPr>
              <w:rPr>
                <w:color w:val="000000"/>
              </w:rPr>
            </w:pPr>
            <w:r w:rsidRPr="002A5793">
              <w:rPr>
                <w:color w:val="000000"/>
              </w:rPr>
              <w:t>16.6 (13.2)</w:t>
            </w:r>
          </w:p>
        </w:tc>
      </w:tr>
    </w:tbl>
    <w:p w14:paraId="64F54D9B" w14:textId="5EAE8334" w:rsidR="000550DA" w:rsidRDefault="003B1ECB">
      <w:r>
        <w:rPr>
          <w:i/>
          <w:iCs/>
        </w:rPr>
        <w:t>Note.</w:t>
      </w:r>
      <w:r>
        <w:t xml:space="preserve"> </w:t>
      </w:r>
      <w:r w:rsidRPr="005176AF">
        <w:t>TSC</w:t>
      </w:r>
      <w:r w:rsidR="005D5B6F">
        <w:t>-Y</w:t>
      </w:r>
      <w:r>
        <w:t xml:space="preserve"> </w:t>
      </w:r>
      <w:r w:rsidRPr="005176AF">
        <w:t>= Trichotillomania Scale for C</w:t>
      </w:r>
      <w:r>
        <w:t>hildren</w:t>
      </w:r>
      <w:r w:rsidRPr="005176AF">
        <w:t xml:space="preserve"> (</w:t>
      </w:r>
      <w:r>
        <w:t>Youth</w:t>
      </w:r>
      <w:r w:rsidRPr="005176AF">
        <w:t xml:space="preserve">-Report); </w:t>
      </w:r>
      <w:r>
        <w:t>AFQ</w:t>
      </w:r>
      <w:r w:rsidR="0051049B">
        <w:t>-</w:t>
      </w:r>
      <w:r>
        <w:t>Y</w:t>
      </w:r>
      <w:r w:rsidR="0051049B">
        <w:t>8</w:t>
      </w:r>
      <w:r>
        <w:t xml:space="preserve"> = Avoidance and Fusion Questionnaire for Youth;</w:t>
      </w:r>
      <w:r w:rsidRPr="00B34CD2">
        <w:t xml:space="preserve"> </w:t>
      </w:r>
      <w:r>
        <w:t xml:space="preserve">AAQ-TTM = Acceptance and Action Questionnaire for Trichotillomania; </w:t>
      </w:r>
      <w:r w:rsidRPr="005176AF">
        <w:t>YOQ-</w:t>
      </w:r>
      <w:r>
        <w:t>C</w:t>
      </w:r>
      <w:r w:rsidRPr="005176AF">
        <w:t xml:space="preserve"> = Youth Outcomes Questionnaire (</w:t>
      </w:r>
      <w:r>
        <w:t>Youth</w:t>
      </w:r>
      <w:r w:rsidRPr="005176AF">
        <w:t>-Report)</w:t>
      </w:r>
      <w:r w:rsidR="00C47176">
        <w:t>;</w:t>
      </w:r>
      <w:r w:rsidR="00C47176" w:rsidRPr="00C47176">
        <w:t xml:space="preserve"> </w:t>
      </w:r>
      <w:r w:rsidR="00C47176" w:rsidRPr="005176AF">
        <w:t>TSC-</w:t>
      </w:r>
      <w:r w:rsidR="00C47176">
        <w:t>P</w:t>
      </w:r>
      <w:r w:rsidR="00C47176" w:rsidRPr="005176AF">
        <w:t xml:space="preserve"> = Trichotillomania Scale for C</w:t>
      </w:r>
      <w:r w:rsidR="00C47176">
        <w:t>hildren</w:t>
      </w:r>
      <w:r w:rsidR="00C47176" w:rsidRPr="005176AF">
        <w:t xml:space="preserve"> (</w:t>
      </w:r>
      <w:r w:rsidR="00C47176">
        <w:t>Parent</w:t>
      </w:r>
      <w:r w:rsidR="00C47176" w:rsidRPr="005176AF">
        <w:t xml:space="preserve">-Report); YOQ-P = Youth Outcomes Questionnaire (Parent-Report); </w:t>
      </w:r>
      <w:r w:rsidR="00936244">
        <w:t>6-</w:t>
      </w:r>
      <w:r w:rsidR="00C47176">
        <w:t>PAQ = Parental Acceptance Questionnaire</w:t>
      </w:r>
    </w:p>
    <w:p w14:paraId="7EAB45A4" w14:textId="60F8ACDA" w:rsidR="003B1ECB" w:rsidRPr="00434513" w:rsidRDefault="000550DA">
      <w:r>
        <w:rPr>
          <w:vertAlign w:val="superscript"/>
        </w:rPr>
        <w:t>1</w:t>
      </w:r>
      <w:r>
        <w:t>Higher scores indicate greater improvement.</w:t>
      </w:r>
      <w:r w:rsidR="003B1ECB" w:rsidRPr="00434513">
        <w:br w:type="page"/>
      </w:r>
    </w:p>
    <w:p w14:paraId="0B9BB019" w14:textId="4C9BB067" w:rsidR="003B1ECB" w:rsidRPr="001629B6" w:rsidRDefault="003B1ECB" w:rsidP="00ED3E8F">
      <w:r w:rsidRPr="001629B6">
        <w:lastRenderedPageBreak/>
        <w:t xml:space="preserve">Table </w:t>
      </w:r>
      <w:r w:rsidR="0078029C">
        <w:t>2</w:t>
      </w:r>
    </w:p>
    <w:p w14:paraId="6EBF6AF2" w14:textId="77777777" w:rsidR="003B1ECB" w:rsidRPr="00E314F6" w:rsidRDefault="003B1ECB" w:rsidP="00ED3E8F">
      <w:pPr>
        <w:rPr>
          <w:i/>
          <w:iCs/>
        </w:rPr>
      </w:pPr>
      <w:r w:rsidRPr="00E314F6">
        <w:rPr>
          <w:i/>
          <w:iCs/>
        </w:rPr>
        <w:t>Regression coefficients and 95% confidence intervals from multilevel models for youth-rated outcomes</w:t>
      </w:r>
    </w:p>
    <w:tbl>
      <w:tblPr>
        <w:tblW w:w="0" w:type="auto"/>
        <w:tblBorders>
          <w:top w:val="single" w:sz="12" w:space="0" w:color="000000"/>
        </w:tblBorders>
        <w:tblCellMar>
          <w:top w:w="15" w:type="dxa"/>
          <w:left w:w="15" w:type="dxa"/>
          <w:bottom w:w="15" w:type="dxa"/>
          <w:right w:w="15" w:type="dxa"/>
        </w:tblCellMar>
        <w:tblLook w:val="04A0" w:firstRow="1" w:lastRow="0" w:firstColumn="1" w:lastColumn="0" w:noHBand="0" w:noVBand="1"/>
      </w:tblPr>
      <w:tblGrid>
        <w:gridCol w:w="2470"/>
        <w:gridCol w:w="2077"/>
        <w:gridCol w:w="2077"/>
        <w:gridCol w:w="2197"/>
        <w:gridCol w:w="2197"/>
        <w:gridCol w:w="1897"/>
      </w:tblGrid>
      <w:tr w:rsidR="003B1ECB" w:rsidRPr="001629B6" w14:paraId="1535916A" w14:textId="77777777" w:rsidTr="00ED3E8F">
        <w:trPr>
          <w:tblHeader/>
        </w:trPr>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4076CB23" w14:textId="77777777" w:rsidR="003B1ECB" w:rsidRPr="001629B6" w:rsidRDefault="003B1ECB" w:rsidP="00ED3E8F">
            <w:pPr>
              <w:spacing w:before="150" w:after="150"/>
              <w:jc w:val="center"/>
              <w:rPr>
                <w:color w:val="000000"/>
              </w:rPr>
            </w:pPr>
            <w:r w:rsidRPr="001629B6">
              <w:rPr>
                <w:color w:val="000000"/>
              </w:rPr>
              <w:t> </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285BD60F" w14:textId="77777777" w:rsidR="003B1ECB" w:rsidRPr="001629B6" w:rsidRDefault="003B1ECB" w:rsidP="00ED3E8F">
            <w:pPr>
              <w:spacing w:before="150" w:after="150"/>
              <w:jc w:val="center"/>
              <w:rPr>
                <w:color w:val="000000"/>
              </w:rPr>
            </w:pPr>
            <w:r w:rsidRPr="001629B6">
              <w:rPr>
                <w:color w:val="000000"/>
              </w:rPr>
              <w:t>TSC-Y Severity</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662FB6D8" w14:textId="77777777" w:rsidR="003B1ECB" w:rsidRPr="001629B6" w:rsidRDefault="003B1ECB" w:rsidP="00ED3E8F">
            <w:pPr>
              <w:spacing w:before="150" w:after="150"/>
              <w:jc w:val="center"/>
              <w:rPr>
                <w:color w:val="000000"/>
              </w:rPr>
            </w:pPr>
            <w:r w:rsidRPr="001629B6">
              <w:rPr>
                <w:color w:val="000000"/>
              </w:rPr>
              <w:t>TSC-Y Distress</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4F865B8D" w14:textId="77777777" w:rsidR="003B1ECB" w:rsidRPr="001629B6" w:rsidRDefault="003B1ECB" w:rsidP="00ED3E8F">
            <w:pPr>
              <w:spacing w:before="150" w:after="150"/>
              <w:jc w:val="center"/>
              <w:rPr>
                <w:color w:val="000000"/>
              </w:rPr>
            </w:pPr>
            <w:r w:rsidRPr="001629B6">
              <w:rPr>
                <w:color w:val="000000"/>
              </w:rPr>
              <w:t>YOQ-Y</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70731D51" w14:textId="77777777" w:rsidR="003B1ECB" w:rsidRPr="001629B6" w:rsidRDefault="003B1ECB" w:rsidP="00ED3E8F">
            <w:pPr>
              <w:spacing w:before="150" w:after="150"/>
              <w:jc w:val="center"/>
              <w:rPr>
                <w:color w:val="000000"/>
              </w:rPr>
            </w:pPr>
            <w:r w:rsidRPr="001629B6">
              <w:rPr>
                <w:color w:val="000000"/>
              </w:rPr>
              <w:t>AAQ-TTM</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0B389840" w14:textId="77777777" w:rsidR="003B1ECB" w:rsidRPr="001629B6" w:rsidRDefault="003B1ECB" w:rsidP="00ED3E8F">
            <w:pPr>
              <w:spacing w:before="150" w:after="150"/>
              <w:jc w:val="center"/>
              <w:rPr>
                <w:color w:val="000000"/>
              </w:rPr>
            </w:pPr>
            <w:r w:rsidRPr="001629B6">
              <w:rPr>
                <w:color w:val="000000"/>
              </w:rPr>
              <w:t>AFQ</w:t>
            </w:r>
            <w:r w:rsidR="0051049B">
              <w:rPr>
                <w:color w:val="000000"/>
              </w:rPr>
              <w:t>-</w:t>
            </w:r>
            <w:r w:rsidRPr="001629B6">
              <w:rPr>
                <w:color w:val="000000"/>
              </w:rPr>
              <w:t>Y</w:t>
            </w:r>
            <w:r w:rsidR="0051049B">
              <w:rPr>
                <w:color w:val="000000"/>
              </w:rPr>
              <w:t>8</w:t>
            </w:r>
          </w:p>
        </w:tc>
      </w:tr>
      <w:tr w:rsidR="003B1ECB" w:rsidRPr="001629B6" w14:paraId="39ABB198" w14:textId="77777777" w:rsidTr="00ED3E8F">
        <w:tc>
          <w:tcPr>
            <w:tcW w:w="0" w:type="auto"/>
            <w:tcBorders>
              <w:top w:val="single" w:sz="12" w:space="0" w:color="000000"/>
            </w:tcBorders>
            <w:tcMar>
              <w:top w:w="15" w:type="dxa"/>
              <w:left w:w="75" w:type="dxa"/>
              <w:bottom w:w="15" w:type="dxa"/>
              <w:right w:w="75" w:type="dxa"/>
            </w:tcMar>
            <w:vAlign w:val="center"/>
            <w:hideMark/>
          </w:tcPr>
          <w:p w14:paraId="431851E5" w14:textId="77777777" w:rsidR="003B1ECB" w:rsidRPr="001629B6" w:rsidRDefault="003B1ECB" w:rsidP="00ED3E8F">
            <w:pPr>
              <w:spacing w:before="150" w:after="150"/>
              <w:rPr>
                <w:color w:val="000000"/>
              </w:rPr>
            </w:pPr>
            <w:r w:rsidRPr="001629B6">
              <w:rPr>
                <w:color w:val="000000"/>
              </w:rPr>
              <w:t>(Intercept)</w:t>
            </w:r>
          </w:p>
        </w:tc>
        <w:tc>
          <w:tcPr>
            <w:tcW w:w="0" w:type="auto"/>
            <w:tcBorders>
              <w:top w:val="single" w:sz="12" w:space="0" w:color="000000"/>
            </w:tcBorders>
            <w:tcMar>
              <w:top w:w="15" w:type="dxa"/>
              <w:left w:w="75" w:type="dxa"/>
              <w:bottom w:w="15" w:type="dxa"/>
              <w:right w:w="75" w:type="dxa"/>
            </w:tcMar>
            <w:vAlign w:val="center"/>
            <w:hideMark/>
          </w:tcPr>
          <w:p w14:paraId="170A957C" w14:textId="77777777" w:rsidR="003B1ECB" w:rsidRPr="001629B6" w:rsidRDefault="003B1ECB" w:rsidP="00ED3E8F">
            <w:pPr>
              <w:spacing w:before="150" w:after="150"/>
              <w:rPr>
                <w:color w:val="000000"/>
              </w:rPr>
            </w:pPr>
            <w:r w:rsidRPr="001629B6">
              <w:rPr>
                <w:color w:val="000000"/>
              </w:rPr>
              <w:t xml:space="preserve">1.03 [ 0.85; </w:t>
            </w:r>
            <w:proofErr w:type="gramStart"/>
            <w:r w:rsidRPr="001629B6">
              <w:rPr>
                <w:color w:val="000000"/>
              </w:rPr>
              <w:t>1.21]</w:t>
            </w:r>
            <w:r w:rsidRPr="001629B6">
              <w:rPr>
                <w:color w:val="000000"/>
                <w:vertAlign w:val="superscript"/>
              </w:rPr>
              <w:t>*</w:t>
            </w:r>
            <w:proofErr w:type="gramEnd"/>
          </w:p>
        </w:tc>
        <w:tc>
          <w:tcPr>
            <w:tcW w:w="0" w:type="auto"/>
            <w:tcBorders>
              <w:top w:val="single" w:sz="12" w:space="0" w:color="000000"/>
            </w:tcBorders>
            <w:tcMar>
              <w:top w:w="15" w:type="dxa"/>
              <w:left w:w="75" w:type="dxa"/>
              <w:bottom w:w="15" w:type="dxa"/>
              <w:right w:w="75" w:type="dxa"/>
            </w:tcMar>
            <w:vAlign w:val="center"/>
            <w:hideMark/>
          </w:tcPr>
          <w:p w14:paraId="0C1580FB" w14:textId="77777777" w:rsidR="003B1ECB" w:rsidRPr="001629B6" w:rsidRDefault="003B1ECB" w:rsidP="00ED3E8F">
            <w:pPr>
              <w:spacing w:before="150" w:after="150"/>
              <w:rPr>
                <w:color w:val="000000"/>
              </w:rPr>
            </w:pPr>
            <w:r w:rsidRPr="001629B6">
              <w:rPr>
                <w:color w:val="000000"/>
              </w:rPr>
              <w:t xml:space="preserve">0.69 [ 0.49; </w:t>
            </w:r>
            <w:proofErr w:type="gramStart"/>
            <w:r w:rsidRPr="001629B6">
              <w:rPr>
                <w:color w:val="000000"/>
              </w:rPr>
              <w:t>0.88]</w:t>
            </w:r>
            <w:r w:rsidRPr="001629B6">
              <w:rPr>
                <w:color w:val="000000"/>
                <w:vertAlign w:val="superscript"/>
              </w:rPr>
              <w:t>*</w:t>
            </w:r>
            <w:proofErr w:type="gramEnd"/>
          </w:p>
        </w:tc>
        <w:tc>
          <w:tcPr>
            <w:tcW w:w="0" w:type="auto"/>
            <w:tcBorders>
              <w:top w:val="single" w:sz="12" w:space="0" w:color="000000"/>
            </w:tcBorders>
            <w:tcMar>
              <w:top w:w="15" w:type="dxa"/>
              <w:left w:w="75" w:type="dxa"/>
              <w:bottom w:w="15" w:type="dxa"/>
              <w:right w:w="75" w:type="dxa"/>
            </w:tcMar>
            <w:vAlign w:val="center"/>
            <w:hideMark/>
          </w:tcPr>
          <w:p w14:paraId="3001C2E0" w14:textId="77777777" w:rsidR="003B1ECB" w:rsidRPr="001629B6" w:rsidRDefault="003B1ECB" w:rsidP="00ED3E8F">
            <w:pPr>
              <w:spacing w:before="150" w:after="150"/>
              <w:rPr>
                <w:color w:val="000000"/>
              </w:rPr>
            </w:pPr>
            <w:r w:rsidRPr="001629B6">
              <w:rPr>
                <w:color w:val="000000"/>
              </w:rPr>
              <w:t xml:space="preserve">23.51 [17.38; </w:t>
            </w:r>
            <w:proofErr w:type="gramStart"/>
            <w:r w:rsidRPr="001629B6">
              <w:rPr>
                <w:color w:val="000000"/>
              </w:rPr>
              <w:t>29.64]</w:t>
            </w:r>
            <w:r w:rsidRPr="001629B6">
              <w:rPr>
                <w:color w:val="000000"/>
                <w:vertAlign w:val="superscript"/>
              </w:rPr>
              <w:t>*</w:t>
            </w:r>
            <w:proofErr w:type="gramEnd"/>
          </w:p>
        </w:tc>
        <w:tc>
          <w:tcPr>
            <w:tcW w:w="0" w:type="auto"/>
            <w:tcBorders>
              <w:top w:val="single" w:sz="12" w:space="0" w:color="000000"/>
            </w:tcBorders>
            <w:tcMar>
              <w:top w:w="15" w:type="dxa"/>
              <w:left w:w="75" w:type="dxa"/>
              <w:bottom w:w="15" w:type="dxa"/>
              <w:right w:w="75" w:type="dxa"/>
            </w:tcMar>
            <w:vAlign w:val="center"/>
            <w:hideMark/>
          </w:tcPr>
          <w:p w14:paraId="4E9DCCDD" w14:textId="77777777" w:rsidR="003B1ECB" w:rsidRPr="001629B6" w:rsidRDefault="003B1ECB" w:rsidP="00ED3E8F">
            <w:pPr>
              <w:spacing w:before="150" w:after="150"/>
              <w:rPr>
                <w:color w:val="000000"/>
              </w:rPr>
            </w:pPr>
            <w:r w:rsidRPr="001629B6">
              <w:rPr>
                <w:color w:val="000000"/>
              </w:rPr>
              <w:t xml:space="preserve">43.98 [39.34; </w:t>
            </w:r>
            <w:proofErr w:type="gramStart"/>
            <w:r w:rsidRPr="001629B6">
              <w:rPr>
                <w:color w:val="000000"/>
              </w:rPr>
              <w:t>48.62]</w:t>
            </w:r>
            <w:r w:rsidRPr="001629B6">
              <w:rPr>
                <w:color w:val="000000"/>
                <w:vertAlign w:val="superscript"/>
              </w:rPr>
              <w:t>*</w:t>
            </w:r>
            <w:proofErr w:type="gramEnd"/>
          </w:p>
        </w:tc>
        <w:tc>
          <w:tcPr>
            <w:tcW w:w="0" w:type="auto"/>
            <w:tcBorders>
              <w:top w:val="single" w:sz="12" w:space="0" w:color="000000"/>
            </w:tcBorders>
            <w:tcMar>
              <w:top w:w="15" w:type="dxa"/>
              <w:left w:w="75" w:type="dxa"/>
              <w:bottom w:w="15" w:type="dxa"/>
              <w:right w:w="75" w:type="dxa"/>
            </w:tcMar>
            <w:vAlign w:val="center"/>
            <w:hideMark/>
          </w:tcPr>
          <w:p w14:paraId="16C90AB0" w14:textId="77777777" w:rsidR="003B1ECB" w:rsidRPr="001629B6" w:rsidRDefault="003B1ECB" w:rsidP="00ED3E8F">
            <w:pPr>
              <w:spacing w:before="150" w:after="150"/>
              <w:rPr>
                <w:color w:val="000000"/>
              </w:rPr>
            </w:pPr>
            <w:r w:rsidRPr="001629B6">
              <w:rPr>
                <w:color w:val="000000"/>
              </w:rPr>
              <w:t xml:space="preserve">6.04 [ 3.92; </w:t>
            </w:r>
            <w:proofErr w:type="gramStart"/>
            <w:r w:rsidRPr="001629B6">
              <w:rPr>
                <w:color w:val="000000"/>
              </w:rPr>
              <w:t>8.16]</w:t>
            </w:r>
            <w:r w:rsidRPr="001629B6">
              <w:rPr>
                <w:color w:val="000000"/>
                <w:vertAlign w:val="superscript"/>
              </w:rPr>
              <w:t>*</w:t>
            </w:r>
            <w:proofErr w:type="gramEnd"/>
          </w:p>
        </w:tc>
      </w:tr>
      <w:tr w:rsidR="003B1ECB" w:rsidRPr="001629B6" w14:paraId="4CE25206" w14:textId="77777777" w:rsidTr="00ED3E8F">
        <w:tc>
          <w:tcPr>
            <w:tcW w:w="0" w:type="auto"/>
            <w:tcMar>
              <w:top w:w="15" w:type="dxa"/>
              <w:left w:w="75" w:type="dxa"/>
              <w:bottom w:w="15" w:type="dxa"/>
              <w:right w:w="75" w:type="dxa"/>
            </w:tcMar>
            <w:vAlign w:val="center"/>
            <w:hideMark/>
          </w:tcPr>
          <w:p w14:paraId="0AC8DBC7" w14:textId="77777777" w:rsidR="003B1ECB" w:rsidRPr="001629B6" w:rsidRDefault="003B1ECB" w:rsidP="00ED3E8F">
            <w:pPr>
              <w:spacing w:before="150" w:after="150"/>
              <w:rPr>
                <w:color w:val="000000"/>
              </w:rPr>
            </w:pPr>
            <w:r w:rsidRPr="001629B6">
              <w:rPr>
                <w:color w:val="000000"/>
              </w:rPr>
              <w:t>Weeks</w:t>
            </w:r>
          </w:p>
        </w:tc>
        <w:tc>
          <w:tcPr>
            <w:tcW w:w="0" w:type="auto"/>
            <w:tcMar>
              <w:top w:w="15" w:type="dxa"/>
              <w:left w:w="75" w:type="dxa"/>
              <w:bottom w:w="15" w:type="dxa"/>
              <w:right w:w="75" w:type="dxa"/>
            </w:tcMar>
            <w:vAlign w:val="center"/>
            <w:hideMark/>
          </w:tcPr>
          <w:p w14:paraId="56A426AD" w14:textId="77777777" w:rsidR="003B1ECB" w:rsidRPr="001629B6" w:rsidRDefault="003B1ECB" w:rsidP="00ED3E8F">
            <w:pPr>
              <w:spacing w:before="150" w:after="150"/>
              <w:rPr>
                <w:color w:val="000000"/>
              </w:rPr>
            </w:pPr>
            <w:r w:rsidRPr="001629B6">
              <w:rPr>
                <w:color w:val="000000"/>
              </w:rPr>
              <w:t>-0.01 [-0.01; -0.</w:t>
            </w:r>
            <w:proofErr w:type="gramStart"/>
            <w:r w:rsidRPr="001629B6">
              <w:rPr>
                <w:color w:val="000000"/>
              </w:rPr>
              <w:t>00]</w:t>
            </w:r>
            <w:r w:rsidRPr="001629B6">
              <w:rPr>
                <w:color w:val="000000"/>
                <w:vertAlign w:val="superscript"/>
              </w:rPr>
              <w:t>*</w:t>
            </w:r>
            <w:proofErr w:type="gramEnd"/>
          </w:p>
        </w:tc>
        <w:tc>
          <w:tcPr>
            <w:tcW w:w="0" w:type="auto"/>
            <w:tcMar>
              <w:top w:w="15" w:type="dxa"/>
              <w:left w:w="75" w:type="dxa"/>
              <w:bottom w:w="15" w:type="dxa"/>
              <w:right w:w="75" w:type="dxa"/>
            </w:tcMar>
            <w:vAlign w:val="center"/>
            <w:hideMark/>
          </w:tcPr>
          <w:p w14:paraId="726C9C54" w14:textId="77777777" w:rsidR="003B1ECB" w:rsidRPr="001629B6" w:rsidRDefault="003B1ECB" w:rsidP="00ED3E8F">
            <w:pPr>
              <w:spacing w:before="150" w:after="150"/>
              <w:rPr>
                <w:color w:val="000000"/>
              </w:rPr>
            </w:pPr>
            <w:r w:rsidRPr="001629B6">
              <w:rPr>
                <w:color w:val="000000"/>
              </w:rPr>
              <w:t>-0.00 [-0.01; -0.</w:t>
            </w:r>
            <w:proofErr w:type="gramStart"/>
            <w:r w:rsidRPr="001629B6">
              <w:rPr>
                <w:color w:val="000000"/>
              </w:rPr>
              <w:t>00]</w:t>
            </w:r>
            <w:r w:rsidRPr="001629B6">
              <w:rPr>
                <w:color w:val="000000"/>
                <w:vertAlign w:val="superscript"/>
              </w:rPr>
              <w:t>*</w:t>
            </w:r>
            <w:proofErr w:type="gramEnd"/>
          </w:p>
        </w:tc>
        <w:tc>
          <w:tcPr>
            <w:tcW w:w="0" w:type="auto"/>
            <w:tcMar>
              <w:top w:w="15" w:type="dxa"/>
              <w:left w:w="75" w:type="dxa"/>
              <w:bottom w:w="15" w:type="dxa"/>
              <w:right w:w="75" w:type="dxa"/>
            </w:tcMar>
            <w:vAlign w:val="center"/>
            <w:hideMark/>
          </w:tcPr>
          <w:p w14:paraId="4BB6286B" w14:textId="77777777" w:rsidR="003B1ECB" w:rsidRPr="001629B6" w:rsidRDefault="003B1ECB" w:rsidP="00ED3E8F">
            <w:pPr>
              <w:spacing w:before="150" w:after="150"/>
              <w:rPr>
                <w:color w:val="000000"/>
              </w:rPr>
            </w:pPr>
            <w:r w:rsidRPr="001629B6">
              <w:rPr>
                <w:color w:val="000000"/>
              </w:rPr>
              <w:t>-0.03 [-0.11; 0.05]</w:t>
            </w:r>
          </w:p>
        </w:tc>
        <w:tc>
          <w:tcPr>
            <w:tcW w:w="0" w:type="auto"/>
            <w:tcMar>
              <w:top w:w="15" w:type="dxa"/>
              <w:left w:w="75" w:type="dxa"/>
              <w:bottom w:w="15" w:type="dxa"/>
              <w:right w:w="75" w:type="dxa"/>
            </w:tcMar>
            <w:vAlign w:val="center"/>
            <w:hideMark/>
          </w:tcPr>
          <w:p w14:paraId="26396BE9" w14:textId="77777777" w:rsidR="003B1ECB" w:rsidRPr="001629B6" w:rsidRDefault="003B1ECB" w:rsidP="00ED3E8F">
            <w:pPr>
              <w:spacing w:before="150" w:after="150"/>
              <w:rPr>
                <w:color w:val="000000"/>
              </w:rPr>
            </w:pPr>
            <w:r w:rsidRPr="001629B6">
              <w:rPr>
                <w:color w:val="000000"/>
              </w:rPr>
              <w:t xml:space="preserve">0.06 [ 0.01; </w:t>
            </w:r>
            <w:proofErr w:type="gramStart"/>
            <w:r w:rsidRPr="001629B6">
              <w:rPr>
                <w:color w:val="000000"/>
              </w:rPr>
              <w:t>0.11]</w:t>
            </w:r>
            <w:r w:rsidRPr="001629B6">
              <w:rPr>
                <w:color w:val="000000"/>
                <w:vertAlign w:val="superscript"/>
              </w:rPr>
              <w:t>*</w:t>
            </w:r>
            <w:proofErr w:type="gramEnd"/>
          </w:p>
        </w:tc>
        <w:tc>
          <w:tcPr>
            <w:tcW w:w="0" w:type="auto"/>
            <w:tcMar>
              <w:top w:w="15" w:type="dxa"/>
              <w:left w:w="75" w:type="dxa"/>
              <w:bottom w:w="15" w:type="dxa"/>
              <w:right w:w="75" w:type="dxa"/>
            </w:tcMar>
            <w:vAlign w:val="center"/>
            <w:hideMark/>
          </w:tcPr>
          <w:p w14:paraId="03ED97B9" w14:textId="77777777" w:rsidR="003B1ECB" w:rsidRPr="001629B6" w:rsidRDefault="003B1ECB" w:rsidP="00ED3E8F">
            <w:pPr>
              <w:spacing w:before="150" w:after="150"/>
              <w:rPr>
                <w:color w:val="000000"/>
              </w:rPr>
            </w:pPr>
            <w:r w:rsidRPr="001629B6">
              <w:rPr>
                <w:color w:val="000000"/>
              </w:rPr>
              <w:t>0.02 [-0.01; 0.04]</w:t>
            </w:r>
          </w:p>
        </w:tc>
      </w:tr>
      <w:tr w:rsidR="003B1ECB" w:rsidRPr="001629B6" w14:paraId="51924726" w14:textId="77777777" w:rsidTr="00ED3E8F">
        <w:tc>
          <w:tcPr>
            <w:tcW w:w="0" w:type="auto"/>
            <w:tcMar>
              <w:top w:w="15" w:type="dxa"/>
              <w:left w:w="75" w:type="dxa"/>
              <w:bottom w:w="15" w:type="dxa"/>
              <w:right w:w="75" w:type="dxa"/>
            </w:tcMar>
            <w:vAlign w:val="center"/>
            <w:hideMark/>
          </w:tcPr>
          <w:p w14:paraId="21718467" w14:textId="77777777" w:rsidR="003B1ECB" w:rsidRPr="001629B6" w:rsidRDefault="003B1ECB" w:rsidP="00ED3E8F">
            <w:pPr>
              <w:spacing w:before="150" w:after="150"/>
              <w:rPr>
                <w:color w:val="000000"/>
              </w:rPr>
            </w:pPr>
            <w:r w:rsidRPr="001629B6">
              <w:rPr>
                <w:color w:val="000000"/>
              </w:rPr>
              <w:t>AIC</w:t>
            </w:r>
          </w:p>
        </w:tc>
        <w:tc>
          <w:tcPr>
            <w:tcW w:w="0" w:type="auto"/>
            <w:tcMar>
              <w:top w:w="15" w:type="dxa"/>
              <w:left w:w="75" w:type="dxa"/>
              <w:bottom w:w="15" w:type="dxa"/>
              <w:right w:w="75" w:type="dxa"/>
            </w:tcMar>
            <w:vAlign w:val="center"/>
            <w:hideMark/>
          </w:tcPr>
          <w:p w14:paraId="1AF11D31" w14:textId="77777777" w:rsidR="003B1ECB" w:rsidRPr="001629B6" w:rsidRDefault="003B1ECB" w:rsidP="00ED3E8F">
            <w:pPr>
              <w:spacing w:before="150" w:after="150"/>
              <w:rPr>
                <w:color w:val="000000"/>
              </w:rPr>
            </w:pPr>
            <w:r w:rsidRPr="001629B6">
              <w:rPr>
                <w:color w:val="000000"/>
              </w:rPr>
              <w:t>190.01</w:t>
            </w:r>
          </w:p>
        </w:tc>
        <w:tc>
          <w:tcPr>
            <w:tcW w:w="0" w:type="auto"/>
            <w:tcMar>
              <w:top w:w="15" w:type="dxa"/>
              <w:left w:w="75" w:type="dxa"/>
              <w:bottom w:w="15" w:type="dxa"/>
              <w:right w:w="75" w:type="dxa"/>
            </w:tcMar>
            <w:vAlign w:val="center"/>
            <w:hideMark/>
          </w:tcPr>
          <w:p w14:paraId="2EF99600" w14:textId="77777777" w:rsidR="003B1ECB" w:rsidRPr="001629B6" w:rsidRDefault="003B1ECB" w:rsidP="00ED3E8F">
            <w:pPr>
              <w:spacing w:before="150" w:after="150"/>
              <w:rPr>
                <w:color w:val="000000"/>
              </w:rPr>
            </w:pPr>
            <w:r w:rsidRPr="001629B6">
              <w:rPr>
                <w:color w:val="000000"/>
              </w:rPr>
              <w:t>126.27</w:t>
            </w:r>
          </w:p>
        </w:tc>
        <w:tc>
          <w:tcPr>
            <w:tcW w:w="0" w:type="auto"/>
            <w:tcMar>
              <w:top w:w="15" w:type="dxa"/>
              <w:left w:w="75" w:type="dxa"/>
              <w:bottom w:w="15" w:type="dxa"/>
              <w:right w:w="75" w:type="dxa"/>
            </w:tcMar>
            <w:vAlign w:val="center"/>
            <w:hideMark/>
          </w:tcPr>
          <w:p w14:paraId="37FC567E" w14:textId="77777777" w:rsidR="003B1ECB" w:rsidRPr="001629B6" w:rsidRDefault="003B1ECB" w:rsidP="00ED3E8F">
            <w:pPr>
              <w:spacing w:before="150" w:after="150"/>
              <w:rPr>
                <w:color w:val="000000"/>
              </w:rPr>
            </w:pPr>
            <w:r w:rsidRPr="001629B6">
              <w:rPr>
                <w:color w:val="000000"/>
              </w:rPr>
              <w:t>855.39</w:t>
            </w:r>
          </w:p>
        </w:tc>
        <w:tc>
          <w:tcPr>
            <w:tcW w:w="0" w:type="auto"/>
            <w:tcMar>
              <w:top w:w="15" w:type="dxa"/>
              <w:left w:w="75" w:type="dxa"/>
              <w:bottom w:w="15" w:type="dxa"/>
              <w:right w:w="75" w:type="dxa"/>
            </w:tcMar>
            <w:vAlign w:val="center"/>
            <w:hideMark/>
          </w:tcPr>
          <w:p w14:paraId="668EE71A" w14:textId="77777777" w:rsidR="003B1ECB" w:rsidRPr="001629B6" w:rsidRDefault="003B1ECB" w:rsidP="00ED3E8F">
            <w:pPr>
              <w:spacing w:before="150" w:after="150"/>
              <w:rPr>
                <w:color w:val="000000"/>
              </w:rPr>
            </w:pPr>
            <w:r w:rsidRPr="001629B6">
              <w:rPr>
                <w:color w:val="000000"/>
              </w:rPr>
              <w:t>773.91</w:t>
            </w:r>
          </w:p>
        </w:tc>
        <w:tc>
          <w:tcPr>
            <w:tcW w:w="0" w:type="auto"/>
            <w:tcMar>
              <w:top w:w="15" w:type="dxa"/>
              <w:left w:w="75" w:type="dxa"/>
              <w:bottom w:w="15" w:type="dxa"/>
              <w:right w:w="75" w:type="dxa"/>
            </w:tcMar>
            <w:vAlign w:val="center"/>
            <w:hideMark/>
          </w:tcPr>
          <w:p w14:paraId="1344CDA7" w14:textId="77777777" w:rsidR="003B1ECB" w:rsidRPr="001629B6" w:rsidRDefault="003B1ECB" w:rsidP="00ED3E8F">
            <w:pPr>
              <w:spacing w:before="150" w:after="150"/>
              <w:rPr>
                <w:color w:val="000000"/>
              </w:rPr>
            </w:pPr>
            <w:r w:rsidRPr="001629B6">
              <w:rPr>
                <w:color w:val="000000"/>
              </w:rPr>
              <w:t>640.41</w:t>
            </w:r>
          </w:p>
        </w:tc>
      </w:tr>
      <w:tr w:rsidR="003B1ECB" w:rsidRPr="001629B6" w14:paraId="4E1CF8B1" w14:textId="77777777" w:rsidTr="00ED3E8F">
        <w:tc>
          <w:tcPr>
            <w:tcW w:w="0" w:type="auto"/>
            <w:tcMar>
              <w:top w:w="15" w:type="dxa"/>
              <w:left w:w="75" w:type="dxa"/>
              <w:bottom w:w="15" w:type="dxa"/>
              <w:right w:w="75" w:type="dxa"/>
            </w:tcMar>
            <w:vAlign w:val="center"/>
            <w:hideMark/>
          </w:tcPr>
          <w:p w14:paraId="73C06195" w14:textId="77777777" w:rsidR="003B1ECB" w:rsidRPr="001629B6" w:rsidRDefault="003B1ECB" w:rsidP="00ED3E8F">
            <w:pPr>
              <w:spacing w:before="150" w:after="150"/>
              <w:rPr>
                <w:color w:val="000000"/>
              </w:rPr>
            </w:pPr>
            <w:r w:rsidRPr="001629B6">
              <w:rPr>
                <w:color w:val="000000"/>
              </w:rPr>
              <w:t>BIC</w:t>
            </w:r>
          </w:p>
        </w:tc>
        <w:tc>
          <w:tcPr>
            <w:tcW w:w="0" w:type="auto"/>
            <w:tcMar>
              <w:top w:w="15" w:type="dxa"/>
              <w:left w:w="75" w:type="dxa"/>
              <w:bottom w:w="15" w:type="dxa"/>
              <w:right w:w="75" w:type="dxa"/>
            </w:tcMar>
            <w:vAlign w:val="center"/>
            <w:hideMark/>
          </w:tcPr>
          <w:p w14:paraId="366C76BC" w14:textId="77777777" w:rsidR="003B1ECB" w:rsidRPr="001629B6" w:rsidRDefault="003B1ECB" w:rsidP="00ED3E8F">
            <w:pPr>
              <w:spacing w:before="150" w:after="150"/>
              <w:rPr>
                <w:color w:val="000000"/>
              </w:rPr>
            </w:pPr>
            <w:r w:rsidRPr="001629B6">
              <w:rPr>
                <w:color w:val="000000"/>
              </w:rPr>
              <w:t>200.67</w:t>
            </w:r>
          </w:p>
        </w:tc>
        <w:tc>
          <w:tcPr>
            <w:tcW w:w="0" w:type="auto"/>
            <w:tcMar>
              <w:top w:w="15" w:type="dxa"/>
              <w:left w:w="75" w:type="dxa"/>
              <w:bottom w:w="15" w:type="dxa"/>
              <w:right w:w="75" w:type="dxa"/>
            </w:tcMar>
            <w:vAlign w:val="center"/>
            <w:hideMark/>
          </w:tcPr>
          <w:p w14:paraId="7A13C975" w14:textId="77777777" w:rsidR="003B1ECB" w:rsidRPr="001629B6" w:rsidRDefault="003B1ECB" w:rsidP="00ED3E8F">
            <w:pPr>
              <w:spacing w:before="150" w:after="150"/>
              <w:rPr>
                <w:color w:val="000000"/>
              </w:rPr>
            </w:pPr>
            <w:r w:rsidRPr="001629B6">
              <w:rPr>
                <w:color w:val="000000"/>
              </w:rPr>
              <w:t>136.93</w:t>
            </w:r>
          </w:p>
        </w:tc>
        <w:tc>
          <w:tcPr>
            <w:tcW w:w="0" w:type="auto"/>
            <w:tcMar>
              <w:top w:w="15" w:type="dxa"/>
              <w:left w:w="75" w:type="dxa"/>
              <w:bottom w:w="15" w:type="dxa"/>
              <w:right w:w="75" w:type="dxa"/>
            </w:tcMar>
            <w:vAlign w:val="center"/>
            <w:hideMark/>
          </w:tcPr>
          <w:p w14:paraId="6424926D" w14:textId="77777777" w:rsidR="003B1ECB" w:rsidRPr="001629B6" w:rsidRDefault="003B1ECB" w:rsidP="00ED3E8F">
            <w:pPr>
              <w:spacing w:before="150" w:after="150"/>
              <w:rPr>
                <w:color w:val="000000"/>
              </w:rPr>
            </w:pPr>
            <w:r w:rsidRPr="001629B6">
              <w:rPr>
                <w:color w:val="000000"/>
              </w:rPr>
              <w:t>866.00</w:t>
            </w:r>
          </w:p>
        </w:tc>
        <w:tc>
          <w:tcPr>
            <w:tcW w:w="0" w:type="auto"/>
            <w:tcMar>
              <w:top w:w="15" w:type="dxa"/>
              <w:left w:w="75" w:type="dxa"/>
              <w:bottom w:w="15" w:type="dxa"/>
              <w:right w:w="75" w:type="dxa"/>
            </w:tcMar>
            <w:vAlign w:val="center"/>
            <w:hideMark/>
          </w:tcPr>
          <w:p w14:paraId="6A12426D" w14:textId="77777777" w:rsidR="003B1ECB" w:rsidRPr="001629B6" w:rsidRDefault="003B1ECB" w:rsidP="00ED3E8F">
            <w:pPr>
              <w:spacing w:before="150" w:after="150"/>
              <w:rPr>
                <w:color w:val="000000"/>
              </w:rPr>
            </w:pPr>
            <w:r w:rsidRPr="001629B6">
              <w:rPr>
                <w:color w:val="000000"/>
              </w:rPr>
              <w:t>784.53</w:t>
            </w:r>
          </w:p>
        </w:tc>
        <w:tc>
          <w:tcPr>
            <w:tcW w:w="0" w:type="auto"/>
            <w:tcMar>
              <w:top w:w="15" w:type="dxa"/>
              <w:left w:w="75" w:type="dxa"/>
              <w:bottom w:w="15" w:type="dxa"/>
              <w:right w:w="75" w:type="dxa"/>
            </w:tcMar>
            <w:vAlign w:val="center"/>
            <w:hideMark/>
          </w:tcPr>
          <w:p w14:paraId="598B3FD7" w14:textId="77777777" w:rsidR="003B1ECB" w:rsidRPr="001629B6" w:rsidRDefault="003B1ECB" w:rsidP="00ED3E8F">
            <w:pPr>
              <w:spacing w:before="150" w:after="150"/>
              <w:rPr>
                <w:color w:val="000000"/>
              </w:rPr>
            </w:pPr>
            <w:r w:rsidRPr="001629B6">
              <w:rPr>
                <w:color w:val="000000"/>
              </w:rPr>
              <w:t>651.06</w:t>
            </w:r>
          </w:p>
        </w:tc>
      </w:tr>
      <w:tr w:rsidR="003B1ECB" w:rsidRPr="001629B6" w14:paraId="15F6B96A" w14:textId="77777777" w:rsidTr="00ED3E8F">
        <w:tc>
          <w:tcPr>
            <w:tcW w:w="0" w:type="auto"/>
            <w:tcBorders>
              <w:bottom w:val="nil"/>
            </w:tcBorders>
            <w:tcMar>
              <w:top w:w="15" w:type="dxa"/>
              <w:left w:w="75" w:type="dxa"/>
              <w:bottom w:w="15" w:type="dxa"/>
              <w:right w:w="75" w:type="dxa"/>
            </w:tcMar>
            <w:vAlign w:val="center"/>
            <w:hideMark/>
          </w:tcPr>
          <w:p w14:paraId="487D731F" w14:textId="77777777" w:rsidR="003B1ECB" w:rsidRPr="001629B6" w:rsidRDefault="003B1ECB" w:rsidP="00ED3E8F">
            <w:pPr>
              <w:spacing w:before="150" w:after="150"/>
              <w:rPr>
                <w:color w:val="000000"/>
              </w:rPr>
            </w:pPr>
            <w:r w:rsidRPr="001629B6">
              <w:rPr>
                <w:color w:val="000000"/>
              </w:rPr>
              <w:t>Number of observations</w:t>
            </w:r>
          </w:p>
        </w:tc>
        <w:tc>
          <w:tcPr>
            <w:tcW w:w="0" w:type="auto"/>
            <w:tcBorders>
              <w:bottom w:val="nil"/>
            </w:tcBorders>
            <w:tcMar>
              <w:top w:w="15" w:type="dxa"/>
              <w:left w:w="75" w:type="dxa"/>
              <w:bottom w:w="15" w:type="dxa"/>
              <w:right w:w="75" w:type="dxa"/>
            </w:tcMar>
            <w:vAlign w:val="center"/>
            <w:hideMark/>
          </w:tcPr>
          <w:p w14:paraId="0FB6376B" w14:textId="77777777" w:rsidR="003B1ECB" w:rsidRPr="001629B6" w:rsidRDefault="003B1ECB" w:rsidP="00ED3E8F">
            <w:pPr>
              <w:spacing w:before="150" w:after="150"/>
              <w:rPr>
                <w:color w:val="000000"/>
              </w:rPr>
            </w:pPr>
            <w:r w:rsidRPr="001629B6">
              <w:rPr>
                <w:color w:val="000000"/>
              </w:rPr>
              <w:t>106</w:t>
            </w:r>
          </w:p>
        </w:tc>
        <w:tc>
          <w:tcPr>
            <w:tcW w:w="0" w:type="auto"/>
            <w:tcBorders>
              <w:bottom w:val="nil"/>
            </w:tcBorders>
            <w:tcMar>
              <w:top w:w="15" w:type="dxa"/>
              <w:left w:w="75" w:type="dxa"/>
              <w:bottom w:w="15" w:type="dxa"/>
              <w:right w:w="75" w:type="dxa"/>
            </w:tcMar>
            <w:vAlign w:val="center"/>
            <w:hideMark/>
          </w:tcPr>
          <w:p w14:paraId="5C78BE77" w14:textId="77777777" w:rsidR="003B1ECB" w:rsidRPr="001629B6" w:rsidRDefault="003B1ECB" w:rsidP="00ED3E8F">
            <w:pPr>
              <w:spacing w:before="150" w:after="150"/>
              <w:rPr>
                <w:color w:val="000000"/>
              </w:rPr>
            </w:pPr>
            <w:r w:rsidRPr="001629B6">
              <w:rPr>
                <w:color w:val="000000"/>
              </w:rPr>
              <w:t>106</w:t>
            </w:r>
          </w:p>
        </w:tc>
        <w:tc>
          <w:tcPr>
            <w:tcW w:w="0" w:type="auto"/>
            <w:tcBorders>
              <w:bottom w:val="nil"/>
            </w:tcBorders>
            <w:tcMar>
              <w:top w:w="15" w:type="dxa"/>
              <w:left w:w="75" w:type="dxa"/>
              <w:bottom w:w="15" w:type="dxa"/>
              <w:right w:w="75" w:type="dxa"/>
            </w:tcMar>
            <w:vAlign w:val="center"/>
            <w:hideMark/>
          </w:tcPr>
          <w:p w14:paraId="1F2FB6B8" w14:textId="77777777" w:rsidR="003B1ECB" w:rsidRPr="001629B6" w:rsidRDefault="003B1ECB" w:rsidP="00ED3E8F">
            <w:pPr>
              <w:spacing w:before="150" w:after="150"/>
              <w:rPr>
                <w:color w:val="000000"/>
              </w:rPr>
            </w:pPr>
            <w:r w:rsidRPr="001629B6">
              <w:rPr>
                <w:color w:val="000000"/>
              </w:rPr>
              <w:t>105</w:t>
            </w:r>
          </w:p>
        </w:tc>
        <w:tc>
          <w:tcPr>
            <w:tcW w:w="0" w:type="auto"/>
            <w:tcBorders>
              <w:bottom w:val="nil"/>
            </w:tcBorders>
            <w:tcMar>
              <w:top w:w="15" w:type="dxa"/>
              <w:left w:w="75" w:type="dxa"/>
              <w:bottom w:w="15" w:type="dxa"/>
              <w:right w:w="75" w:type="dxa"/>
            </w:tcMar>
            <w:vAlign w:val="center"/>
            <w:hideMark/>
          </w:tcPr>
          <w:p w14:paraId="0481825F" w14:textId="77777777" w:rsidR="003B1ECB" w:rsidRPr="001629B6" w:rsidRDefault="003B1ECB" w:rsidP="00ED3E8F">
            <w:pPr>
              <w:spacing w:before="150" w:after="150"/>
              <w:rPr>
                <w:color w:val="000000"/>
              </w:rPr>
            </w:pPr>
            <w:r w:rsidRPr="001629B6">
              <w:rPr>
                <w:color w:val="000000"/>
              </w:rPr>
              <w:t>105</w:t>
            </w:r>
          </w:p>
        </w:tc>
        <w:tc>
          <w:tcPr>
            <w:tcW w:w="0" w:type="auto"/>
            <w:tcBorders>
              <w:bottom w:val="nil"/>
            </w:tcBorders>
            <w:tcMar>
              <w:top w:w="15" w:type="dxa"/>
              <w:left w:w="75" w:type="dxa"/>
              <w:bottom w:w="15" w:type="dxa"/>
              <w:right w:w="75" w:type="dxa"/>
            </w:tcMar>
            <w:vAlign w:val="center"/>
            <w:hideMark/>
          </w:tcPr>
          <w:p w14:paraId="77731B99" w14:textId="77777777" w:rsidR="003B1ECB" w:rsidRPr="001629B6" w:rsidRDefault="003B1ECB" w:rsidP="00ED3E8F">
            <w:pPr>
              <w:spacing w:before="150" w:after="150"/>
              <w:rPr>
                <w:color w:val="000000"/>
              </w:rPr>
            </w:pPr>
            <w:r w:rsidRPr="001629B6">
              <w:rPr>
                <w:color w:val="000000"/>
              </w:rPr>
              <w:t>106</w:t>
            </w:r>
          </w:p>
        </w:tc>
      </w:tr>
      <w:tr w:rsidR="003B1ECB" w:rsidRPr="001629B6" w14:paraId="2557CBAA" w14:textId="77777777" w:rsidTr="00ED3E8F">
        <w:tc>
          <w:tcPr>
            <w:tcW w:w="0" w:type="auto"/>
            <w:tcBorders>
              <w:top w:val="nil"/>
              <w:bottom w:val="single" w:sz="12" w:space="0" w:color="auto"/>
            </w:tcBorders>
            <w:tcMar>
              <w:top w:w="15" w:type="dxa"/>
              <w:left w:w="75" w:type="dxa"/>
              <w:bottom w:w="15" w:type="dxa"/>
              <w:right w:w="75" w:type="dxa"/>
            </w:tcMar>
            <w:vAlign w:val="center"/>
            <w:hideMark/>
          </w:tcPr>
          <w:p w14:paraId="3533E2A9" w14:textId="77777777" w:rsidR="003B1ECB" w:rsidRPr="001629B6" w:rsidRDefault="003B1ECB" w:rsidP="00ED3E8F">
            <w:pPr>
              <w:spacing w:before="150" w:after="150"/>
              <w:rPr>
                <w:color w:val="000000"/>
              </w:rPr>
            </w:pPr>
            <w:r w:rsidRPr="001629B6">
              <w:rPr>
                <w:color w:val="000000"/>
              </w:rPr>
              <w:t>Number of participants</w:t>
            </w:r>
          </w:p>
        </w:tc>
        <w:tc>
          <w:tcPr>
            <w:tcW w:w="0" w:type="auto"/>
            <w:tcBorders>
              <w:top w:val="nil"/>
              <w:bottom w:val="single" w:sz="12" w:space="0" w:color="auto"/>
            </w:tcBorders>
            <w:tcMar>
              <w:top w:w="15" w:type="dxa"/>
              <w:left w:w="75" w:type="dxa"/>
              <w:bottom w:w="15" w:type="dxa"/>
              <w:right w:w="75" w:type="dxa"/>
            </w:tcMar>
            <w:vAlign w:val="center"/>
            <w:hideMark/>
          </w:tcPr>
          <w:p w14:paraId="228B4E5B" w14:textId="77777777" w:rsidR="003B1ECB" w:rsidRPr="001629B6" w:rsidRDefault="003B1ECB" w:rsidP="00ED3E8F">
            <w:pPr>
              <w:spacing w:before="150" w:after="150"/>
              <w:rPr>
                <w:color w:val="000000"/>
              </w:rPr>
            </w:pPr>
            <w:r w:rsidRPr="001629B6">
              <w:rPr>
                <w:color w:val="000000"/>
              </w:rPr>
              <w:t>28</w:t>
            </w:r>
          </w:p>
        </w:tc>
        <w:tc>
          <w:tcPr>
            <w:tcW w:w="0" w:type="auto"/>
            <w:tcBorders>
              <w:top w:val="nil"/>
              <w:bottom w:val="single" w:sz="12" w:space="0" w:color="auto"/>
            </w:tcBorders>
            <w:tcMar>
              <w:top w:w="15" w:type="dxa"/>
              <w:left w:w="75" w:type="dxa"/>
              <w:bottom w:w="15" w:type="dxa"/>
              <w:right w:w="75" w:type="dxa"/>
            </w:tcMar>
            <w:vAlign w:val="center"/>
            <w:hideMark/>
          </w:tcPr>
          <w:p w14:paraId="5549AE2F" w14:textId="77777777" w:rsidR="003B1ECB" w:rsidRPr="001629B6" w:rsidRDefault="003B1ECB" w:rsidP="00ED3E8F">
            <w:pPr>
              <w:spacing w:before="150" w:after="150"/>
              <w:rPr>
                <w:color w:val="000000"/>
              </w:rPr>
            </w:pPr>
            <w:r w:rsidRPr="001629B6">
              <w:rPr>
                <w:color w:val="000000"/>
              </w:rPr>
              <w:t>28</w:t>
            </w:r>
          </w:p>
        </w:tc>
        <w:tc>
          <w:tcPr>
            <w:tcW w:w="0" w:type="auto"/>
            <w:tcBorders>
              <w:top w:val="nil"/>
              <w:bottom w:val="single" w:sz="12" w:space="0" w:color="auto"/>
            </w:tcBorders>
            <w:tcMar>
              <w:top w:w="15" w:type="dxa"/>
              <w:left w:w="75" w:type="dxa"/>
              <w:bottom w:w="15" w:type="dxa"/>
              <w:right w:w="75" w:type="dxa"/>
            </w:tcMar>
            <w:vAlign w:val="center"/>
            <w:hideMark/>
          </w:tcPr>
          <w:p w14:paraId="06AC129A" w14:textId="77777777" w:rsidR="003B1ECB" w:rsidRPr="001629B6" w:rsidRDefault="003B1ECB" w:rsidP="00ED3E8F">
            <w:pPr>
              <w:spacing w:before="150" w:after="150"/>
              <w:rPr>
                <w:color w:val="000000"/>
              </w:rPr>
            </w:pPr>
            <w:r w:rsidRPr="001629B6">
              <w:rPr>
                <w:color w:val="000000"/>
              </w:rPr>
              <w:t>28</w:t>
            </w:r>
          </w:p>
        </w:tc>
        <w:tc>
          <w:tcPr>
            <w:tcW w:w="0" w:type="auto"/>
            <w:tcBorders>
              <w:top w:val="nil"/>
              <w:bottom w:val="single" w:sz="12" w:space="0" w:color="auto"/>
            </w:tcBorders>
            <w:tcMar>
              <w:top w:w="15" w:type="dxa"/>
              <w:left w:w="75" w:type="dxa"/>
              <w:bottom w:w="15" w:type="dxa"/>
              <w:right w:w="75" w:type="dxa"/>
            </w:tcMar>
            <w:vAlign w:val="center"/>
            <w:hideMark/>
          </w:tcPr>
          <w:p w14:paraId="1252430A" w14:textId="77777777" w:rsidR="003B1ECB" w:rsidRPr="001629B6" w:rsidRDefault="003B1ECB" w:rsidP="00ED3E8F">
            <w:pPr>
              <w:spacing w:before="150" w:after="150"/>
              <w:rPr>
                <w:color w:val="000000"/>
              </w:rPr>
            </w:pPr>
            <w:r w:rsidRPr="001629B6">
              <w:rPr>
                <w:color w:val="000000"/>
              </w:rPr>
              <w:t>28</w:t>
            </w:r>
          </w:p>
        </w:tc>
        <w:tc>
          <w:tcPr>
            <w:tcW w:w="0" w:type="auto"/>
            <w:tcBorders>
              <w:top w:val="nil"/>
              <w:bottom w:val="single" w:sz="12" w:space="0" w:color="auto"/>
            </w:tcBorders>
            <w:tcMar>
              <w:top w:w="15" w:type="dxa"/>
              <w:left w:w="75" w:type="dxa"/>
              <w:bottom w:w="15" w:type="dxa"/>
              <w:right w:w="75" w:type="dxa"/>
            </w:tcMar>
            <w:vAlign w:val="center"/>
            <w:hideMark/>
          </w:tcPr>
          <w:p w14:paraId="78E286BC" w14:textId="77777777" w:rsidR="003B1ECB" w:rsidRPr="001629B6" w:rsidRDefault="003B1ECB" w:rsidP="00ED3E8F">
            <w:pPr>
              <w:spacing w:before="150" w:after="150"/>
              <w:rPr>
                <w:color w:val="000000"/>
              </w:rPr>
            </w:pPr>
            <w:r w:rsidRPr="001629B6">
              <w:rPr>
                <w:color w:val="000000"/>
              </w:rPr>
              <w:t>28</w:t>
            </w:r>
          </w:p>
        </w:tc>
      </w:tr>
    </w:tbl>
    <w:p w14:paraId="342D0BDB" w14:textId="77777777" w:rsidR="003B1ECB" w:rsidRDefault="003B1ECB" w:rsidP="00ED3E8F">
      <w:pPr>
        <w:rPr>
          <w:bCs/>
        </w:rPr>
      </w:pPr>
      <w:r>
        <w:rPr>
          <w:bCs/>
        </w:rPr>
        <w:t>* 0 outside of confidence interval</w:t>
      </w:r>
    </w:p>
    <w:p w14:paraId="3F2C94E5" w14:textId="77777777" w:rsidR="003B1ECB" w:rsidRPr="005176AF" w:rsidRDefault="003B1ECB" w:rsidP="00ED3E8F">
      <w:r w:rsidRPr="005176AF">
        <w:rPr>
          <w:i/>
          <w:iCs/>
        </w:rPr>
        <w:t>Note</w:t>
      </w:r>
      <w:r w:rsidRPr="005176AF">
        <w:t>. TSC-</w:t>
      </w:r>
      <w:r>
        <w:t>Y</w:t>
      </w:r>
      <w:r w:rsidRPr="005176AF">
        <w:t xml:space="preserve"> = Trichotillomania Scale for C</w:t>
      </w:r>
      <w:r>
        <w:t>hildren</w:t>
      </w:r>
      <w:r w:rsidRPr="005176AF">
        <w:t xml:space="preserve"> (</w:t>
      </w:r>
      <w:r>
        <w:t>Youth</w:t>
      </w:r>
      <w:r w:rsidRPr="005176AF">
        <w:t>-Report); YOQ-</w:t>
      </w:r>
      <w:r>
        <w:t>C</w:t>
      </w:r>
      <w:r w:rsidRPr="005176AF">
        <w:t xml:space="preserve"> = Youth Outcomes Questionnaire (</w:t>
      </w:r>
      <w:r>
        <w:t>Youth</w:t>
      </w:r>
      <w:r w:rsidRPr="005176AF">
        <w:t xml:space="preserve">-Report); </w:t>
      </w:r>
      <w:r>
        <w:t xml:space="preserve">AAQ-TTM = Acceptance and Action Questionnaire for Trichotillomania; AFQY = Avoidance and Fusion Questionnaire for Youth; AIC = Akaike Information Criterion; </w:t>
      </w:r>
      <w:r w:rsidRPr="005176AF">
        <w:t>BIC = Bayesian Information Criterion.</w:t>
      </w:r>
    </w:p>
    <w:p w14:paraId="2C58E1D8" w14:textId="77777777" w:rsidR="003B1ECB" w:rsidRPr="001629B6" w:rsidRDefault="003B1ECB">
      <w:r w:rsidRPr="001629B6">
        <w:br w:type="page"/>
      </w:r>
    </w:p>
    <w:p w14:paraId="68DCEE56" w14:textId="10E44DAF" w:rsidR="003B1ECB" w:rsidRDefault="003B1ECB" w:rsidP="00ED3E8F">
      <w:r>
        <w:lastRenderedPageBreak/>
        <w:t xml:space="preserve">Table </w:t>
      </w:r>
      <w:r w:rsidR="0078029C">
        <w:t>3</w:t>
      </w:r>
    </w:p>
    <w:p w14:paraId="7EB05565" w14:textId="77777777" w:rsidR="003B1ECB" w:rsidRPr="00E314F6" w:rsidRDefault="003B1ECB" w:rsidP="00ED3E8F">
      <w:pPr>
        <w:rPr>
          <w:i/>
          <w:iCs/>
        </w:rPr>
      </w:pPr>
      <w:r w:rsidRPr="00E314F6">
        <w:rPr>
          <w:i/>
          <w:iCs/>
        </w:rPr>
        <w:t>Regression coefficients and 95% confidence intervals from multilevel models for parent-rated outcomes</w:t>
      </w:r>
    </w:p>
    <w:tbl>
      <w:tblPr>
        <w:tblW w:w="11097" w:type="dxa"/>
        <w:tblBorders>
          <w:top w:val="single" w:sz="12" w:space="0" w:color="000000"/>
        </w:tblBorders>
        <w:tblCellMar>
          <w:top w:w="15" w:type="dxa"/>
          <w:left w:w="15" w:type="dxa"/>
          <w:bottom w:w="15" w:type="dxa"/>
          <w:right w:w="15" w:type="dxa"/>
        </w:tblCellMar>
        <w:tblLook w:val="04A0" w:firstRow="1" w:lastRow="0" w:firstColumn="1" w:lastColumn="0" w:noHBand="0" w:noVBand="1"/>
      </w:tblPr>
      <w:tblGrid>
        <w:gridCol w:w="2487"/>
        <w:gridCol w:w="2092"/>
        <w:gridCol w:w="2092"/>
        <w:gridCol w:w="2213"/>
        <w:gridCol w:w="2213"/>
      </w:tblGrid>
      <w:tr w:rsidR="003B1ECB" w:rsidRPr="005176AF" w14:paraId="2D94BBE9" w14:textId="77777777" w:rsidTr="00ED3E8F">
        <w:trPr>
          <w:trHeight w:val="439"/>
          <w:tblHeader/>
        </w:trPr>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4DC90312" w14:textId="77777777" w:rsidR="003B1ECB" w:rsidRPr="005176AF" w:rsidRDefault="003B1ECB" w:rsidP="00ED3E8F">
            <w:pPr>
              <w:rPr>
                <w:b/>
                <w:bCs/>
              </w:rPr>
            </w:pPr>
            <w:r w:rsidRPr="005176AF">
              <w:rPr>
                <w:b/>
                <w:bCs/>
              </w:rPr>
              <w:t> </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33879B49" w14:textId="77777777" w:rsidR="003B1ECB" w:rsidRPr="005176AF" w:rsidRDefault="003B1ECB" w:rsidP="00ED3E8F">
            <w:r w:rsidRPr="005176AF">
              <w:t>TSC-P Severity</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745D1FE0" w14:textId="77777777" w:rsidR="003B1ECB" w:rsidRPr="005176AF" w:rsidRDefault="003B1ECB" w:rsidP="00ED3E8F">
            <w:r w:rsidRPr="005176AF">
              <w:t>TSC-P Distress</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339CC4D8" w14:textId="77777777" w:rsidR="003B1ECB" w:rsidRPr="005176AF" w:rsidRDefault="003B1ECB" w:rsidP="00ED3E8F">
            <w:r w:rsidRPr="005176AF">
              <w:t>YOQ-P</w:t>
            </w:r>
          </w:p>
        </w:tc>
        <w:tc>
          <w:tcPr>
            <w:tcW w:w="0" w:type="auto"/>
            <w:tcBorders>
              <w:top w:val="single" w:sz="12" w:space="0" w:color="000000"/>
              <w:bottom w:val="single" w:sz="12" w:space="0" w:color="000000"/>
            </w:tcBorders>
            <w:tcMar>
              <w:top w:w="15" w:type="dxa"/>
              <w:left w:w="75" w:type="dxa"/>
              <w:bottom w:w="15" w:type="dxa"/>
              <w:right w:w="75" w:type="dxa"/>
            </w:tcMar>
            <w:vAlign w:val="center"/>
            <w:hideMark/>
          </w:tcPr>
          <w:p w14:paraId="20385EAC" w14:textId="77777777" w:rsidR="003B1ECB" w:rsidRPr="005176AF" w:rsidRDefault="003B1ECB" w:rsidP="00ED3E8F">
            <w:r w:rsidRPr="005176AF">
              <w:t>PAQ</w:t>
            </w:r>
          </w:p>
        </w:tc>
      </w:tr>
      <w:tr w:rsidR="003B1ECB" w:rsidRPr="005176AF" w14:paraId="595880E1" w14:textId="77777777" w:rsidTr="00ED3E8F">
        <w:trPr>
          <w:trHeight w:val="906"/>
        </w:trPr>
        <w:tc>
          <w:tcPr>
            <w:tcW w:w="0" w:type="auto"/>
            <w:tcBorders>
              <w:top w:val="single" w:sz="12" w:space="0" w:color="000000"/>
            </w:tcBorders>
            <w:tcMar>
              <w:top w:w="15" w:type="dxa"/>
              <w:left w:w="75" w:type="dxa"/>
              <w:bottom w:w="15" w:type="dxa"/>
              <w:right w:w="75" w:type="dxa"/>
            </w:tcMar>
            <w:vAlign w:val="center"/>
            <w:hideMark/>
          </w:tcPr>
          <w:p w14:paraId="3DF9A1CD" w14:textId="77777777" w:rsidR="003B1ECB" w:rsidRPr="005176AF" w:rsidRDefault="003B1ECB" w:rsidP="00ED3E8F">
            <w:pPr>
              <w:rPr>
                <w:bCs/>
              </w:rPr>
            </w:pPr>
            <w:r w:rsidRPr="005176AF">
              <w:rPr>
                <w:bCs/>
              </w:rPr>
              <w:t>(Intercept)</w:t>
            </w:r>
          </w:p>
        </w:tc>
        <w:tc>
          <w:tcPr>
            <w:tcW w:w="0" w:type="auto"/>
            <w:tcBorders>
              <w:top w:val="single" w:sz="12" w:space="0" w:color="000000"/>
            </w:tcBorders>
            <w:tcMar>
              <w:top w:w="15" w:type="dxa"/>
              <w:left w:w="75" w:type="dxa"/>
              <w:bottom w:w="15" w:type="dxa"/>
              <w:right w:w="75" w:type="dxa"/>
            </w:tcMar>
            <w:vAlign w:val="center"/>
            <w:hideMark/>
          </w:tcPr>
          <w:p w14:paraId="2CC10C3E" w14:textId="77777777" w:rsidR="003B1ECB" w:rsidRPr="005176AF" w:rsidRDefault="003B1ECB" w:rsidP="00ED3E8F">
            <w:pPr>
              <w:rPr>
                <w:bCs/>
              </w:rPr>
            </w:pPr>
            <w:r w:rsidRPr="005176AF">
              <w:rPr>
                <w:bCs/>
              </w:rPr>
              <w:t xml:space="preserve">0.71 [ 0.55; </w:t>
            </w:r>
            <w:proofErr w:type="gramStart"/>
            <w:r w:rsidRPr="005176AF">
              <w:rPr>
                <w:bCs/>
              </w:rPr>
              <w:t>0.88]</w:t>
            </w:r>
            <w:r w:rsidRPr="005176AF">
              <w:rPr>
                <w:bCs/>
                <w:vertAlign w:val="superscript"/>
              </w:rPr>
              <w:t>*</w:t>
            </w:r>
            <w:proofErr w:type="gramEnd"/>
          </w:p>
        </w:tc>
        <w:tc>
          <w:tcPr>
            <w:tcW w:w="0" w:type="auto"/>
            <w:tcBorders>
              <w:top w:val="single" w:sz="12" w:space="0" w:color="000000"/>
            </w:tcBorders>
            <w:tcMar>
              <w:top w:w="15" w:type="dxa"/>
              <w:left w:w="75" w:type="dxa"/>
              <w:bottom w:w="15" w:type="dxa"/>
              <w:right w:w="75" w:type="dxa"/>
            </w:tcMar>
            <w:vAlign w:val="center"/>
            <w:hideMark/>
          </w:tcPr>
          <w:p w14:paraId="04FF670A" w14:textId="77777777" w:rsidR="003B1ECB" w:rsidRPr="005176AF" w:rsidRDefault="003B1ECB" w:rsidP="00ED3E8F">
            <w:pPr>
              <w:rPr>
                <w:bCs/>
              </w:rPr>
            </w:pPr>
            <w:r w:rsidRPr="005176AF">
              <w:rPr>
                <w:bCs/>
              </w:rPr>
              <w:t xml:space="preserve">1.15 [ 0.98; </w:t>
            </w:r>
            <w:proofErr w:type="gramStart"/>
            <w:r w:rsidRPr="005176AF">
              <w:rPr>
                <w:bCs/>
              </w:rPr>
              <w:t>1.31]</w:t>
            </w:r>
            <w:r w:rsidRPr="005176AF">
              <w:rPr>
                <w:bCs/>
                <w:vertAlign w:val="superscript"/>
              </w:rPr>
              <w:t>*</w:t>
            </w:r>
            <w:proofErr w:type="gramEnd"/>
          </w:p>
        </w:tc>
        <w:tc>
          <w:tcPr>
            <w:tcW w:w="0" w:type="auto"/>
            <w:tcBorders>
              <w:top w:val="single" w:sz="12" w:space="0" w:color="000000"/>
            </w:tcBorders>
            <w:tcMar>
              <w:top w:w="15" w:type="dxa"/>
              <w:left w:w="75" w:type="dxa"/>
              <w:bottom w:w="15" w:type="dxa"/>
              <w:right w:w="75" w:type="dxa"/>
            </w:tcMar>
            <w:vAlign w:val="center"/>
            <w:hideMark/>
          </w:tcPr>
          <w:p w14:paraId="5520AD2B" w14:textId="77777777" w:rsidR="003B1ECB" w:rsidRPr="005176AF" w:rsidRDefault="003B1ECB" w:rsidP="00ED3E8F">
            <w:pPr>
              <w:rPr>
                <w:bCs/>
              </w:rPr>
            </w:pPr>
            <w:r w:rsidRPr="005176AF">
              <w:rPr>
                <w:bCs/>
              </w:rPr>
              <w:t xml:space="preserve">26.33 [21.26; </w:t>
            </w:r>
            <w:proofErr w:type="gramStart"/>
            <w:r w:rsidRPr="005176AF">
              <w:rPr>
                <w:bCs/>
              </w:rPr>
              <w:t>31.40]</w:t>
            </w:r>
            <w:r w:rsidRPr="005176AF">
              <w:rPr>
                <w:bCs/>
                <w:vertAlign w:val="superscript"/>
              </w:rPr>
              <w:t>*</w:t>
            </w:r>
            <w:proofErr w:type="gramEnd"/>
          </w:p>
        </w:tc>
        <w:tc>
          <w:tcPr>
            <w:tcW w:w="0" w:type="auto"/>
            <w:tcBorders>
              <w:top w:val="single" w:sz="12" w:space="0" w:color="000000"/>
            </w:tcBorders>
            <w:tcMar>
              <w:top w:w="15" w:type="dxa"/>
              <w:left w:w="75" w:type="dxa"/>
              <w:bottom w:w="15" w:type="dxa"/>
              <w:right w:w="75" w:type="dxa"/>
            </w:tcMar>
            <w:vAlign w:val="center"/>
            <w:hideMark/>
          </w:tcPr>
          <w:p w14:paraId="61A02FD9" w14:textId="77777777" w:rsidR="003B1ECB" w:rsidRPr="005176AF" w:rsidRDefault="003B1ECB" w:rsidP="00ED3E8F">
            <w:pPr>
              <w:rPr>
                <w:bCs/>
              </w:rPr>
            </w:pPr>
            <w:r w:rsidRPr="005176AF">
              <w:rPr>
                <w:bCs/>
              </w:rPr>
              <w:t xml:space="preserve">31.85 [29.91; </w:t>
            </w:r>
            <w:proofErr w:type="gramStart"/>
            <w:r w:rsidRPr="005176AF">
              <w:rPr>
                <w:bCs/>
              </w:rPr>
              <w:t>33.78]</w:t>
            </w:r>
            <w:r w:rsidRPr="005176AF">
              <w:rPr>
                <w:bCs/>
                <w:vertAlign w:val="superscript"/>
              </w:rPr>
              <w:t>*</w:t>
            </w:r>
            <w:proofErr w:type="gramEnd"/>
          </w:p>
        </w:tc>
      </w:tr>
      <w:tr w:rsidR="003B1ECB" w:rsidRPr="005176AF" w14:paraId="79A24165" w14:textId="77777777" w:rsidTr="00ED3E8F">
        <w:trPr>
          <w:trHeight w:val="879"/>
        </w:trPr>
        <w:tc>
          <w:tcPr>
            <w:tcW w:w="0" w:type="auto"/>
            <w:tcMar>
              <w:top w:w="15" w:type="dxa"/>
              <w:left w:w="75" w:type="dxa"/>
              <w:bottom w:w="15" w:type="dxa"/>
              <w:right w:w="75" w:type="dxa"/>
            </w:tcMar>
            <w:vAlign w:val="center"/>
            <w:hideMark/>
          </w:tcPr>
          <w:p w14:paraId="33552AE7" w14:textId="77777777" w:rsidR="003B1ECB" w:rsidRPr="005176AF" w:rsidRDefault="003B1ECB" w:rsidP="00ED3E8F">
            <w:pPr>
              <w:rPr>
                <w:bCs/>
              </w:rPr>
            </w:pPr>
            <w:r>
              <w:rPr>
                <w:bCs/>
              </w:rPr>
              <w:t>W</w:t>
            </w:r>
            <w:r w:rsidRPr="005176AF">
              <w:rPr>
                <w:bCs/>
              </w:rPr>
              <w:t>eeks</w:t>
            </w:r>
          </w:p>
        </w:tc>
        <w:tc>
          <w:tcPr>
            <w:tcW w:w="0" w:type="auto"/>
            <w:tcMar>
              <w:top w:w="15" w:type="dxa"/>
              <w:left w:w="75" w:type="dxa"/>
              <w:bottom w:w="15" w:type="dxa"/>
              <w:right w:w="75" w:type="dxa"/>
            </w:tcMar>
            <w:vAlign w:val="center"/>
            <w:hideMark/>
          </w:tcPr>
          <w:p w14:paraId="655BC0B9" w14:textId="77777777" w:rsidR="003B1ECB" w:rsidRPr="005176AF" w:rsidRDefault="003B1ECB" w:rsidP="00ED3E8F">
            <w:pPr>
              <w:rPr>
                <w:bCs/>
              </w:rPr>
            </w:pPr>
            <w:r w:rsidRPr="005176AF">
              <w:rPr>
                <w:bCs/>
              </w:rPr>
              <w:t>-0.00 [-0.01; -0.</w:t>
            </w:r>
            <w:proofErr w:type="gramStart"/>
            <w:r w:rsidRPr="005176AF">
              <w:rPr>
                <w:bCs/>
              </w:rPr>
              <w:t>00]</w:t>
            </w:r>
            <w:r w:rsidRPr="005176AF">
              <w:rPr>
                <w:bCs/>
                <w:vertAlign w:val="superscript"/>
              </w:rPr>
              <w:t>*</w:t>
            </w:r>
            <w:proofErr w:type="gramEnd"/>
          </w:p>
        </w:tc>
        <w:tc>
          <w:tcPr>
            <w:tcW w:w="0" w:type="auto"/>
            <w:tcMar>
              <w:top w:w="15" w:type="dxa"/>
              <w:left w:w="75" w:type="dxa"/>
              <w:bottom w:w="15" w:type="dxa"/>
              <w:right w:w="75" w:type="dxa"/>
            </w:tcMar>
            <w:vAlign w:val="center"/>
            <w:hideMark/>
          </w:tcPr>
          <w:p w14:paraId="0BFD6D20" w14:textId="77777777" w:rsidR="003B1ECB" w:rsidRPr="005176AF" w:rsidRDefault="003B1ECB" w:rsidP="00ED3E8F">
            <w:pPr>
              <w:rPr>
                <w:bCs/>
              </w:rPr>
            </w:pPr>
            <w:r w:rsidRPr="005176AF">
              <w:rPr>
                <w:bCs/>
              </w:rPr>
              <w:t>-0.01 [-0.01; -0.</w:t>
            </w:r>
            <w:proofErr w:type="gramStart"/>
            <w:r w:rsidRPr="005176AF">
              <w:rPr>
                <w:bCs/>
              </w:rPr>
              <w:t>00]</w:t>
            </w:r>
            <w:r w:rsidRPr="005176AF">
              <w:rPr>
                <w:bCs/>
                <w:vertAlign w:val="superscript"/>
              </w:rPr>
              <w:t>*</w:t>
            </w:r>
            <w:proofErr w:type="gramEnd"/>
          </w:p>
        </w:tc>
        <w:tc>
          <w:tcPr>
            <w:tcW w:w="0" w:type="auto"/>
            <w:tcMar>
              <w:top w:w="15" w:type="dxa"/>
              <w:left w:w="75" w:type="dxa"/>
              <w:bottom w:w="15" w:type="dxa"/>
              <w:right w:w="75" w:type="dxa"/>
            </w:tcMar>
            <w:vAlign w:val="center"/>
            <w:hideMark/>
          </w:tcPr>
          <w:p w14:paraId="14501807" w14:textId="77777777" w:rsidR="003B1ECB" w:rsidRPr="005176AF" w:rsidRDefault="003B1ECB" w:rsidP="00ED3E8F">
            <w:pPr>
              <w:rPr>
                <w:bCs/>
              </w:rPr>
            </w:pPr>
            <w:r w:rsidRPr="005176AF">
              <w:rPr>
                <w:bCs/>
              </w:rPr>
              <w:t>-0.13 [-0.21; -0.</w:t>
            </w:r>
            <w:proofErr w:type="gramStart"/>
            <w:r w:rsidRPr="005176AF">
              <w:rPr>
                <w:bCs/>
              </w:rPr>
              <w:t>05]</w:t>
            </w:r>
            <w:r w:rsidRPr="005176AF">
              <w:rPr>
                <w:bCs/>
                <w:vertAlign w:val="superscript"/>
              </w:rPr>
              <w:t>*</w:t>
            </w:r>
            <w:proofErr w:type="gramEnd"/>
          </w:p>
        </w:tc>
        <w:tc>
          <w:tcPr>
            <w:tcW w:w="0" w:type="auto"/>
            <w:tcMar>
              <w:top w:w="15" w:type="dxa"/>
              <w:left w:w="75" w:type="dxa"/>
              <w:bottom w:w="15" w:type="dxa"/>
              <w:right w:w="75" w:type="dxa"/>
            </w:tcMar>
            <w:vAlign w:val="center"/>
            <w:hideMark/>
          </w:tcPr>
          <w:p w14:paraId="5FB68F3F" w14:textId="77777777" w:rsidR="003B1ECB" w:rsidRPr="005176AF" w:rsidRDefault="003B1ECB" w:rsidP="00ED3E8F">
            <w:pPr>
              <w:rPr>
                <w:bCs/>
              </w:rPr>
            </w:pPr>
            <w:r w:rsidRPr="005176AF">
              <w:rPr>
                <w:bCs/>
              </w:rPr>
              <w:t>-0.01 [-0.04; 0.01]</w:t>
            </w:r>
          </w:p>
        </w:tc>
      </w:tr>
      <w:tr w:rsidR="003B1ECB" w:rsidRPr="005176AF" w14:paraId="3E0DCE59" w14:textId="77777777" w:rsidTr="00ED3E8F">
        <w:trPr>
          <w:trHeight w:val="466"/>
        </w:trPr>
        <w:tc>
          <w:tcPr>
            <w:tcW w:w="0" w:type="auto"/>
            <w:tcMar>
              <w:top w:w="15" w:type="dxa"/>
              <w:left w:w="75" w:type="dxa"/>
              <w:bottom w:w="15" w:type="dxa"/>
              <w:right w:w="75" w:type="dxa"/>
            </w:tcMar>
            <w:vAlign w:val="center"/>
            <w:hideMark/>
          </w:tcPr>
          <w:p w14:paraId="60B3B3E7" w14:textId="77777777" w:rsidR="003B1ECB" w:rsidRPr="005176AF" w:rsidRDefault="003B1ECB" w:rsidP="00ED3E8F">
            <w:pPr>
              <w:rPr>
                <w:bCs/>
              </w:rPr>
            </w:pPr>
            <w:r w:rsidRPr="005176AF">
              <w:rPr>
                <w:bCs/>
              </w:rPr>
              <w:t>AIC</w:t>
            </w:r>
          </w:p>
        </w:tc>
        <w:tc>
          <w:tcPr>
            <w:tcW w:w="0" w:type="auto"/>
            <w:tcMar>
              <w:top w:w="15" w:type="dxa"/>
              <w:left w:w="75" w:type="dxa"/>
              <w:bottom w:w="15" w:type="dxa"/>
              <w:right w:w="75" w:type="dxa"/>
            </w:tcMar>
            <w:vAlign w:val="center"/>
            <w:hideMark/>
          </w:tcPr>
          <w:p w14:paraId="69099AA1" w14:textId="77777777" w:rsidR="003B1ECB" w:rsidRPr="005176AF" w:rsidRDefault="003B1ECB" w:rsidP="00ED3E8F">
            <w:pPr>
              <w:rPr>
                <w:bCs/>
              </w:rPr>
            </w:pPr>
            <w:r w:rsidRPr="005176AF">
              <w:rPr>
                <w:bCs/>
              </w:rPr>
              <w:t>153.35</w:t>
            </w:r>
          </w:p>
        </w:tc>
        <w:tc>
          <w:tcPr>
            <w:tcW w:w="0" w:type="auto"/>
            <w:tcMar>
              <w:top w:w="15" w:type="dxa"/>
              <w:left w:w="75" w:type="dxa"/>
              <w:bottom w:w="15" w:type="dxa"/>
              <w:right w:w="75" w:type="dxa"/>
            </w:tcMar>
            <w:vAlign w:val="center"/>
            <w:hideMark/>
          </w:tcPr>
          <w:p w14:paraId="307DFA0A" w14:textId="77777777" w:rsidR="003B1ECB" w:rsidRPr="005176AF" w:rsidRDefault="003B1ECB" w:rsidP="00ED3E8F">
            <w:pPr>
              <w:rPr>
                <w:bCs/>
              </w:rPr>
            </w:pPr>
            <w:r w:rsidRPr="005176AF">
              <w:rPr>
                <w:bCs/>
              </w:rPr>
              <w:t>178.61</w:t>
            </w:r>
          </w:p>
        </w:tc>
        <w:tc>
          <w:tcPr>
            <w:tcW w:w="0" w:type="auto"/>
            <w:tcMar>
              <w:top w:w="15" w:type="dxa"/>
              <w:left w:w="75" w:type="dxa"/>
              <w:bottom w:w="15" w:type="dxa"/>
              <w:right w:w="75" w:type="dxa"/>
            </w:tcMar>
            <w:vAlign w:val="center"/>
            <w:hideMark/>
          </w:tcPr>
          <w:p w14:paraId="6BEE2C85" w14:textId="77777777" w:rsidR="003B1ECB" w:rsidRPr="005176AF" w:rsidRDefault="003B1ECB" w:rsidP="00ED3E8F">
            <w:pPr>
              <w:rPr>
                <w:bCs/>
              </w:rPr>
            </w:pPr>
            <w:r w:rsidRPr="005176AF">
              <w:rPr>
                <w:bCs/>
              </w:rPr>
              <w:t>884.45</w:t>
            </w:r>
          </w:p>
        </w:tc>
        <w:tc>
          <w:tcPr>
            <w:tcW w:w="0" w:type="auto"/>
            <w:tcMar>
              <w:top w:w="15" w:type="dxa"/>
              <w:left w:w="75" w:type="dxa"/>
              <w:bottom w:w="15" w:type="dxa"/>
              <w:right w:w="75" w:type="dxa"/>
            </w:tcMar>
            <w:vAlign w:val="center"/>
            <w:hideMark/>
          </w:tcPr>
          <w:p w14:paraId="2B2ED0D2" w14:textId="77777777" w:rsidR="003B1ECB" w:rsidRPr="005176AF" w:rsidRDefault="003B1ECB" w:rsidP="00ED3E8F">
            <w:pPr>
              <w:rPr>
                <w:bCs/>
              </w:rPr>
            </w:pPr>
            <w:r w:rsidRPr="005176AF">
              <w:rPr>
                <w:bCs/>
              </w:rPr>
              <w:t>650.85</w:t>
            </w:r>
          </w:p>
        </w:tc>
      </w:tr>
      <w:tr w:rsidR="003B1ECB" w:rsidRPr="005176AF" w14:paraId="5CAAA4A3" w14:textId="77777777" w:rsidTr="00ED3E8F">
        <w:trPr>
          <w:trHeight w:val="439"/>
        </w:trPr>
        <w:tc>
          <w:tcPr>
            <w:tcW w:w="0" w:type="auto"/>
            <w:tcMar>
              <w:top w:w="15" w:type="dxa"/>
              <w:left w:w="75" w:type="dxa"/>
              <w:bottom w:w="15" w:type="dxa"/>
              <w:right w:w="75" w:type="dxa"/>
            </w:tcMar>
            <w:vAlign w:val="center"/>
            <w:hideMark/>
          </w:tcPr>
          <w:p w14:paraId="32B1FFCE" w14:textId="77777777" w:rsidR="003B1ECB" w:rsidRPr="005176AF" w:rsidRDefault="003B1ECB" w:rsidP="00ED3E8F">
            <w:pPr>
              <w:rPr>
                <w:bCs/>
              </w:rPr>
            </w:pPr>
            <w:r w:rsidRPr="005176AF">
              <w:rPr>
                <w:bCs/>
              </w:rPr>
              <w:t>BIC</w:t>
            </w:r>
          </w:p>
        </w:tc>
        <w:tc>
          <w:tcPr>
            <w:tcW w:w="0" w:type="auto"/>
            <w:tcMar>
              <w:top w:w="15" w:type="dxa"/>
              <w:left w:w="75" w:type="dxa"/>
              <w:bottom w:w="15" w:type="dxa"/>
              <w:right w:w="75" w:type="dxa"/>
            </w:tcMar>
            <w:vAlign w:val="center"/>
            <w:hideMark/>
          </w:tcPr>
          <w:p w14:paraId="71AF42A5" w14:textId="77777777" w:rsidR="003B1ECB" w:rsidRPr="005176AF" w:rsidRDefault="003B1ECB" w:rsidP="00ED3E8F">
            <w:pPr>
              <w:rPr>
                <w:bCs/>
              </w:rPr>
            </w:pPr>
            <w:r w:rsidRPr="005176AF">
              <w:rPr>
                <w:bCs/>
              </w:rPr>
              <w:t>164.12</w:t>
            </w:r>
          </w:p>
        </w:tc>
        <w:tc>
          <w:tcPr>
            <w:tcW w:w="0" w:type="auto"/>
            <w:tcMar>
              <w:top w:w="15" w:type="dxa"/>
              <w:left w:w="75" w:type="dxa"/>
              <w:bottom w:w="15" w:type="dxa"/>
              <w:right w:w="75" w:type="dxa"/>
            </w:tcMar>
            <w:vAlign w:val="center"/>
            <w:hideMark/>
          </w:tcPr>
          <w:p w14:paraId="6B9CB8B6" w14:textId="77777777" w:rsidR="003B1ECB" w:rsidRPr="005176AF" w:rsidRDefault="003B1ECB" w:rsidP="00ED3E8F">
            <w:pPr>
              <w:rPr>
                <w:bCs/>
              </w:rPr>
            </w:pPr>
            <w:r w:rsidRPr="005176AF">
              <w:rPr>
                <w:bCs/>
              </w:rPr>
              <w:t>189.41</w:t>
            </w:r>
          </w:p>
        </w:tc>
        <w:tc>
          <w:tcPr>
            <w:tcW w:w="0" w:type="auto"/>
            <w:tcMar>
              <w:top w:w="15" w:type="dxa"/>
              <w:left w:w="75" w:type="dxa"/>
              <w:bottom w:w="15" w:type="dxa"/>
              <w:right w:w="75" w:type="dxa"/>
            </w:tcMar>
            <w:vAlign w:val="center"/>
            <w:hideMark/>
          </w:tcPr>
          <w:p w14:paraId="76671939" w14:textId="77777777" w:rsidR="003B1ECB" w:rsidRPr="005176AF" w:rsidRDefault="003B1ECB" w:rsidP="00ED3E8F">
            <w:pPr>
              <w:rPr>
                <w:bCs/>
              </w:rPr>
            </w:pPr>
            <w:r w:rsidRPr="005176AF">
              <w:rPr>
                <w:bCs/>
              </w:rPr>
              <w:t>895.25</w:t>
            </w:r>
          </w:p>
        </w:tc>
        <w:tc>
          <w:tcPr>
            <w:tcW w:w="0" w:type="auto"/>
            <w:tcMar>
              <w:top w:w="15" w:type="dxa"/>
              <w:left w:w="75" w:type="dxa"/>
              <w:bottom w:w="15" w:type="dxa"/>
              <w:right w:w="75" w:type="dxa"/>
            </w:tcMar>
            <w:vAlign w:val="center"/>
            <w:hideMark/>
          </w:tcPr>
          <w:p w14:paraId="6C3F8A54" w14:textId="77777777" w:rsidR="003B1ECB" w:rsidRPr="005176AF" w:rsidRDefault="003B1ECB" w:rsidP="00ED3E8F">
            <w:pPr>
              <w:rPr>
                <w:bCs/>
              </w:rPr>
            </w:pPr>
            <w:r w:rsidRPr="005176AF">
              <w:rPr>
                <w:bCs/>
              </w:rPr>
              <w:t>661.65</w:t>
            </w:r>
          </w:p>
        </w:tc>
      </w:tr>
      <w:tr w:rsidR="003B1ECB" w:rsidRPr="005176AF" w14:paraId="74D9ABB9" w14:textId="77777777" w:rsidTr="00ED3E8F">
        <w:trPr>
          <w:trHeight w:val="439"/>
        </w:trPr>
        <w:tc>
          <w:tcPr>
            <w:tcW w:w="0" w:type="auto"/>
            <w:tcBorders>
              <w:bottom w:val="nil"/>
            </w:tcBorders>
            <w:tcMar>
              <w:top w:w="15" w:type="dxa"/>
              <w:left w:w="75" w:type="dxa"/>
              <w:bottom w:w="15" w:type="dxa"/>
              <w:right w:w="75" w:type="dxa"/>
            </w:tcMar>
            <w:vAlign w:val="center"/>
            <w:hideMark/>
          </w:tcPr>
          <w:p w14:paraId="197ADF41" w14:textId="77777777" w:rsidR="003B1ECB" w:rsidRPr="005176AF" w:rsidRDefault="003B1ECB" w:rsidP="00ED3E8F">
            <w:pPr>
              <w:rPr>
                <w:bCs/>
              </w:rPr>
            </w:pPr>
            <w:r w:rsidRPr="005176AF">
              <w:rPr>
                <w:bCs/>
              </w:rPr>
              <w:t>Num</w:t>
            </w:r>
            <w:r>
              <w:rPr>
                <w:bCs/>
              </w:rPr>
              <w:t>ber of observations</w:t>
            </w:r>
          </w:p>
        </w:tc>
        <w:tc>
          <w:tcPr>
            <w:tcW w:w="0" w:type="auto"/>
            <w:tcBorders>
              <w:bottom w:val="nil"/>
            </w:tcBorders>
            <w:tcMar>
              <w:top w:w="15" w:type="dxa"/>
              <w:left w:w="75" w:type="dxa"/>
              <w:bottom w:w="15" w:type="dxa"/>
              <w:right w:w="75" w:type="dxa"/>
            </w:tcMar>
            <w:vAlign w:val="center"/>
            <w:hideMark/>
          </w:tcPr>
          <w:p w14:paraId="19D37285" w14:textId="77777777" w:rsidR="003B1ECB" w:rsidRPr="005176AF" w:rsidRDefault="003B1ECB" w:rsidP="00ED3E8F">
            <w:pPr>
              <w:rPr>
                <w:bCs/>
              </w:rPr>
            </w:pPr>
            <w:r w:rsidRPr="005176AF">
              <w:rPr>
                <w:bCs/>
              </w:rPr>
              <w:t>109</w:t>
            </w:r>
          </w:p>
        </w:tc>
        <w:tc>
          <w:tcPr>
            <w:tcW w:w="0" w:type="auto"/>
            <w:tcBorders>
              <w:bottom w:val="nil"/>
            </w:tcBorders>
            <w:tcMar>
              <w:top w:w="15" w:type="dxa"/>
              <w:left w:w="75" w:type="dxa"/>
              <w:bottom w:w="15" w:type="dxa"/>
              <w:right w:w="75" w:type="dxa"/>
            </w:tcMar>
            <w:vAlign w:val="center"/>
            <w:hideMark/>
          </w:tcPr>
          <w:p w14:paraId="5FDD0ABE" w14:textId="77777777" w:rsidR="003B1ECB" w:rsidRPr="005176AF" w:rsidRDefault="003B1ECB" w:rsidP="00ED3E8F">
            <w:pPr>
              <w:rPr>
                <w:bCs/>
              </w:rPr>
            </w:pPr>
            <w:r w:rsidRPr="005176AF">
              <w:rPr>
                <w:bCs/>
              </w:rPr>
              <w:t>110</w:t>
            </w:r>
          </w:p>
        </w:tc>
        <w:tc>
          <w:tcPr>
            <w:tcW w:w="0" w:type="auto"/>
            <w:tcBorders>
              <w:bottom w:val="nil"/>
            </w:tcBorders>
            <w:tcMar>
              <w:top w:w="15" w:type="dxa"/>
              <w:left w:w="75" w:type="dxa"/>
              <w:bottom w:w="15" w:type="dxa"/>
              <w:right w:w="75" w:type="dxa"/>
            </w:tcMar>
            <w:vAlign w:val="center"/>
            <w:hideMark/>
          </w:tcPr>
          <w:p w14:paraId="3DF1FE3B" w14:textId="77777777" w:rsidR="003B1ECB" w:rsidRPr="005176AF" w:rsidRDefault="003B1ECB" w:rsidP="00ED3E8F">
            <w:pPr>
              <w:rPr>
                <w:bCs/>
              </w:rPr>
            </w:pPr>
            <w:r w:rsidRPr="005176AF">
              <w:rPr>
                <w:bCs/>
              </w:rPr>
              <w:t>110</w:t>
            </w:r>
          </w:p>
        </w:tc>
        <w:tc>
          <w:tcPr>
            <w:tcW w:w="0" w:type="auto"/>
            <w:tcBorders>
              <w:bottom w:val="nil"/>
            </w:tcBorders>
            <w:tcMar>
              <w:top w:w="15" w:type="dxa"/>
              <w:left w:w="75" w:type="dxa"/>
              <w:bottom w:w="15" w:type="dxa"/>
              <w:right w:w="75" w:type="dxa"/>
            </w:tcMar>
            <w:vAlign w:val="center"/>
            <w:hideMark/>
          </w:tcPr>
          <w:p w14:paraId="07B2E3CC" w14:textId="77777777" w:rsidR="003B1ECB" w:rsidRPr="005176AF" w:rsidRDefault="003B1ECB" w:rsidP="00ED3E8F">
            <w:pPr>
              <w:rPr>
                <w:bCs/>
              </w:rPr>
            </w:pPr>
            <w:r w:rsidRPr="005176AF">
              <w:rPr>
                <w:bCs/>
              </w:rPr>
              <w:t>110</w:t>
            </w:r>
          </w:p>
        </w:tc>
      </w:tr>
      <w:tr w:rsidR="003B1ECB" w:rsidRPr="005176AF" w14:paraId="59A24782" w14:textId="77777777" w:rsidTr="00ED3E8F">
        <w:trPr>
          <w:trHeight w:val="906"/>
        </w:trPr>
        <w:tc>
          <w:tcPr>
            <w:tcW w:w="0" w:type="auto"/>
            <w:tcBorders>
              <w:top w:val="nil"/>
              <w:bottom w:val="single" w:sz="12" w:space="0" w:color="auto"/>
            </w:tcBorders>
            <w:tcMar>
              <w:top w:w="15" w:type="dxa"/>
              <w:left w:w="75" w:type="dxa"/>
              <w:bottom w:w="15" w:type="dxa"/>
              <w:right w:w="75" w:type="dxa"/>
            </w:tcMar>
            <w:vAlign w:val="center"/>
            <w:hideMark/>
          </w:tcPr>
          <w:p w14:paraId="5D9DD543" w14:textId="77777777" w:rsidR="003B1ECB" w:rsidRPr="005176AF" w:rsidRDefault="003B1ECB" w:rsidP="00ED3E8F">
            <w:pPr>
              <w:rPr>
                <w:bCs/>
              </w:rPr>
            </w:pPr>
            <w:r w:rsidRPr="005176AF">
              <w:rPr>
                <w:bCs/>
              </w:rPr>
              <w:t>Num</w:t>
            </w:r>
            <w:r>
              <w:rPr>
                <w:bCs/>
              </w:rPr>
              <w:t>ber of participants</w:t>
            </w:r>
          </w:p>
        </w:tc>
        <w:tc>
          <w:tcPr>
            <w:tcW w:w="0" w:type="auto"/>
            <w:tcBorders>
              <w:top w:val="nil"/>
              <w:bottom w:val="single" w:sz="12" w:space="0" w:color="auto"/>
            </w:tcBorders>
            <w:tcMar>
              <w:top w:w="15" w:type="dxa"/>
              <w:left w:w="75" w:type="dxa"/>
              <w:bottom w:w="15" w:type="dxa"/>
              <w:right w:w="75" w:type="dxa"/>
            </w:tcMar>
            <w:vAlign w:val="center"/>
            <w:hideMark/>
          </w:tcPr>
          <w:p w14:paraId="0B0B4B54" w14:textId="77777777" w:rsidR="003B1ECB" w:rsidRPr="005176AF" w:rsidRDefault="003B1ECB" w:rsidP="00ED3E8F">
            <w:pPr>
              <w:rPr>
                <w:bCs/>
              </w:rPr>
            </w:pPr>
            <w:r w:rsidRPr="005176AF">
              <w:rPr>
                <w:bCs/>
              </w:rPr>
              <w:t>28</w:t>
            </w:r>
          </w:p>
        </w:tc>
        <w:tc>
          <w:tcPr>
            <w:tcW w:w="0" w:type="auto"/>
            <w:tcBorders>
              <w:top w:val="nil"/>
              <w:bottom w:val="single" w:sz="12" w:space="0" w:color="auto"/>
            </w:tcBorders>
            <w:tcMar>
              <w:top w:w="15" w:type="dxa"/>
              <w:left w:w="75" w:type="dxa"/>
              <w:bottom w:w="15" w:type="dxa"/>
              <w:right w:w="75" w:type="dxa"/>
            </w:tcMar>
            <w:vAlign w:val="center"/>
            <w:hideMark/>
          </w:tcPr>
          <w:p w14:paraId="4B557CC7" w14:textId="77777777" w:rsidR="003B1ECB" w:rsidRPr="005176AF" w:rsidRDefault="003B1ECB" w:rsidP="00ED3E8F">
            <w:pPr>
              <w:rPr>
                <w:bCs/>
              </w:rPr>
            </w:pPr>
            <w:r w:rsidRPr="005176AF">
              <w:rPr>
                <w:bCs/>
              </w:rPr>
              <w:t>28</w:t>
            </w:r>
          </w:p>
        </w:tc>
        <w:tc>
          <w:tcPr>
            <w:tcW w:w="0" w:type="auto"/>
            <w:tcBorders>
              <w:top w:val="nil"/>
              <w:bottom w:val="single" w:sz="12" w:space="0" w:color="auto"/>
            </w:tcBorders>
            <w:tcMar>
              <w:top w:w="15" w:type="dxa"/>
              <w:left w:w="75" w:type="dxa"/>
              <w:bottom w:w="15" w:type="dxa"/>
              <w:right w:w="75" w:type="dxa"/>
            </w:tcMar>
            <w:vAlign w:val="center"/>
            <w:hideMark/>
          </w:tcPr>
          <w:p w14:paraId="29A0BF07" w14:textId="77777777" w:rsidR="003B1ECB" w:rsidRPr="005176AF" w:rsidRDefault="003B1ECB" w:rsidP="00ED3E8F">
            <w:pPr>
              <w:rPr>
                <w:bCs/>
              </w:rPr>
            </w:pPr>
            <w:r w:rsidRPr="005176AF">
              <w:rPr>
                <w:bCs/>
              </w:rPr>
              <w:t>28</w:t>
            </w:r>
          </w:p>
        </w:tc>
        <w:tc>
          <w:tcPr>
            <w:tcW w:w="0" w:type="auto"/>
            <w:tcBorders>
              <w:top w:val="nil"/>
              <w:bottom w:val="single" w:sz="12" w:space="0" w:color="auto"/>
            </w:tcBorders>
            <w:tcMar>
              <w:top w:w="15" w:type="dxa"/>
              <w:left w:w="75" w:type="dxa"/>
              <w:bottom w:w="15" w:type="dxa"/>
              <w:right w:w="75" w:type="dxa"/>
            </w:tcMar>
            <w:vAlign w:val="center"/>
            <w:hideMark/>
          </w:tcPr>
          <w:p w14:paraId="16CD3621" w14:textId="77777777" w:rsidR="003B1ECB" w:rsidRPr="005176AF" w:rsidRDefault="003B1ECB" w:rsidP="00ED3E8F">
            <w:pPr>
              <w:rPr>
                <w:bCs/>
              </w:rPr>
            </w:pPr>
            <w:r w:rsidRPr="005176AF">
              <w:rPr>
                <w:bCs/>
              </w:rPr>
              <w:t>28</w:t>
            </w:r>
          </w:p>
        </w:tc>
      </w:tr>
    </w:tbl>
    <w:p w14:paraId="419E36EB" w14:textId="77777777" w:rsidR="003B1ECB" w:rsidRDefault="003B1ECB" w:rsidP="00ED3E8F">
      <w:pPr>
        <w:rPr>
          <w:bCs/>
        </w:rPr>
      </w:pPr>
      <w:r>
        <w:rPr>
          <w:bCs/>
        </w:rPr>
        <w:t>* 0 outside of confidence interval</w:t>
      </w:r>
    </w:p>
    <w:p w14:paraId="6DADB667" w14:textId="77777777" w:rsidR="003B1ECB" w:rsidRPr="005176AF" w:rsidRDefault="003B1ECB" w:rsidP="00ED3E8F">
      <w:r w:rsidRPr="005176AF">
        <w:rPr>
          <w:i/>
          <w:iCs/>
        </w:rPr>
        <w:t>Note</w:t>
      </w:r>
      <w:r w:rsidRPr="005176AF">
        <w:t>. TSC-</w:t>
      </w:r>
      <w:r>
        <w:t>P</w:t>
      </w:r>
      <w:r w:rsidRPr="005176AF">
        <w:t xml:space="preserve"> = Trichotillomania Scale for C</w:t>
      </w:r>
      <w:r>
        <w:t>hildren</w:t>
      </w:r>
      <w:r w:rsidRPr="005176AF">
        <w:t xml:space="preserve"> (</w:t>
      </w:r>
      <w:r>
        <w:t>Parent</w:t>
      </w:r>
      <w:r w:rsidRPr="005176AF">
        <w:t xml:space="preserve">-Report); YOQ-P = Youth Outcomes Questionnaire (Parent-Report); </w:t>
      </w:r>
      <w:r>
        <w:t>PAQ = Parental Acceptance Questionnaire</w:t>
      </w:r>
      <w:r w:rsidRPr="005176AF">
        <w:t xml:space="preserve">; </w:t>
      </w:r>
      <w:r>
        <w:t xml:space="preserve">AIC = Akaike Information Criterion; </w:t>
      </w:r>
      <w:r w:rsidRPr="005176AF">
        <w:t>BIC = Bayesian Information Criterion.</w:t>
      </w:r>
    </w:p>
    <w:p w14:paraId="3C3B6FE0" w14:textId="77777777" w:rsidR="003B1ECB" w:rsidRPr="005176AF" w:rsidRDefault="003B1ECB" w:rsidP="00ED3E8F">
      <w:pPr>
        <w:sectPr w:rsidR="003B1ECB" w:rsidRPr="005176AF" w:rsidSect="00ED3E8F">
          <w:pgSz w:w="15840" w:h="12240" w:orient="landscape"/>
          <w:pgMar w:top="1440" w:right="1440" w:bottom="1440" w:left="1440" w:header="720" w:footer="720" w:gutter="0"/>
          <w:cols w:space="720"/>
          <w:docGrid w:linePitch="360"/>
        </w:sectPr>
      </w:pPr>
    </w:p>
    <w:p w14:paraId="4F3FB1ED" w14:textId="020D1750" w:rsidR="003B1ECB" w:rsidRPr="00E9621A" w:rsidRDefault="003B1ECB" w:rsidP="00ED3E8F">
      <w:pPr>
        <w:rPr>
          <w:bCs/>
        </w:rPr>
      </w:pPr>
      <w:r w:rsidRPr="00E9621A">
        <w:rPr>
          <w:bCs/>
        </w:rPr>
        <w:lastRenderedPageBreak/>
        <w:t xml:space="preserve">Table </w:t>
      </w:r>
      <w:r w:rsidR="0078029C">
        <w:rPr>
          <w:bCs/>
        </w:rPr>
        <w:t>4</w:t>
      </w:r>
    </w:p>
    <w:p w14:paraId="5999AADC" w14:textId="73EA227A" w:rsidR="003B1ECB" w:rsidRPr="00E9621A" w:rsidRDefault="003B1ECB" w:rsidP="00ED3E8F">
      <w:pPr>
        <w:rPr>
          <w:bCs/>
          <w:i/>
          <w:iCs/>
        </w:rPr>
      </w:pPr>
      <w:r w:rsidRPr="00E9621A">
        <w:rPr>
          <w:bCs/>
          <w:i/>
          <w:iCs/>
        </w:rPr>
        <w:t xml:space="preserve">Hedges’ g effect sizes </w:t>
      </w:r>
      <w:r>
        <w:rPr>
          <w:bCs/>
          <w:i/>
          <w:iCs/>
        </w:rPr>
        <w:t xml:space="preserve">from pre-treatment </w:t>
      </w:r>
      <w:r w:rsidRPr="00E9621A">
        <w:rPr>
          <w:bCs/>
          <w:i/>
          <w:iCs/>
        </w:rPr>
        <w:t xml:space="preserve">within </w:t>
      </w:r>
      <w:r>
        <w:rPr>
          <w:bCs/>
          <w:i/>
          <w:iCs/>
        </w:rPr>
        <w:t>the sample for youth</w:t>
      </w:r>
      <w:r w:rsidR="00B112CD">
        <w:rPr>
          <w:bCs/>
          <w:i/>
          <w:iCs/>
        </w:rPr>
        <w:t xml:space="preserve"> and parent</w:t>
      </w:r>
      <w:r>
        <w:rPr>
          <w:bCs/>
          <w:i/>
          <w:iCs/>
        </w:rPr>
        <w:t xml:space="preserve"> measures</w:t>
      </w:r>
      <w:r w:rsidRPr="00E9621A">
        <w:rPr>
          <w:bCs/>
          <w:i/>
          <w:iCs/>
        </w:rPr>
        <w:t xml:space="preserve"> across timepoints </w:t>
      </w:r>
    </w:p>
    <w:tbl>
      <w:tblPr>
        <w:tblW w:w="11645" w:type="dxa"/>
        <w:tblLayout w:type="fixed"/>
        <w:tblLook w:val="04A0" w:firstRow="1" w:lastRow="0" w:firstColumn="1" w:lastColumn="0" w:noHBand="0" w:noVBand="1"/>
      </w:tblPr>
      <w:tblGrid>
        <w:gridCol w:w="3019"/>
        <w:gridCol w:w="2156"/>
        <w:gridCol w:w="2157"/>
        <w:gridCol w:w="2156"/>
        <w:gridCol w:w="2157"/>
      </w:tblGrid>
      <w:tr w:rsidR="003B1ECB" w:rsidRPr="00E9621A" w14:paraId="4899636B" w14:textId="77777777" w:rsidTr="00C21CCB">
        <w:trPr>
          <w:trHeight w:val="545"/>
        </w:trPr>
        <w:tc>
          <w:tcPr>
            <w:tcW w:w="3019" w:type="dxa"/>
            <w:tcBorders>
              <w:top w:val="single" w:sz="4" w:space="0" w:color="auto"/>
              <w:left w:val="nil"/>
              <w:bottom w:val="single" w:sz="4" w:space="0" w:color="auto"/>
              <w:right w:val="nil"/>
            </w:tcBorders>
            <w:shd w:val="clear" w:color="auto" w:fill="auto"/>
            <w:noWrap/>
            <w:vAlign w:val="bottom"/>
          </w:tcPr>
          <w:p w14:paraId="773CAAFC" w14:textId="77777777" w:rsidR="003B1ECB" w:rsidRPr="00E9621A" w:rsidRDefault="003B1ECB" w:rsidP="00ED3E8F">
            <w:pPr>
              <w:rPr>
                <w:bCs/>
              </w:rPr>
            </w:pPr>
          </w:p>
        </w:tc>
        <w:tc>
          <w:tcPr>
            <w:tcW w:w="2156" w:type="dxa"/>
            <w:tcBorders>
              <w:top w:val="single" w:sz="4" w:space="0" w:color="auto"/>
              <w:left w:val="nil"/>
              <w:bottom w:val="single" w:sz="4" w:space="0" w:color="auto"/>
              <w:right w:val="nil"/>
            </w:tcBorders>
            <w:vAlign w:val="center"/>
          </w:tcPr>
          <w:p w14:paraId="6D78896B" w14:textId="77777777" w:rsidR="003B1ECB" w:rsidRPr="00E9621A" w:rsidRDefault="003B1ECB" w:rsidP="00931C3F">
            <w:pPr>
              <w:rPr>
                <w:bCs/>
              </w:rPr>
            </w:pPr>
            <w:r>
              <w:rPr>
                <w:bCs/>
              </w:rPr>
              <w:t>Post-treatment</w:t>
            </w:r>
          </w:p>
        </w:tc>
        <w:tc>
          <w:tcPr>
            <w:tcW w:w="2157" w:type="dxa"/>
            <w:tcBorders>
              <w:top w:val="single" w:sz="4" w:space="0" w:color="auto"/>
              <w:left w:val="nil"/>
              <w:bottom w:val="single" w:sz="4" w:space="0" w:color="auto"/>
              <w:right w:val="nil"/>
            </w:tcBorders>
            <w:vAlign w:val="center"/>
          </w:tcPr>
          <w:p w14:paraId="443CC216" w14:textId="77777777" w:rsidR="003B1ECB" w:rsidRPr="00E9621A" w:rsidRDefault="003B1ECB" w:rsidP="00931C3F">
            <w:pPr>
              <w:rPr>
                <w:bCs/>
              </w:rPr>
            </w:pPr>
            <w:r>
              <w:rPr>
                <w:bCs/>
              </w:rPr>
              <w:t>Three-month</w:t>
            </w:r>
          </w:p>
        </w:tc>
        <w:tc>
          <w:tcPr>
            <w:tcW w:w="2156" w:type="dxa"/>
            <w:tcBorders>
              <w:top w:val="single" w:sz="4" w:space="0" w:color="auto"/>
              <w:left w:val="nil"/>
              <w:bottom w:val="single" w:sz="4" w:space="0" w:color="auto"/>
              <w:right w:val="nil"/>
            </w:tcBorders>
            <w:vAlign w:val="center"/>
          </w:tcPr>
          <w:p w14:paraId="69EE9557" w14:textId="77777777" w:rsidR="003B1ECB" w:rsidRPr="00E9621A" w:rsidRDefault="003B1ECB" w:rsidP="00931C3F">
            <w:pPr>
              <w:rPr>
                <w:bCs/>
              </w:rPr>
            </w:pPr>
            <w:r>
              <w:rPr>
                <w:bCs/>
              </w:rPr>
              <w:t>Six-month</w:t>
            </w:r>
          </w:p>
        </w:tc>
        <w:tc>
          <w:tcPr>
            <w:tcW w:w="2157" w:type="dxa"/>
            <w:tcBorders>
              <w:top w:val="single" w:sz="4" w:space="0" w:color="auto"/>
              <w:left w:val="nil"/>
              <w:bottom w:val="single" w:sz="4" w:space="0" w:color="auto"/>
              <w:right w:val="nil"/>
            </w:tcBorders>
            <w:vAlign w:val="center"/>
          </w:tcPr>
          <w:p w14:paraId="00E41229" w14:textId="77777777" w:rsidR="003B1ECB" w:rsidRPr="00E9621A" w:rsidRDefault="003B1ECB" w:rsidP="00931C3F">
            <w:pPr>
              <w:rPr>
                <w:bCs/>
              </w:rPr>
            </w:pPr>
            <w:r>
              <w:rPr>
                <w:bCs/>
              </w:rPr>
              <w:t>12-month</w:t>
            </w:r>
          </w:p>
        </w:tc>
      </w:tr>
      <w:tr w:rsidR="003B1ECB" w:rsidRPr="00E9621A" w14:paraId="63590D24" w14:textId="77777777" w:rsidTr="00ED3E8F">
        <w:trPr>
          <w:trHeight w:val="545"/>
        </w:trPr>
        <w:tc>
          <w:tcPr>
            <w:tcW w:w="3019" w:type="dxa"/>
            <w:tcBorders>
              <w:top w:val="nil"/>
              <w:left w:val="nil"/>
              <w:bottom w:val="nil"/>
              <w:right w:val="nil"/>
            </w:tcBorders>
            <w:shd w:val="clear" w:color="auto" w:fill="auto"/>
            <w:noWrap/>
            <w:vAlign w:val="center"/>
            <w:hideMark/>
          </w:tcPr>
          <w:p w14:paraId="3F87E660" w14:textId="77777777" w:rsidR="003B1ECB" w:rsidRPr="00E9621A" w:rsidRDefault="003B1ECB" w:rsidP="00ED3E8F">
            <w:pPr>
              <w:rPr>
                <w:bCs/>
              </w:rPr>
            </w:pPr>
            <w:r>
              <w:rPr>
                <w:bCs/>
              </w:rPr>
              <w:t>TSC-Y Severity</w:t>
            </w:r>
          </w:p>
        </w:tc>
        <w:tc>
          <w:tcPr>
            <w:tcW w:w="2156" w:type="dxa"/>
            <w:tcBorders>
              <w:top w:val="nil"/>
              <w:left w:val="nil"/>
              <w:bottom w:val="nil"/>
              <w:right w:val="nil"/>
            </w:tcBorders>
            <w:vAlign w:val="center"/>
          </w:tcPr>
          <w:p w14:paraId="5B9DC265" w14:textId="77777777" w:rsidR="003B1ECB" w:rsidRPr="00E9621A" w:rsidRDefault="003B1ECB" w:rsidP="00ED3E8F">
            <w:pPr>
              <w:rPr>
                <w:bCs/>
              </w:rPr>
            </w:pPr>
            <w:r>
              <w:rPr>
                <w:bCs/>
              </w:rPr>
              <w:t>1.27</w:t>
            </w:r>
          </w:p>
        </w:tc>
        <w:tc>
          <w:tcPr>
            <w:tcW w:w="2157" w:type="dxa"/>
            <w:tcBorders>
              <w:top w:val="nil"/>
              <w:left w:val="nil"/>
              <w:bottom w:val="nil"/>
              <w:right w:val="nil"/>
            </w:tcBorders>
            <w:shd w:val="clear" w:color="auto" w:fill="auto"/>
            <w:noWrap/>
            <w:vAlign w:val="center"/>
            <w:hideMark/>
          </w:tcPr>
          <w:p w14:paraId="4E378E82" w14:textId="77777777" w:rsidR="003B1ECB" w:rsidRPr="00E9621A" w:rsidRDefault="003B1ECB" w:rsidP="00ED3E8F">
            <w:pPr>
              <w:rPr>
                <w:bCs/>
              </w:rPr>
            </w:pPr>
            <w:r>
              <w:rPr>
                <w:bCs/>
              </w:rPr>
              <w:t>1.04</w:t>
            </w:r>
          </w:p>
        </w:tc>
        <w:tc>
          <w:tcPr>
            <w:tcW w:w="2156" w:type="dxa"/>
            <w:tcBorders>
              <w:top w:val="nil"/>
              <w:left w:val="nil"/>
              <w:bottom w:val="nil"/>
              <w:right w:val="nil"/>
            </w:tcBorders>
            <w:vAlign w:val="center"/>
          </w:tcPr>
          <w:p w14:paraId="4462E7B2" w14:textId="77777777" w:rsidR="003B1ECB" w:rsidRPr="00E9621A" w:rsidRDefault="003B1ECB" w:rsidP="00ED3E8F">
            <w:pPr>
              <w:rPr>
                <w:bCs/>
              </w:rPr>
            </w:pPr>
            <w:r>
              <w:rPr>
                <w:bCs/>
              </w:rPr>
              <w:t>1.34</w:t>
            </w:r>
          </w:p>
        </w:tc>
        <w:tc>
          <w:tcPr>
            <w:tcW w:w="2157" w:type="dxa"/>
            <w:tcBorders>
              <w:top w:val="nil"/>
              <w:left w:val="nil"/>
              <w:bottom w:val="nil"/>
              <w:right w:val="nil"/>
            </w:tcBorders>
            <w:vAlign w:val="center"/>
          </w:tcPr>
          <w:p w14:paraId="215F62AB" w14:textId="77777777" w:rsidR="003B1ECB" w:rsidRPr="00E9621A" w:rsidRDefault="003B1ECB" w:rsidP="00ED3E8F">
            <w:pPr>
              <w:rPr>
                <w:bCs/>
              </w:rPr>
            </w:pPr>
            <w:r>
              <w:rPr>
                <w:bCs/>
              </w:rPr>
              <w:t>1.09</w:t>
            </w:r>
          </w:p>
        </w:tc>
      </w:tr>
      <w:tr w:rsidR="003B1ECB" w:rsidRPr="00E9621A" w14:paraId="662B8D36" w14:textId="77777777" w:rsidTr="00ED3E8F">
        <w:trPr>
          <w:trHeight w:val="545"/>
        </w:trPr>
        <w:tc>
          <w:tcPr>
            <w:tcW w:w="3019" w:type="dxa"/>
            <w:tcBorders>
              <w:top w:val="nil"/>
              <w:left w:val="nil"/>
              <w:bottom w:val="nil"/>
              <w:right w:val="nil"/>
            </w:tcBorders>
            <w:shd w:val="clear" w:color="auto" w:fill="auto"/>
            <w:noWrap/>
            <w:vAlign w:val="center"/>
            <w:hideMark/>
          </w:tcPr>
          <w:p w14:paraId="6A5A01CE" w14:textId="77777777" w:rsidR="003B1ECB" w:rsidRPr="00E9621A" w:rsidRDefault="003B1ECB" w:rsidP="00ED3E8F">
            <w:pPr>
              <w:rPr>
                <w:bCs/>
              </w:rPr>
            </w:pPr>
            <w:r>
              <w:rPr>
                <w:bCs/>
              </w:rPr>
              <w:t>TSC-Y Distress</w:t>
            </w:r>
          </w:p>
        </w:tc>
        <w:tc>
          <w:tcPr>
            <w:tcW w:w="2156" w:type="dxa"/>
            <w:tcBorders>
              <w:top w:val="nil"/>
              <w:left w:val="nil"/>
              <w:bottom w:val="nil"/>
              <w:right w:val="nil"/>
            </w:tcBorders>
            <w:vAlign w:val="center"/>
          </w:tcPr>
          <w:p w14:paraId="1A0432F9" w14:textId="77777777" w:rsidR="003B1ECB" w:rsidRPr="00E9621A" w:rsidRDefault="003B1ECB" w:rsidP="00ED3E8F">
            <w:pPr>
              <w:rPr>
                <w:bCs/>
              </w:rPr>
            </w:pPr>
            <w:r>
              <w:rPr>
                <w:bCs/>
              </w:rPr>
              <w:t>.67</w:t>
            </w:r>
          </w:p>
        </w:tc>
        <w:tc>
          <w:tcPr>
            <w:tcW w:w="2157" w:type="dxa"/>
            <w:tcBorders>
              <w:top w:val="nil"/>
              <w:left w:val="nil"/>
              <w:bottom w:val="nil"/>
              <w:right w:val="nil"/>
            </w:tcBorders>
            <w:shd w:val="clear" w:color="auto" w:fill="auto"/>
            <w:noWrap/>
            <w:vAlign w:val="center"/>
            <w:hideMark/>
          </w:tcPr>
          <w:p w14:paraId="2E244CF4" w14:textId="77777777" w:rsidR="003B1ECB" w:rsidRPr="00E9621A" w:rsidRDefault="003B1ECB" w:rsidP="00ED3E8F">
            <w:pPr>
              <w:rPr>
                <w:bCs/>
              </w:rPr>
            </w:pPr>
            <w:r>
              <w:rPr>
                <w:bCs/>
              </w:rPr>
              <w:t>.62</w:t>
            </w:r>
          </w:p>
        </w:tc>
        <w:tc>
          <w:tcPr>
            <w:tcW w:w="2156" w:type="dxa"/>
            <w:tcBorders>
              <w:top w:val="nil"/>
              <w:left w:val="nil"/>
              <w:bottom w:val="nil"/>
              <w:right w:val="nil"/>
            </w:tcBorders>
            <w:vAlign w:val="center"/>
          </w:tcPr>
          <w:p w14:paraId="41A905F5" w14:textId="77777777" w:rsidR="003B1ECB" w:rsidRPr="00E9621A" w:rsidRDefault="003B1ECB" w:rsidP="00ED3E8F">
            <w:pPr>
              <w:rPr>
                <w:bCs/>
              </w:rPr>
            </w:pPr>
            <w:r>
              <w:rPr>
                <w:bCs/>
              </w:rPr>
              <w:t>.75</w:t>
            </w:r>
          </w:p>
        </w:tc>
        <w:tc>
          <w:tcPr>
            <w:tcW w:w="2157" w:type="dxa"/>
            <w:tcBorders>
              <w:top w:val="nil"/>
              <w:left w:val="nil"/>
              <w:bottom w:val="nil"/>
              <w:right w:val="nil"/>
            </w:tcBorders>
            <w:vAlign w:val="center"/>
          </w:tcPr>
          <w:p w14:paraId="0C564F44" w14:textId="77777777" w:rsidR="003B1ECB" w:rsidRPr="00E9621A" w:rsidRDefault="003B1ECB" w:rsidP="00ED3E8F">
            <w:pPr>
              <w:rPr>
                <w:bCs/>
              </w:rPr>
            </w:pPr>
            <w:r>
              <w:rPr>
                <w:bCs/>
              </w:rPr>
              <w:t>.55</w:t>
            </w:r>
          </w:p>
        </w:tc>
      </w:tr>
      <w:tr w:rsidR="003B1ECB" w:rsidRPr="00E9621A" w14:paraId="520E1703" w14:textId="77777777" w:rsidTr="00ED3E8F">
        <w:trPr>
          <w:trHeight w:val="545"/>
        </w:trPr>
        <w:tc>
          <w:tcPr>
            <w:tcW w:w="3019" w:type="dxa"/>
            <w:tcBorders>
              <w:top w:val="nil"/>
              <w:left w:val="nil"/>
              <w:bottom w:val="nil"/>
              <w:right w:val="nil"/>
            </w:tcBorders>
            <w:shd w:val="clear" w:color="auto" w:fill="auto"/>
            <w:noWrap/>
            <w:vAlign w:val="center"/>
            <w:hideMark/>
          </w:tcPr>
          <w:p w14:paraId="2FD54296" w14:textId="77777777" w:rsidR="003B1ECB" w:rsidRPr="00E9621A" w:rsidRDefault="003B1ECB" w:rsidP="00ED3E8F">
            <w:pPr>
              <w:rPr>
                <w:bCs/>
              </w:rPr>
            </w:pPr>
            <w:r>
              <w:rPr>
                <w:bCs/>
              </w:rPr>
              <w:t>YOQ-Y</w:t>
            </w:r>
          </w:p>
        </w:tc>
        <w:tc>
          <w:tcPr>
            <w:tcW w:w="2156" w:type="dxa"/>
            <w:tcBorders>
              <w:top w:val="nil"/>
              <w:left w:val="nil"/>
              <w:bottom w:val="nil"/>
              <w:right w:val="nil"/>
            </w:tcBorders>
            <w:vAlign w:val="center"/>
          </w:tcPr>
          <w:p w14:paraId="23683289" w14:textId="77777777" w:rsidR="003B1ECB" w:rsidRPr="00E9621A" w:rsidRDefault="003B1ECB" w:rsidP="00ED3E8F">
            <w:pPr>
              <w:rPr>
                <w:bCs/>
              </w:rPr>
            </w:pPr>
            <w:r>
              <w:rPr>
                <w:bCs/>
              </w:rPr>
              <w:t>.15</w:t>
            </w:r>
          </w:p>
        </w:tc>
        <w:tc>
          <w:tcPr>
            <w:tcW w:w="2157" w:type="dxa"/>
            <w:tcBorders>
              <w:top w:val="nil"/>
              <w:left w:val="nil"/>
              <w:bottom w:val="nil"/>
              <w:right w:val="nil"/>
            </w:tcBorders>
            <w:shd w:val="clear" w:color="auto" w:fill="auto"/>
            <w:noWrap/>
            <w:vAlign w:val="center"/>
            <w:hideMark/>
          </w:tcPr>
          <w:p w14:paraId="6F677487" w14:textId="77777777" w:rsidR="003B1ECB" w:rsidRPr="00E9621A" w:rsidRDefault="003B1ECB" w:rsidP="00ED3E8F">
            <w:pPr>
              <w:rPr>
                <w:bCs/>
              </w:rPr>
            </w:pPr>
            <w:r>
              <w:rPr>
                <w:bCs/>
              </w:rPr>
              <w:t>.39</w:t>
            </w:r>
          </w:p>
        </w:tc>
        <w:tc>
          <w:tcPr>
            <w:tcW w:w="2156" w:type="dxa"/>
            <w:tcBorders>
              <w:top w:val="nil"/>
              <w:left w:val="nil"/>
              <w:bottom w:val="nil"/>
              <w:right w:val="nil"/>
            </w:tcBorders>
            <w:vAlign w:val="center"/>
          </w:tcPr>
          <w:p w14:paraId="6EEE592C" w14:textId="77777777" w:rsidR="003B1ECB" w:rsidRPr="00E9621A" w:rsidRDefault="003B1ECB" w:rsidP="00ED3E8F">
            <w:pPr>
              <w:rPr>
                <w:bCs/>
              </w:rPr>
            </w:pPr>
            <w:r>
              <w:rPr>
                <w:bCs/>
              </w:rPr>
              <w:t>.25</w:t>
            </w:r>
          </w:p>
        </w:tc>
        <w:tc>
          <w:tcPr>
            <w:tcW w:w="2157" w:type="dxa"/>
            <w:tcBorders>
              <w:top w:val="nil"/>
              <w:left w:val="nil"/>
              <w:bottom w:val="nil"/>
              <w:right w:val="nil"/>
            </w:tcBorders>
            <w:vAlign w:val="center"/>
          </w:tcPr>
          <w:p w14:paraId="48DFF02F" w14:textId="77777777" w:rsidR="003B1ECB" w:rsidRPr="00E9621A" w:rsidRDefault="003B1ECB" w:rsidP="00ED3E8F">
            <w:pPr>
              <w:rPr>
                <w:bCs/>
              </w:rPr>
            </w:pPr>
            <w:r>
              <w:rPr>
                <w:bCs/>
              </w:rPr>
              <w:t>.14</w:t>
            </w:r>
          </w:p>
        </w:tc>
      </w:tr>
      <w:tr w:rsidR="003B1ECB" w:rsidRPr="00E9621A" w14:paraId="541D97B0" w14:textId="77777777" w:rsidTr="00ED3E8F">
        <w:trPr>
          <w:trHeight w:val="545"/>
        </w:trPr>
        <w:tc>
          <w:tcPr>
            <w:tcW w:w="3019" w:type="dxa"/>
            <w:tcBorders>
              <w:top w:val="nil"/>
              <w:left w:val="nil"/>
              <w:bottom w:val="nil"/>
              <w:right w:val="nil"/>
            </w:tcBorders>
            <w:shd w:val="clear" w:color="auto" w:fill="auto"/>
            <w:noWrap/>
            <w:vAlign w:val="center"/>
            <w:hideMark/>
          </w:tcPr>
          <w:p w14:paraId="0195A310" w14:textId="77777777" w:rsidR="003B1ECB" w:rsidRPr="00E9621A" w:rsidRDefault="003B1ECB" w:rsidP="00ED3E8F">
            <w:pPr>
              <w:rPr>
                <w:bCs/>
              </w:rPr>
            </w:pPr>
            <w:r>
              <w:rPr>
                <w:bCs/>
              </w:rPr>
              <w:t>AAQ-TTM</w:t>
            </w:r>
          </w:p>
        </w:tc>
        <w:tc>
          <w:tcPr>
            <w:tcW w:w="2156" w:type="dxa"/>
            <w:tcBorders>
              <w:top w:val="nil"/>
              <w:left w:val="nil"/>
              <w:bottom w:val="nil"/>
              <w:right w:val="nil"/>
            </w:tcBorders>
            <w:vAlign w:val="center"/>
          </w:tcPr>
          <w:p w14:paraId="649D4F89" w14:textId="77777777" w:rsidR="003B1ECB" w:rsidRPr="00E9621A" w:rsidRDefault="003B1ECB" w:rsidP="00ED3E8F">
            <w:pPr>
              <w:rPr>
                <w:bCs/>
              </w:rPr>
            </w:pPr>
            <w:r>
              <w:rPr>
                <w:bCs/>
              </w:rPr>
              <w:t>-.41</w:t>
            </w:r>
          </w:p>
        </w:tc>
        <w:tc>
          <w:tcPr>
            <w:tcW w:w="2157" w:type="dxa"/>
            <w:tcBorders>
              <w:top w:val="nil"/>
              <w:left w:val="nil"/>
              <w:bottom w:val="nil"/>
              <w:right w:val="nil"/>
            </w:tcBorders>
            <w:shd w:val="clear" w:color="auto" w:fill="auto"/>
            <w:noWrap/>
            <w:vAlign w:val="center"/>
            <w:hideMark/>
          </w:tcPr>
          <w:p w14:paraId="020139DA" w14:textId="77777777" w:rsidR="003B1ECB" w:rsidRPr="00E9621A" w:rsidRDefault="003B1ECB" w:rsidP="00ED3E8F">
            <w:pPr>
              <w:rPr>
                <w:bCs/>
              </w:rPr>
            </w:pPr>
            <w:r>
              <w:rPr>
                <w:bCs/>
              </w:rPr>
              <w:t>-.43</w:t>
            </w:r>
          </w:p>
        </w:tc>
        <w:tc>
          <w:tcPr>
            <w:tcW w:w="2156" w:type="dxa"/>
            <w:tcBorders>
              <w:top w:val="nil"/>
              <w:left w:val="nil"/>
              <w:bottom w:val="nil"/>
              <w:right w:val="nil"/>
            </w:tcBorders>
            <w:vAlign w:val="center"/>
          </w:tcPr>
          <w:p w14:paraId="04152189" w14:textId="77777777" w:rsidR="003B1ECB" w:rsidRPr="00E9621A" w:rsidRDefault="003B1ECB" w:rsidP="00ED3E8F">
            <w:pPr>
              <w:rPr>
                <w:bCs/>
              </w:rPr>
            </w:pPr>
            <w:r>
              <w:rPr>
                <w:bCs/>
              </w:rPr>
              <w:t>-.53</w:t>
            </w:r>
          </w:p>
        </w:tc>
        <w:tc>
          <w:tcPr>
            <w:tcW w:w="2157" w:type="dxa"/>
            <w:tcBorders>
              <w:top w:val="nil"/>
              <w:left w:val="nil"/>
              <w:bottom w:val="nil"/>
              <w:right w:val="nil"/>
            </w:tcBorders>
            <w:vAlign w:val="center"/>
          </w:tcPr>
          <w:p w14:paraId="39B4473C" w14:textId="77777777" w:rsidR="003B1ECB" w:rsidRPr="00E9621A" w:rsidRDefault="003B1ECB" w:rsidP="00ED3E8F">
            <w:pPr>
              <w:rPr>
                <w:bCs/>
              </w:rPr>
            </w:pPr>
            <w:r>
              <w:rPr>
                <w:bCs/>
              </w:rPr>
              <w:t>-.47</w:t>
            </w:r>
          </w:p>
        </w:tc>
      </w:tr>
      <w:tr w:rsidR="003B1ECB" w:rsidRPr="00E9621A" w14:paraId="5D2FB25F" w14:textId="77777777" w:rsidTr="0078029C">
        <w:trPr>
          <w:trHeight w:val="545"/>
        </w:trPr>
        <w:tc>
          <w:tcPr>
            <w:tcW w:w="3019" w:type="dxa"/>
            <w:tcBorders>
              <w:top w:val="nil"/>
              <w:left w:val="nil"/>
              <w:bottom w:val="nil"/>
              <w:right w:val="nil"/>
            </w:tcBorders>
            <w:shd w:val="clear" w:color="auto" w:fill="auto"/>
            <w:noWrap/>
            <w:vAlign w:val="center"/>
            <w:hideMark/>
          </w:tcPr>
          <w:p w14:paraId="0E510FC2" w14:textId="77777777" w:rsidR="003B1ECB" w:rsidRPr="00E9621A" w:rsidRDefault="003B1ECB" w:rsidP="00ED3E8F">
            <w:pPr>
              <w:rPr>
                <w:bCs/>
              </w:rPr>
            </w:pPr>
            <w:r>
              <w:rPr>
                <w:bCs/>
              </w:rPr>
              <w:t>AFQ-Y</w:t>
            </w:r>
            <w:r w:rsidR="0051049B">
              <w:rPr>
                <w:bCs/>
              </w:rPr>
              <w:t>8</w:t>
            </w:r>
          </w:p>
        </w:tc>
        <w:tc>
          <w:tcPr>
            <w:tcW w:w="2156" w:type="dxa"/>
            <w:tcBorders>
              <w:top w:val="nil"/>
              <w:left w:val="nil"/>
              <w:bottom w:val="nil"/>
              <w:right w:val="nil"/>
            </w:tcBorders>
            <w:vAlign w:val="center"/>
          </w:tcPr>
          <w:p w14:paraId="56D650A1" w14:textId="77777777" w:rsidR="003B1ECB" w:rsidRPr="00E9621A" w:rsidRDefault="003B1ECB" w:rsidP="00ED3E8F">
            <w:pPr>
              <w:rPr>
                <w:bCs/>
              </w:rPr>
            </w:pPr>
            <w:r>
              <w:rPr>
                <w:bCs/>
              </w:rPr>
              <w:t>.05</w:t>
            </w:r>
          </w:p>
        </w:tc>
        <w:tc>
          <w:tcPr>
            <w:tcW w:w="2157" w:type="dxa"/>
            <w:tcBorders>
              <w:top w:val="nil"/>
              <w:left w:val="nil"/>
              <w:bottom w:val="nil"/>
              <w:right w:val="nil"/>
            </w:tcBorders>
            <w:shd w:val="clear" w:color="auto" w:fill="auto"/>
            <w:noWrap/>
            <w:vAlign w:val="center"/>
            <w:hideMark/>
          </w:tcPr>
          <w:p w14:paraId="76E01171" w14:textId="77777777" w:rsidR="003B1ECB" w:rsidRPr="00E9621A" w:rsidRDefault="003B1ECB" w:rsidP="00ED3E8F">
            <w:pPr>
              <w:rPr>
                <w:bCs/>
              </w:rPr>
            </w:pPr>
            <w:r>
              <w:rPr>
                <w:bCs/>
              </w:rPr>
              <w:t>.12</w:t>
            </w:r>
          </w:p>
        </w:tc>
        <w:tc>
          <w:tcPr>
            <w:tcW w:w="2156" w:type="dxa"/>
            <w:tcBorders>
              <w:top w:val="nil"/>
              <w:left w:val="nil"/>
              <w:bottom w:val="nil"/>
              <w:right w:val="nil"/>
            </w:tcBorders>
            <w:vAlign w:val="center"/>
          </w:tcPr>
          <w:p w14:paraId="0D0A1DE8" w14:textId="77777777" w:rsidR="003B1ECB" w:rsidRPr="00E9621A" w:rsidRDefault="003B1ECB" w:rsidP="00ED3E8F">
            <w:pPr>
              <w:rPr>
                <w:bCs/>
              </w:rPr>
            </w:pPr>
            <w:r w:rsidRPr="00E9621A">
              <w:rPr>
                <w:bCs/>
              </w:rPr>
              <w:t>-</w:t>
            </w:r>
            <w:r>
              <w:rPr>
                <w:bCs/>
              </w:rPr>
              <w:t>.15</w:t>
            </w:r>
          </w:p>
        </w:tc>
        <w:tc>
          <w:tcPr>
            <w:tcW w:w="2157" w:type="dxa"/>
            <w:tcBorders>
              <w:top w:val="nil"/>
              <w:left w:val="nil"/>
              <w:bottom w:val="nil"/>
              <w:right w:val="nil"/>
            </w:tcBorders>
            <w:vAlign w:val="center"/>
          </w:tcPr>
          <w:p w14:paraId="5829F884" w14:textId="77777777" w:rsidR="003B1ECB" w:rsidRPr="00E9621A" w:rsidRDefault="003B1ECB" w:rsidP="00ED3E8F">
            <w:pPr>
              <w:rPr>
                <w:bCs/>
              </w:rPr>
            </w:pPr>
            <w:r>
              <w:rPr>
                <w:bCs/>
              </w:rPr>
              <w:t>-.16</w:t>
            </w:r>
          </w:p>
        </w:tc>
      </w:tr>
      <w:tr w:rsidR="009C1A58" w:rsidRPr="00E9621A" w14:paraId="3ED1898B" w14:textId="77777777" w:rsidTr="0078029C">
        <w:trPr>
          <w:trHeight w:val="545"/>
        </w:trPr>
        <w:tc>
          <w:tcPr>
            <w:tcW w:w="3019" w:type="dxa"/>
            <w:tcBorders>
              <w:top w:val="nil"/>
              <w:left w:val="nil"/>
              <w:bottom w:val="nil"/>
              <w:right w:val="nil"/>
            </w:tcBorders>
            <w:shd w:val="clear" w:color="auto" w:fill="auto"/>
            <w:noWrap/>
            <w:vAlign w:val="center"/>
          </w:tcPr>
          <w:p w14:paraId="08887298" w14:textId="5CE3C244" w:rsidR="009C1A58" w:rsidRDefault="009C1A58" w:rsidP="009C1A58">
            <w:pPr>
              <w:rPr>
                <w:bCs/>
              </w:rPr>
            </w:pPr>
            <w:r>
              <w:rPr>
                <w:bCs/>
              </w:rPr>
              <w:t>TSC-P Severity</w:t>
            </w:r>
          </w:p>
        </w:tc>
        <w:tc>
          <w:tcPr>
            <w:tcW w:w="2156" w:type="dxa"/>
            <w:tcBorders>
              <w:top w:val="nil"/>
              <w:left w:val="nil"/>
              <w:bottom w:val="nil"/>
              <w:right w:val="nil"/>
            </w:tcBorders>
            <w:vAlign w:val="center"/>
          </w:tcPr>
          <w:p w14:paraId="75A0DE53" w14:textId="28A08A50" w:rsidR="009C1A58" w:rsidRDefault="009C1A58" w:rsidP="009C1A58">
            <w:pPr>
              <w:rPr>
                <w:bCs/>
              </w:rPr>
            </w:pPr>
            <w:r>
              <w:rPr>
                <w:bCs/>
              </w:rPr>
              <w:t>1.08</w:t>
            </w:r>
          </w:p>
        </w:tc>
        <w:tc>
          <w:tcPr>
            <w:tcW w:w="2157" w:type="dxa"/>
            <w:tcBorders>
              <w:top w:val="nil"/>
              <w:left w:val="nil"/>
              <w:bottom w:val="nil"/>
              <w:right w:val="nil"/>
            </w:tcBorders>
            <w:shd w:val="clear" w:color="auto" w:fill="auto"/>
            <w:noWrap/>
            <w:vAlign w:val="center"/>
          </w:tcPr>
          <w:p w14:paraId="377DFD54" w14:textId="31E6F036" w:rsidR="009C1A58" w:rsidRDefault="009C1A58" w:rsidP="009C1A58">
            <w:pPr>
              <w:rPr>
                <w:bCs/>
              </w:rPr>
            </w:pPr>
            <w:r>
              <w:rPr>
                <w:bCs/>
              </w:rPr>
              <w:t>.71</w:t>
            </w:r>
          </w:p>
        </w:tc>
        <w:tc>
          <w:tcPr>
            <w:tcW w:w="2156" w:type="dxa"/>
            <w:tcBorders>
              <w:top w:val="nil"/>
              <w:left w:val="nil"/>
              <w:bottom w:val="nil"/>
              <w:right w:val="nil"/>
            </w:tcBorders>
            <w:vAlign w:val="center"/>
          </w:tcPr>
          <w:p w14:paraId="776C5DFF" w14:textId="039A1698" w:rsidR="009C1A58" w:rsidRPr="00E9621A" w:rsidRDefault="009C1A58" w:rsidP="009C1A58">
            <w:pPr>
              <w:rPr>
                <w:bCs/>
              </w:rPr>
            </w:pPr>
            <w:r>
              <w:rPr>
                <w:bCs/>
              </w:rPr>
              <w:t>.99</w:t>
            </w:r>
          </w:p>
        </w:tc>
        <w:tc>
          <w:tcPr>
            <w:tcW w:w="2157" w:type="dxa"/>
            <w:tcBorders>
              <w:top w:val="nil"/>
              <w:left w:val="nil"/>
              <w:bottom w:val="nil"/>
              <w:right w:val="nil"/>
            </w:tcBorders>
            <w:vAlign w:val="center"/>
          </w:tcPr>
          <w:p w14:paraId="135F01B7" w14:textId="496189EE" w:rsidR="009C1A58" w:rsidRDefault="009C1A58" w:rsidP="009C1A58">
            <w:pPr>
              <w:rPr>
                <w:bCs/>
              </w:rPr>
            </w:pPr>
            <w:r>
              <w:rPr>
                <w:bCs/>
              </w:rPr>
              <w:t>1.01</w:t>
            </w:r>
          </w:p>
        </w:tc>
      </w:tr>
      <w:tr w:rsidR="009C1A58" w:rsidRPr="00E9621A" w14:paraId="79FA1F0F" w14:textId="77777777" w:rsidTr="0078029C">
        <w:trPr>
          <w:trHeight w:val="545"/>
        </w:trPr>
        <w:tc>
          <w:tcPr>
            <w:tcW w:w="3019" w:type="dxa"/>
            <w:tcBorders>
              <w:top w:val="nil"/>
              <w:left w:val="nil"/>
              <w:bottom w:val="nil"/>
              <w:right w:val="nil"/>
            </w:tcBorders>
            <w:shd w:val="clear" w:color="auto" w:fill="auto"/>
            <w:noWrap/>
            <w:vAlign w:val="center"/>
          </w:tcPr>
          <w:p w14:paraId="70B6661E" w14:textId="3DF53897" w:rsidR="009C1A58" w:rsidRDefault="009C1A58" w:rsidP="009C1A58">
            <w:pPr>
              <w:rPr>
                <w:bCs/>
              </w:rPr>
            </w:pPr>
            <w:r>
              <w:rPr>
                <w:bCs/>
              </w:rPr>
              <w:t>TSC-P Distress</w:t>
            </w:r>
          </w:p>
        </w:tc>
        <w:tc>
          <w:tcPr>
            <w:tcW w:w="2156" w:type="dxa"/>
            <w:tcBorders>
              <w:top w:val="nil"/>
              <w:left w:val="nil"/>
              <w:bottom w:val="nil"/>
              <w:right w:val="nil"/>
            </w:tcBorders>
            <w:vAlign w:val="center"/>
          </w:tcPr>
          <w:p w14:paraId="20788396" w14:textId="0388DD7D" w:rsidR="009C1A58" w:rsidRDefault="009C1A58" w:rsidP="009C1A58">
            <w:pPr>
              <w:rPr>
                <w:bCs/>
              </w:rPr>
            </w:pPr>
            <w:r>
              <w:rPr>
                <w:bCs/>
              </w:rPr>
              <w:t>1.04</w:t>
            </w:r>
          </w:p>
        </w:tc>
        <w:tc>
          <w:tcPr>
            <w:tcW w:w="2157" w:type="dxa"/>
            <w:tcBorders>
              <w:top w:val="nil"/>
              <w:left w:val="nil"/>
              <w:bottom w:val="nil"/>
              <w:right w:val="nil"/>
            </w:tcBorders>
            <w:shd w:val="clear" w:color="auto" w:fill="auto"/>
            <w:noWrap/>
            <w:vAlign w:val="center"/>
          </w:tcPr>
          <w:p w14:paraId="4A5CE08B" w14:textId="34A5B5B7" w:rsidR="009C1A58" w:rsidRDefault="009C1A58" w:rsidP="009C1A58">
            <w:pPr>
              <w:rPr>
                <w:bCs/>
              </w:rPr>
            </w:pPr>
            <w:r>
              <w:rPr>
                <w:bCs/>
              </w:rPr>
              <w:t>.62</w:t>
            </w:r>
          </w:p>
        </w:tc>
        <w:tc>
          <w:tcPr>
            <w:tcW w:w="2156" w:type="dxa"/>
            <w:tcBorders>
              <w:top w:val="nil"/>
              <w:left w:val="nil"/>
              <w:bottom w:val="nil"/>
              <w:right w:val="nil"/>
            </w:tcBorders>
            <w:vAlign w:val="center"/>
          </w:tcPr>
          <w:p w14:paraId="681F002C" w14:textId="5438F4E3" w:rsidR="009C1A58" w:rsidRPr="00E9621A" w:rsidRDefault="009C1A58" w:rsidP="009C1A58">
            <w:pPr>
              <w:rPr>
                <w:bCs/>
              </w:rPr>
            </w:pPr>
            <w:r>
              <w:rPr>
                <w:bCs/>
              </w:rPr>
              <w:t>1.02</w:t>
            </w:r>
          </w:p>
        </w:tc>
        <w:tc>
          <w:tcPr>
            <w:tcW w:w="2157" w:type="dxa"/>
            <w:tcBorders>
              <w:top w:val="nil"/>
              <w:left w:val="nil"/>
              <w:bottom w:val="nil"/>
              <w:right w:val="nil"/>
            </w:tcBorders>
            <w:vAlign w:val="center"/>
          </w:tcPr>
          <w:p w14:paraId="0856835C" w14:textId="28178647" w:rsidR="009C1A58" w:rsidRDefault="009C1A58" w:rsidP="009C1A58">
            <w:pPr>
              <w:rPr>
                <w:bCs/>
              </w:rPr>
            </w:pPr>
            <w:r>
              <w:rPr>
                <w:bCs/>
              </w:rPr>
              <w:t>.82</w:t>
            </w:r>
          </w:p>
        </w:tc>
      </w:tr>
      <w:tr w:rsidR="009C1A58" w:rsidRPr="00E9621A" w14:paraId="3998C658" w14:textId="77777777" w:rsidTr="0078029C">
        <w:trPr>
          <w:trHeight w:val="545"/>
        </w:trPr>
        <w:tc>
          <w:tcPr>
            <w:tcW w:w="3019" w:type="dxa"/>
            <w:tcBorders>
              <w:top w:val="nil"/>
              <w:left w:val="nil"/>
              <w:bottom w:val="nil"/>
              <w:right w:val="nil"/>
            </w:tcBorders>
            <w:shd w:val="clear" w:color="auto" w:fill="auto"/>
            <w:noWrap/>
            <w:vAlign w:val="center"/>
          </w:tcPr>
          <w:p w14:paraId="0D9C8818" w14:textId="29871528" w:rsidR="009C1A58" w:rsidRDefault="009C1A58" w:rsidP="009C1A58">
            <w:pPr>
              <w:rPr>
                <w:bCs/>
              </w:rPr>
            </w:pPr>
            <w:r>
              <w:rPr>
                <w:bCs/>
              </w:rPr>
              <w:t>YOQ-P</w:t>
            </w:r>
          </w:p>
        </w:tc>
        <w:tc>
          <w:tcPr>
            <w:tcW w:w="2156" w:type="dxa"/>
            <w:tcBorders>
              <w:top w:val="nil"/>
              <w:left w:val="nil"/>
              <w:bottom w:val="nil"/>
              <w:right w:val="nil"/>
            </w:tcBorders>
            <w:vAlign w:val="center"/>
          </w:tcPr>
          <w:p w14:paraId="491DB1B9" w14:textId="3E435E52" w:rsidR="009C1A58" w:rsidRDefault="009C1A58" w:rsidP="009C1A58">
            <w:pPr>
              <w:rPr>
                <w:bCs/>
              </w:rPr>
            </w:pPr>
            <w:r>
              <w:rPr>
                <w:bCs/>
              </w:rPr>
              <w:t>.58</w:t>
            </w:r>
          </w:p>
        </w:tc>
        <w:tc>
          <w:tcPr>
            <w:tcW w:w="2157" w:type="dxa"/>
            <w:tcBorders>
              <w:top w:val="nil"/>
              <w:left w:val="nil"/>
              <w:bottom w:val="nil"/>
              <w:right w:val="nil"/>
            </w:tcBorders>
            <w:shd w:val="clear" w:color="auto" w:fill="auto"/>
            <w:noWrap/>
            <w:vAlign w:val="center"/>
          </w:tcPr>
          <w:p w14:paraId="1337D81B" w14:textId="398651DF" w:rsidR="009C1A58" w:rsidRDefault="009C1A58" w:rsidP="009C1A58">
            <w:pPr>
              <w:rPr>
                <w:bCs/>
              </w:rPr>
            </w:pPr>
            <w:r>
              <w:rPr>
                <w:bCs/>
              </w:rPr>
              <w:t>.76</w:t>
            </w:r>
          </w:p>
        </w:tc>
        <w:tc>
          <w:tcPr>
            <w:tcW w:w="2156" w:type="dxa"/>
            <w:tcBorders>
              <w:top w:val="nil"/>
              <w:left w:val="nil"/>
              <w:bottom w:val="nil"/>
              <w:right w:val="nil"/>
            </w:tcBorders>
            <w:vAlign w:val="center"/>
          </w:tcPr>
          <w:p w14:paraId="606A4BBD" w14:textId="70FFA8EE" w:rsidR="009C1A58" w:rsidRPr="00E9621A" w:rsidRDefault="009C1A58" w:rsidP="009C1A58">
            <w:pPr>
              <w:rPr>
                <w:bCs/>
              </w:rPr>
            </w:pPr>
            <w:r>
              <w:rPr>
                <w:bCs/>
              </w:rPr>
              <w:t>.66</w:t>
            </w:r>
          </w:p>
        </w:tc>
        <w:tc>
          <w:tcPr>
            <w:tcW w:w="2157" w:type="dxa"/>
            <w:tcBorders>
              <w:top w:val="nil"/>
              <w:left w:val="nil"/>
              <w:bottom w:val="nil"/>
              <w:right w:val="nil"/>
            </w:tcBorders>
            <w:vAlign w:val="center"/>
          </w:tcPr>
          <w:p w14:paraId="68E879E2" w14:textId="1B00B942" w:rsidR="009C1A58" w:rsidRDefault="009C1A58" w:rsidP="009C1A58">
            <w:pPr>
              <w:rPr>
                <w:bCs/>
              </w:rPr>
            </w:pPr>
            <w:r>
              <w:rPr>
                <w:bCs/>
              </w:rPr>
              <w:t>.86</w:t>
            </w:r>
          </w:p>
        </w:tc>
      </w:tr>
      <w:tr w:rsidR="009C1A58" w:rsidRPr="00E9621A" w14:paraId="5EF742C8" w14:textId="77777777" w:rsidTr="00ED3E8F">
        <w:trPr>
          <w:trHeight w:val="545"/>
        </w:trPr>
        <w:tc>
          <w:tcPr>
            <w:tcW w:w="3019" w:type="dxa"/>
            <w:tcBorders>
              <w:top w:val="nil"/>
              <w:left w:val="nil"/>
              <w:bottom w:val="single" w:sz="4" w:space="0" w:color="auto"/>
              <w:right w:val="nil"/>
            </w:tcBorders>
            <w:shd w:val="clear" w:color="auto" w:fill="auto"/>
            <w:noWrap/>
            <w:vAlign w:val="center"/>
          </w:tcPr>
          <w:p w14:paraId="39F4EFE2" w14:textId="1F997CBE" w:rsidR="009C1A58" w:rsidRDefault="009C1A58" w:rsidP="009C1A58">
            <w:pPr>
              <w:rPr>
                <w:bCs/>
              </w:rPr>
            </w:pPr>
            <w:r>
              <w:rPr>
                <w:bCs/>
              </w:rPr>
              <w:t>6-PAQ</w:t>
            </w:r>
          </w:p>
        </w:tc>
        <w:tc>
          <w:tcPr>
            <w:tcW w:w="2156" w:type="dxa"/>
            <w:tcBorders>
              <w:top w:val="nil"/>
              <w:left w:val="nil"/>
              <w:bottom w:val="single" w:sz="4" w:space="0" w:color="auto"/>
              <w:right w:val="nil"/>
            </w:tcBorders>
            <w:vAlign w:val="center"/>
          </w:tcPr>
          <w:p w14:paraId="04A38D0B" w14:textId="14559C9A" w:rsidR="009C1A58" w:rsidRDefault="009C1A58" w:rsidP="009C1A58">
            <w:pPr>
              <w:rPr>
                <w:bCs/>
              </w:rPr>
            </w:pPr>
            <w:r>
              <w:rPr>
                <w:bCs/>
              </w:rPr>
              <w:t>.08</w:t>
            </w:r>
          </w:p>
        </w:tc>
        <w:tc>
          <w:tcPr>
            <w:tcW w:w="2157" w:type="dxa"/>
            <w:tcBorders>
              <w:top w:val="nil"/>
              <w:left w:val="nil"/>
              <w:bottom w:val="single" w:sz="4" w:space="0" w:color="auto"/>
              <w:right w:val="nil"/>
            </w:tcBorders>
            <w:shd w:val="clear" w:color="auto" w:fill="auto"/>
            <w:noWrap/>
            <w:vAlign w:val="center"/>
          </w:tcPr>
          <w:p w14:paraId="11668D9B" w14:textId="336584A8" w:rsidR="009C1A58" w:rsidRDefault="009C1A58" w:rsidP="009C1A58">
            <w:pPr>
              <w:rPr>
                <w:bCs/>
              </w:rPr>
            </w:pPr>
            <w:r>
              <w:rPr>
                <w:bCs/>
              </w:rPr>
              <w:t>.04</w:t>
            </w:r>
          </w:p>
        </w:tc>
        <w:tc>
          <w:tcPr>
            <w:tcW w:w="2156" w:type="dxa"/>
            <w:tcBorders>
              <w:top w:val="nil"/>
              <w:left w:val="nil"/>
              <w:bottom w:val="single" w:sz="4" w:space="0" w:color="auto"/>
              <w:right w:val="nil"/>
            </w:tcBorders>
            <w:vAlign w:val="center"/>
          </w:tcPr>
          <w:p w14:paraId="26532609" w14:textId="589EEA29" w:rsidR="009C1A58" w:rsidRPr="00E9621A" w:rsidRDefault="009C1A58" w:rsidP="009C1A58">
            <w:pPr>
              <w:rPr>
                <w:bCs/>
              </w:rPr>
            </w:pPr>
            <w:r w:rsidRPr="00E9621A">
              <w:rPr>
                <w:bCs/>
              </w:rPr>
              <w:t>-.</w:t>
            </w:r>
            <w:r>
              <w:rPr>
                <w:bCs/>
              </w:rPr>
              <w:t>15</w:t>
            </w:r>
          </w:p>
        </w:tc>
        <w:tc>
          <w:tcPr>
            <w:tcW w:w="2157" w:type="dxa"/>
            <w:tcBorders>
              <w:top w:val="nil"/>
              <w:left w:val="nil"/>
              <w:bottom w:val="single" w:sz="4" w:space="0" w:color="auto"/>
              <w:right w:val="nil"/>
            </w:tcBorders>
            <w:vAlign w:val="center"/>
          </w:tcPr>
          <w:p w14:paraId="5EE6FFFC" w14:textId="638A0B85" w:rsidR="009C1A58" w:rsidRDefault="009C1A58" w:rsidP="009C1A58">
            <w:pPr>
              <w:rPr>
                <w:bCs/>
              </w:rPr>
            </w:pPr>
            <w:r>
              <w:rPr>
                <w:bCs/>
              </w:rPr>
              <w:t>.31</w:t>
            </w:r>
          </w:p>
        </w:tc>
      </w:tr>
    </w:tbl>
    <w:p w14:paraId="5BA86413" w14:textId="1A846F61" w:rsidR="00F50909" w:rsidRPr="00E9621A" w:rsidRDefault="003B1ECB" w:rsidP="00F50909">
      <w:pPr>
        <w:rPr>
          <w:bCs/>
        </w:rPr>
      </w:pPr>
      <w:r w:rsidRPr="00E9621A">
        <w:rPr>
          <w:bCs/>
          <w:i/>
          <w:iCs/>
        </w:rPr>
        <w:t>Note.</w:t>
      </w:r>
      <w:r w:rsidRPr="00E9621A">
        <w:rPr>
          <w:bCs/>
        </w:rPr>
        <w:t xml:space="preserve"> </w:t>
      </w:r>
      <w:r w:rsidRPr="005176AF">
        <w:t>TSC-</w:t>
      </w:r>
      <w:r>
        <w:t>Y</w:t>
      </w:r>
      <w:r w:rsidRPr="005176AF">
        <w:t xml:space="preserve"> = Trichotillomania Scale for C</w:t>
      </w:r>
      <w:r>
        <w:t>hildren</w:t>
      </w:r>
      <w:r w:rsidRPr="005176AF">
        <w:t xml:space="preserve"> (</w:t>
      </w:r>
      <w:r>
        <w:t>Youth</w:t>
      </w:r>
      <w:r w:rsidRPr="005176AF">
        <w:t>-Report); YOQ-</w:t>
      </w:r>
      <w:r>
        <w:t>C</w:t>
      </w:r>
      <w:r w:rsidRPr="005176AF">
        <w:t xml:space="preserve"> = Youth Outcomes Questionnaire (</w:t>
      </w:r>
      <w:r>
        <w:t>Youth</w:t>
      </w:r>
      <w:r w:rsidRPr="005176AF">
        <w:t xml:space="preserve">-Report); </w:t>
      </w:r>
      <w:r>
        <w:t>AAQ-TTM = Acceptance and Action Questionnaire for Trichotillomania; AFQ</w:t>
      </w:r>
      <w:r w:rsidR="0051049B">
        <w:t>-Y8</w:t>
      </w:r>
      <w:r>
        <w:t xml:space="preserve"> = Avoidance and Fusion Questionnaire for Youth</w:t>
      </w:r>
      <w:r w:rsidR="00F50909">
        <w:t xml:space="preserve">; </w:t>
      </w:r>
      <w:r w:rsidR="00F50909" w:rsidRPr="005176AF">
        <w:t>TSC-</w:t>
      </w:r>
      <w:r w:rsidR="00F50909">
        <w:t>P</w:t>
      </w:r>
      <w:r w:rsidR="00F50909" w:rsidRPr="005176AF">
        <w:t xml:space="preserve"> = Trichotillomania Scale for C</w:t>
      </w:r>
      <w:r w:rsidR="00F50909">
        <w:t>hildren</w:t>
      </w:r>
      <w:r w:rsidR="00F50909" w:rsidRPr="005176AF">
        <w:t xml:space="preserve"> (</w:t>
      </w:r>
      <w:r w:rsidR="00F50909">
        <w:t>Parent</w:t>
      </w:r>
      <w:r w:rsidR="00F50909" w:rsidRPr="005176AF">
        <w:t xml:space="preserve">-Report); YOQ-P = Youth Outcomes Questionnaire (Parent-Report); </w:t>
      </w:r>
      <w:r w:rsidR="00F50909">
        <w:t>6-PAQ = Parental Acceptance Questionnaire.</w:t>
      </w:r>
    </w:p>
    <w:p w14:paraId="09DADF3A" w14:textId="66141354" w:rsidR="003B1ECB" w:rsidRPr="00E9621A" w:rsidRDefault="003B1ECB" w:rsidP="00ED3E8F">
      <w:pPr>
        <w:rPr>
          <w:bCs/>
        </w:rPr>
      </w:pPr>
    </w:p>
    <w:p w14:paraId="3C92BD7F" w14:textId="17962AC0" w:rsidR="00BD7883" w:rsidRDefault="003B1ECB">
      <w:pPr>
        <w:rPr>
          <w:b/>
        </w:rPr>
      </w:pPr>
      <w:r>
        <w:rPr>
          <w:b/>
        </w:rPr>
        <w:br w:type="page"/>
      </w:r>
    </w:p>
    <w:tbl>
      <w:tblPr>
        <w:tblStyle w:val="TableGrid"/>
        <w:tblpPr w:leftFromText="180" w:rightFromText="180" w:vertAnchor="page" w:horzAnchor="margin" w:tblpY="2289"/>
        <w:tblW w:w="11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1106"/>
        <w:gridCol w:w="1072"/>
        <w:gridCol w:w="1410"/>
        <w:gridCol w:w="1344"/>
        <w:gridCol w:w="1342"/>
        <w:gridCol w:w="1344"/>
        <w:gridCol w:w="1342"/>
        <w:gridCol w:w="1344"/>
      </w:tblGrid>
      <w:tr w:rsidR="001C785E" w14:paraId="3D1FF6DC" w14:textId="77777777" w:rsidTr="001C785E">
        <w:trPr>
          <w:trHeight w:val="768"/>
        </w:trPr>
        <w:tc>
          <w:tcPr>
            <w:tcW w:w="1082" w:type="dxa"/>
            <w:tcBorders>
              <w:top w:val="single" w:sz="4" w:space="0" w:color="auto"/>
              <w:bottom w:val="single" w:sz="4" w:space="0" w:color="auto"/>
            </w:tcBorders>
          </w:tcPr>
          <w:p w14:paraId="647C7F6F" w14:textId="77777777" w:rsidR="00577022" w:rsidRPr="009E580A" w:rsidRDefault="00577022" w:rsidP="001C785E">
            <w:pPr>
              <w:rPr>
                <w:bCs/>
              </w:rPr>
            </w:pPr>
          </w:p>
        </w:tc>
        <w:tc>
          <w:tcPr>
            <w:tcW w:w="2178" w:type="dxa"/>
            <w:gridSpan w:val="2"/>
            <w:tcBorders>
              <w:top w:val="single" w:sz="4" w:space="0" w:color="auto"/>
              <w:bottom w:val="single" w:sz="4" w:space="0" w:color="auto"/>
            </w:tcBorders>
            <w:vAlign w:val="center"/>
          </w:tcPr>
          <w:p w14:paraId="1731BE69" w14:textId="77777777" w:rsidR="00577022" w:rsidRPr="009E580A" w:rsidRDefault="00577022" w:rsidP="001C785E">
            <w:pPr>
              <w:jc w:val="center"/>
              <w:rPr>
                <w:bCs/>
              </w:rPr>
            </w:pPr>
            <w:r w:rsidRPr="009E580A">
              <w:rPr>
                <w:bCs/>
              </w:rPr>
              <w:t>Pre</w:t>
            </w:r>
            <w:r w:rsidR="00922D36">
              <w:rPr>
                <w:bCs/>
              </w:rPr>
              <w:t>-treatment</w:t>
            </w:r>
            <w:r w:rsidRPr="009E580A">
              <w:rPr>
                <w:bCs/>
              </w:rPr>
              <w:t xml:space="preserve"> to post</w:t>
            </w:r>
            <w:r w:rsidR="00922D36">
              <w:rPr>
                <w:bCs/>
              </w:rPr>
              <w:t>-treatment</w:t>
            </w:r>
          </w:p>
        </w:tc>
        <w:tc>
          <w:tcPr>
            <w:tcW w:w="2754" w:type="dxa"/>
            <w:gridSpan w:val="2"/>
            <w:tcBorders>
              <w:top w:val="single" w:sz="4" w:space="0" w:color="auto"/>
              <w:bottom w:val="single" w:sz="4" w:space="0" w:color="auto"/>
            </w:tcBorders>
            <w:vAlign w:val="center"/>
          </w:tcPr>
          <w:p w14:paraId="6A628A00" w14:textId="0D0202CD" w:rsidR="00577022" w:rsidRPr="009E580A" w:rsidRDefault="00577022" w:rsidP="001C785E">
            <w:pPr>
              <w:jc w:val="center"/>
              <w:rPr>
                <w:bCs/>
              </w:rPr>
            </w:pPr>
            <w:r w:rsidRPr="009E580A">
              <w:rPr>
                <w:bCs/>
              </w:rPr>
              <w:t>Pre</w:t>
            </w:r>
            <w:r w:rsidR="00922D36">
              <w:rPr>
                <w:bCs/>
              </w:rPr>
              <w:t>-treatment</w:t>
            </w:r>
            <w:r w:rsidRPr="009E580A">
              <w:rPr>
                <w:bCs/>
              </w:rPr>
              <w:t xml:space="preserve"> to </w:t>
            </w:r>
            <w:r w:rsidR="00931C3F">
              <w:rPr>
                <w:bCs/>
              </w:rPr>
              <w:t>three</w:t>
            </w:r>
            <w:r w:rsidR="00922D36">
              <w:rPr>
                <w:bCs/>
              </w:rPr>
              <w:t>-</w:t>
            </w:r>
            <w:r w:rsidRPr="009E580A">
              <w:rPr>
                <w:bCs/>
              </w:rPr>
              <w:t>month</w:t>
            </w:r>
            <w:r w:rsidR="00922D36">
              <w:rPr>
                <w:bCs/>
              </w:rPr>
              <w:t xml:space="preserve"> follow-up</w:t>
            </w:r>
          </w:p>
        </w:tc>
        <w:tc>
          <w:tcPr>
            <w:tcW w:w="2686" w:type="dxa"/>
            <w:gridSpan w:val="2"/>
            <w:tcBorders>
              <w:top w:val="single" w:sz="4" w:space="0" w:color="auto"/>
              <w:bottom w:val="single" w:sz="4" w:space="0" w:color="auto"/>
            </w:tcBorders>
            <w:vAlign w:val="center"/>
          </w:tcPr>
          <w:p w14:paraId="61550341" w14:textId="21322247" w:rsidR="00577022" w:rsidRPr="009E580A" w:rsidRDefault="00577022" w:rsidP="001C785E">
            <w:pPr>
              <w:jc w:val="center"/>
              <w:rPr>
                <w:bCs/>
              </w:rPr>
            </w:pPr>
            <w:r w:rsidRPr="009E580A">
              <w:rPr>
                <w:bCs/>
              </w:rPr>
              <w:t>Pre</w:t>
            </w:r>
            <w:r w:rsidR="00922D36">
              <w:rPr>
                <w:bCs/>
              </w:rPr>
              <w:t>-treatment</w:t>
            </w:r>
            <w:r w:rsidRPr="009E580A">
              <w:rPr>
                <w:bCs/>
              </w:rPr>
              <w:t xml:space="preserve"> to </w:t>
            </w:r>
            <w:r w:rsidR="00931C3F">
              <w:rPr>
                <w:bCs/>
              </w:rPr>
              <w:t>six</w:t>
            </w:r>
            <w:r w:rsidR="00922D36">
              <w:rPr>
                <w:bCs/>
              </w:rPr>
              <w:t>-</w:t>
            </w:r>
            <w:r w:rsidRPr="009E580A">
              <w:rPr>
                <w:bCs/>
              </w:rPr>
              <w:t>month</w:t>
            </w:r>
            <w:r w:rsidR="00922D36">
              <w:rPr>
                <w:bCs/>
              </w:rPr>
              <w:t xml:space="preserve"> follow-up</w:t>
            </w:r>
          </w:p>
        </w:tc>
        <w:tc>
          <w:tcPr>
            <w:tcW w:w="2686" w:type="dxa"/>
            <w:gridSpan w:val="2"/>
            <w:tcBorders>
              <w:top w:val="single" w:sz="4" w:space="0" w:color="auto"/>
              <w:bottom w:val="single" w:sz="4" w:space="0" w:color="auto"/>
            </w:tcBorders>
            <w:vAlign w:val="center"/>
          </w:tcPr>
          <w:p w14:paraId="156ACBFA" w14:textId="77777777" w:rsidR="00577022" w:rsidRPr="009E580A" w:rsidRDefault="00577022" w:rsidP="001C785E">
            <w:pPr>
              <w:jc w:val="center"/>
              <w:rPr>
                <w:bCs/>
              </w:rPr>
            </w:pPr>
            <w:r w:rsidRPr="009E580A">
              <w:rPr>
                <w:bCs/>
              </w:rPr>
              <w:t>Pre</w:t>
            </w:r>
            <w:r w:rsidR="00922D36">
              <w:rPr>
                <w:bCs/>
              </w:rPr>
              <w:t>-treatment</w:t>
            </w:r>
            <w:r w:rsidRPr="009E580A">
              <w:rPr>
                <w:bCs/>
              </w:rPr>
              <w:t xml:space="preserve"> to 12</w:t>
            </w:r>
            <w:r w:rsidR="00922D36">
              <w:rPr>
                <w:bCs/>
              </w:rPr>
              <w:t>-</w:t>
            </w:r>
            <w:r w:rsidRPr="009E580A">
              <w:rPr>
                <w:bCs/>
              </w:rPr>
              <w:t>month</w:t>
            </w:r>
            <w:r w:rsidR="00922D36">
              <w:rPr>
                <w:bCs/>
              </w:rPr>
              <w:t xml:space="preserve"> follow-up</w:t>
            </w:r>
          </w:p>
        </w:tc>
      </w:tr>
      <w:tr w:rsidR="00577022" w14:paraId="588E006F" w14:textId="77777777" w:rsidTr="001C785E">
        <w:trPr>
          <w:trHeight w:val="768"/>
        </w:trPr>
        <w:tc>
          <w:tcPr>
            <w:tcW w:w="1082" w:type="dxa"/>
            <w:tcBorders>
              <w:top w:val="single" w:sz="4" w:space="0" w:color="auto"/>
              <w:bottom w:val="single" w:sz="4" w:space="0" w:color="auto"/>
            </w:tcBorders>
          </w:tcPr>
          <w:p w14:paraId="0E4E22E0" w14:textId="77777777" w:rsidR="00577022" w:rsidRPr="009E580A" w:rsidRDefault="00577022" w:rsidP="001C785E">
            <w:pPr>
              <w:rPr>
                <w:bCs/>
              </w:rPr>
            </w:pPr>
          </w:p>
        </w:tc>
        <w:tc>
          <w:tcPr>
            <w:tcW w:w="1106" w:type="dxa"/>
            <w:tcBorders>
              <w:top w:val="single" w:sz="4" w:space="0" w:color="auto"/>
              <w:bottom w:val="single" w:sz="4" w:space="0" w:color="auto"/>
            </w:tcBorders>
            <w:vAlign w:val="center"/>
          </w:tcPr>
          <w:p w14:paraId="669CB3C1" w14:textId="345A8240" w:rsidR="00577022" w:rsidRDefault="00770ABA" w:rsidP="001C785E">
            <w:pPr>
              <w:jc w:val="center"/>
              <w:rPr>
                <w:bCs/>
              </w:rPr>
            </w:pPr>
            <w:r>
              <w:rPr>
                <w:bCs/>
              </w:rPr>
              <w:t>Youth</w:t>
            </w:r>
          </w:p>
          <w:p w14:paraId="24A8DECA" w14:textId="77777777" w:rsidR="00577022" w:rsidRPr="009E580A" w:rsidRDefault="00577022" w:rsidP="001C785E">
            <w:pPr>
              <w:jc w:val="center"/>
              <w:rPr>
                <w:bCs/>
              </w:rPr>
            </w:pPr>
            <w:r>
              <w:rPr>
                <w:bCs/>
              </w:rPr>
              <w:t>(n = 27)</w:t>
            </w:r>
          </w:p>
        </w:tc>
        <w:tc>
          <w:tcPr>
            <w:tcW w:w="1071" w:type="dxa"/>
            <w:tcBorders>
              <w:top w:val="single" w:sz="4" w:space="0" w:color="auto"/>
              <w:bottom w:val="single" w:sz="4" w:space="0" w:color="auto"/>
            </w:tcBorders>
            <w:vAlign w:val="center"/>
          </w:tcPr>
          <w:p w14:paraId="7D779F88" w14:textId="77777777" w:rsidR="00577022" w:rsidRDefault="00577022" w:rsidP="001C785E">
            <w:pPr>
              <w:jc w:val="center"/>
              <w:rPr>
                <w:bCs/>
              </w:rPr>
            </w:pPr>
            <w:r w:rsidRPr="009E580A">
              <w:rPr>
                <w:bCs/>
              </w:rPr>
              <w:t>Parent</w:t>
            </w:r>
          </w:p>
          <w:p w14:paraId="71300E6D" w14:textId="77777777" w:rsidR="00C55C38" w:rsidRPr="009E580A" w:rsidRDefault="00C55C38" w:rsidP="001C785E">
            <w:pPr>
              <w:jc w:val="center"/>
              <w:rPr>
                <w:bCs/>
              </w:rPr>
            </w:pPr>
            <w:r>
              <w:rPr>
                <w:bCs/>
              </w:rPr>
              <w:t>(n = 25)</w:t>
            </w:r>
          </w:p>
        </w:tc>
        <w:tc>
          <w:tcPr>
            <w:tcW w:w="1410" w:type="dxa"/>
            <w:tcBorders>
              <w:top w:val="single" w:sz="4" w:space="0" w:color="auto"/>
              <w:bottom w:val="single" w:sz="4" w:space="0" w:color="auto"/>
            </w:tcBorders>
            <w:vAlign w:val="center"/>
          </w:tcPr>
          <w:p w14:paraId="5BA66CB3" w14:textId="7B537341" w:rsidR="00577022" w:rsidRDefault="00770ABA" w:rsidP="001C785E">
            <w:pPr>
              <w:jc w:val="center"/>
              <w:rPr>
                <w:bCs/>
              </w:rPr>
            </w:pPr>
            <w:r>
              <w:rPr>
                <w:bCs/>
              </w:rPr>
              <w:t>Youth</w:t>
            </w:r>
          </w:p>
          <w:p w14:paraId="1AA4E7AC" w14:textId="77777777" w:rsidR="00577022" w:rsidRPr="009E580A" w:rsidRDefault="00577022" w:rsidP="001C785E">
            <w:pPr>
              <w:jc w:val="center"/>
              <w:rPr>
                <w:bCs/>
              </w:rPr>
            </w:pPr>
            <w:r>
              <w:rPr>
                <w:bCs/>
              </w:rPr>
              <w:t>(n = 17)</w:t>
            </w:r>
          </w:p>
        </w:tc>
        <w:tc>
          <w:tcPr>
            <w:tcW w:w="1344" w:type="dxa"/>
            <w:tcBorders>
              <w:top w:val="single" w:sz="4" w:space="0" w:color="auto"/>
              <w:bottom w:val="single" w:sz="4" w:space="0" w:color="auto"/>
            </w:tcBorders>
            <w:vAlign w:val="center"/>
          </w:tcPr>
          <w:p w14:paraId="43586064" w14:textId="77777777" w:rsidR="00577022" w:rsidRDefault="00577022" w:rsidP="001C785E">
            <w:pPr>
              <w:jc w:val="center"/>
              <w:rPr>
                <w:bCs/>
              </w:rPr>
            </w:pPr>
            <w:r w:rsidRPr="009E580A">
              <w:rPr>
                <w:bCs/>
              </w:rPr>
              <w:t>Parent</w:t>
            </w:r>
          </w:p>
          <w:p w14:paraId="3076AAEE" w14:textId="77777777" w:rsidR="00C55C38" w:rsidRPr="009E580A" w:rsidRDefault="00C55C38" w:rsidP="001C785E">
            <w:pPr>
              <w:jc w:val="center"/>
              <w:rPr>
                <w:bCs/>
              </w:rPr>
            </w:pPr>
            <w:r>
              <w:rPr>
                <w:bCs/>
              </w:rPr>
              <w:t>(n = 18)</w:t>
            </w:r>
          </w:p>
        </w:tc>
        <w:tc>
          <w:tcPr>
            <w:tcW w:w="1342" w:type="dxa"/>
            <w:tcBorders>
              <w:top w:val="single" w:sz="4" w:space="0" w:color="auto"/>
              <w:bottom w:val="single" w:sz="4" w:space="0" w:color="auto"/>
            </w:tcBorders>
            <w:vAlign w:val="center"/>
          </w:tcPr>
          <w:p w14:paraId="538834B1" w14:textId="2B9FC4C8" w:rsidR="00577022" w:rsidRDefault="00770ABA" w:rsidP="001C785E">
            <w:pPr>
              <w:jc w:val="center"/>
              <w:rPr>
                <w:bCs/>
              </w:rPr>
            </w:pPr>
            <w:r>
              <w:rPr>
                <w:bCs/>
              </w:rPr>
              <w:t>Youth</w:t>
            </w:r>
          </w:p>
          <w:p w14:paraId="2B5A480A" w14:textId="77777777" w:rsidR="00577022" w:rsidRPr="009E580A" w:rsidRDefault="00577022" w:rsidP="001C785E">
            <w:pPr>
              <w:jc w:val="center"/>
              <w:rPr>
                <w:bCs/>
              </w:rPr>
            </w:pPr>
            <w:r>
              <w:rPr>
                <w:bCs/>
              </w:rPr>
              <w:t>(n = 17)</w:t>
            </w:r>
          </w:p>
        </w:tc>
        <w:tc>
          <w:tcPr>
            <w:tcW w:w="1343" w:type="dxa"/>
            <w:tcBorders>
              <w:top w:val="single" w:sz="4" w:space="0" w:color="auto"/>
              <w:bottom w:val="single" w:sz="4" w:space="0" w:color="auto"/>
            </w:tcBorders>
            <w:vAlign w:val="center"/>
          </w:tcPr>
          <w:p w14:paraId="418A6406" w14:textId="77777777" w:rsidR="00577022" w:rsidRDefault="00577022" w:rsidP="001C785E">
            <w:pPr>
              <w:jc w:val="center"/>
              <w:rPr>
                <w:bCs/>
              </w:rPr>
            </w:pPr>
            <w:r w:rsidRPr="009E580A">
              <w:rPr>
                <w:bCs/>
              </w:rPr>
              <w:t>Parent</w:t>
            </w:r>
          </w:p>
          <w:p w14:paraId="752C2373" w14:textId="77777777" w:rsidR="00C55C38" w:rsidRPr="009E580A" w:rsidRDefault="00C55C38" w:rsidP="001C785E">
            <w:pPr>
              <w:jc w:val="center"/>
              <w:rPr>
                <w:bCs/>
              </w:rPr>
            </w:pPr>
            <w:r>
              <w:rPr>
                <w:bCs/>
              </w:rPr>
              <w:t>(n = 20)</w:t>
            </w:r>
          </w:p>
        </w:tc>
        <w:tc>
          <w:tcPr>
            <w:tcW w:w="1342" w:type="dxa"/>
            <w:tcBorders>
              <w:top w:val="single" w:sz="4" w:space="0" w:color="auto"/>
              <w:bottom w:val="single" w:sz="4" w:space="0" w:color="auto"/>
            </w:tcBorders>
            <w:vAlign w:val="center"/>
          </w:tcPr>
          <w:p w14:paraId="3958FAD9" w14:textId="0047B80D" w:rsidR="00577022" w:rsidRDefault="00770ABA" w:rsidP="001C785E">
            <w:pPr>
              <w:jc w:val="center"/>
              <w:rPr>
                <w:bCs/>
              </w:rPr>
            </w:pPr>
            <w:r>
              <w:rPr>
                <w:bCs/>
              </w:rPr>
              <w:t>You</w:t>
            </w:r>
            <w:r w:rsidR="00020B2F">
              <w:rPr>
                <w:bCs/>
              </w:rPr>
              <w:t>th</w:t>
            </w:r>
          </w:p>
          <w:p w14:paraId="259C2B47" w14:textId="77777777" w:rsidR="00577022" w:rsidRPr="009E580A" w:rsidRDefault="00577022" w:rsidP="001C785E">
            <w:pPr>
              <w:jc w:val="center"/>
              <w:rPr>
                <w:bCs/>
              </w:rPr>
            </w:pPr>
            <w:r>
              <w:rPr>
                <w:bCs/>
              </w:rPr>
              <w:t>(n = 21)</w:t>
            </w:r>
          </w:p>
        </w:tc>
        <w:tc>
          <w:tcPr>
            <w:tcW w:w="1343" w:type="dxa"/>
            <w:tcBorders>
              <w:top w:val="single" w:sz="4" w:space="0" w:color="auto"/>
              <w:bottom w:val="single" w:sz="4" w:space="0" w:color="auto"/>
            </w:tcBorders>
            <w:vAlign w:val="center"/>
          </w:tcPr>
          <w:p w14:paraId="73351177" w14:textId="77777777" w:rsidR="00577022" w:rsidRDefault="00577022" w:rsidP="001C785E">
            <w:pPr>
              <w:jc w:val="center"/>
              <w:rPr>
                <w:bCs/>
              </w:rPr>
            </w:pPr>
            <w:r w:rsidRPr="009E580A">
              <w:rPr>
                <w:bCs/>
              </w:rPr>
              <w:t>Parent</w:t>
            </w:r>
          </w:p>
          <w:p w14:paraId="55EBF7CB" w14:textId="77777777" w:rsidR="00C55C38" w:rsidRPr="009E580A" w:rsidRDefault="00C55C38" w:rsidP="001C785E">
            <w:pPr>
              <w:jc w:val="center"/>
              <w:rPr>
                <w:bCs/>
              </w:rPr>
            </w:pPr>
            <w:r>
              <w:rPr>
                <w:bCs/>
              </w:rPr>
              <w:t>(n = 2</w:t>
            </w:r>
            <w:r w:rsidR="009C763A">
              <w:rPr>
                <w:bCs/>
              </w:rPr>
              <w:t>1</w:t>
            </w:r>
            <w:r>
              <w:rPr>
                <w:bCs/>
              </w:rPr>
              <w:t>)</w:t>
            </w:r>
          </w:p>
        </w:tc>
      </w:tr>
      <w:tr w:rsidR="00577022" w14:paraId="4D14CE8A" w14:textId="77777777" w:rsidTr="001C785E">
        <w:trPr>
          <w:trHeight w:val="1317"/>
        </w:trPr>
        <w:tc>
          <w:tcPr>
            <w:tcW w:w="1082" w:type="dxa"/>
            <w:tcBorders>
              <w:top w:val="single" w:sz="4" w:space="0" w:color="auto"/>
            </w:tcBorders>
            <w:vAlign w:val="center"/>
          </w:tcPr>
          <w:p w14:paraId="5AB38C6C" w14:textId="11AF15F9" w:rsidR="00577022" w:rsidRPr="009E580A" w:rsidRDefault="00577022" w:rsidP="001C785E">
            <w:pPr>
              <w:jc w:val="center"/>
              <w:rPr>
                <w:bCs/>
              </w:rPr>
            </w:pPr>
            <w:r w:rsidRPr="009E580A">
              <w:rPr>
                <w:bCs/>
              </w:rPr>
              <w:t>TSC</w:t>
            </w:r>
            <w:r w:rsidR="002518C6">
              <w:rPr>
                <w:bCs/>
              </w:rPr>
              <w:t xml:space="preserve"> </w:t>
            </w:r>
            <w:r w:rsidRPr="009E580A">
              <w:rPr>
                <w:bCs/>
              </w:rPr>
              <w:t>S</w:t>
            </w:r>
            <w:r w:rsidR="002518C6">
              <w:rPr>
                <w:bCs/>
              </w:rPr>
              <w:t>everity</w:t>
            </w:r>
            <w:r w:rsidR="00D708C3">
              <w:rPr>
                <w:bCs/>
              </w:rPr>
              <w:t xml:space="preserve"> (%)</w:t>
            </w:r>
          </w:p>
        </w:tc>
        <w:tc>
          <w:tcPr>
            <w:tcW w:w="1106" w:type="dxa"/>
            <w:tcBorders>
              <w:top w:val="single" w:sz="4" w:space="0" w:color="auto"/>
            </w:tcBorders>
            <w:vAlign w:val="center"/>
          </w:tcPr>
          <w:p w14:paraId="351EECDE" w14:textId="77777777" w:rsidR="008D4B0D" w:rsidRDefault="00577022" w:rsidP="001C785E">
            <w:pPr>
              <w:jc w:val="center"/>
              <w:rPr>
                <w:bCs/>
              </w:rPr>
            </w:pPr>
            <w:r>
              <w:rPr>
                <w:bCs/>
              </w:rPr>
              <w:t>19</w:t>
            </w:r>
            <w:r w:rsidR="00FC450E">
              <w:rPr>
                <w:bCs/>
              </w:rPr>
              <w:t xml:space="preserve"> </w:t>
            </w:r>
          </w:p>
          <w:p w14:paraId="7E71CE1F" w14:textId="77777777" w:rsidR="00577022" w:rsidRPr="009E580A" w:rsidRDefault="00FC450E" w:rsidP="001C785E">
            <w:pPr>
              <w:jc w:val="center"/>
              <w:rPr>
                <w:bCs/>
              </w:rPr>
            </w:pPr>
            <w:r>
              <w:rPr>
                <w:bCs/>
              </w:rPr>
              <w:t>(70.4)</w:t>
            </w:r>
          </w:p>
        </w:tc>
        <w:tc>
          <w:tcPr>
            <w:tcW w:w="1071" w:type="dxa"/>
            <w:tcBorders>
              <w:top w:val="single" w:sz="4" w:space="0" w:color="auto"/>
            </w:tcBorders>
            <w:vAlign w:val="center"/>
          </w:tcPr>
          <w:p w14:paraId="6EFD746B" w14:textId="77777777" w:rsidR="008D4B0D" w:rsidRDefault="00577022" w:rsidP="001C785E">
            <w:pPr>
              <w:jc w:val="center"/>
              <w:rPr>
                <w:bCs/>
              </w:rPr>
            </w:pPr>
            <w:r>
              <w:rPr>
                <w:bCs/>
              </w:rPr>
              <w:t>8</w:t>
            </w:r>
            <w:r w:rsidR="001B1452">
              <w:rPr>
                <w:bCs/>
              </w:rPr>
              <w:t xml:space="preserve"> </w:t>
            </w:r>
          </w:p>
          <w:p w14:paraId="0C682223" w14:textId="77777777" w:rsidR="00577022" w:rsidRPr="009E580A" w:rsidRDefault="001B1452" w:rsidP="001C785E">
            <w:pPr>
              <w:jc w:val="center"/>
              <w:rPr>
                <w:bCs/>
              </w:rPr>
            </w:pPr>
            <w:r>
              <w:rPr>
                <w:bCs/>
              </w:rPr>
              <w:t>(32.0)</w:t>
            </w:r>
          </w:p>
        </w:tc>
        <w:tc>
          <w:tcPr>
            <w:tcW w:w="1410" w:type="dxa"/>
            <w:tcBorders>
              <w:top w:val="single" w:sz="4" w:space="0" w:color="auto"/>
            </w:tcBorders>
            <w:vAlign w:val="center"/>
          </w:tcPr>
          <w:p w14:paraId="11F25689" w14:textId="77777777" w:rsidR="008D4B0D" w:rsidRDefault="00577022" w:rsidP="001C785E">
            <w:pPr>
              <w:jc w:val="center"/>
              <w:rPr>
                <w:bCs/>
              </w:rPr>
            </w:pPr>
            <w:r>
              <w:rPr>
                <w:bCs/>
              </w:rPr>
              <w:t>9</w:t>
            </w:r>
            <w:r w:rsidR="00E77A83">
              <w:rPr>
                <w:bCs/>
              </w:rPr>
              <w:t xml:space="preserve"> </w:t>
            </w:r>
          </w:p>
          <w:p w14:paraId="18EE73A1" w14:textId="77777777" w:rsidR="00577022" w:rsidRPr="009E580A" w:rsidRDefault="00E77A83" w:rsidP="001C785E">
            <w:pPr>
              <w:jc w:val="center"/>
              <w:rPr>
                <w:bCs/>
              </w:rPr>
            </w:pPr>
            <w:r>
              <w:rPr>
                <w:bCs/>
              </w:rPr>
              <w:t>(52.9)</w:t>
            </w:r>
          </w:p>
        </w:tc>
        <w:tc>
          <w:tcPr>
            <w:tcW w:w="1344" w:type="dxa"/>
            <w:tcBorders>
              <w:top w:val="single" w:sz="4" w:space="0" w:color="auto"/>
            </w:tcBorders>
            <w:vAlign w:val="center"/>
          </w:tcPr>
          <w:p w14:paraId="0ED6A143" w14:textId="77777777" w:rsidR="008D4B0D" w:rsidRDefault="00577022" w:rsidP="001C785E">
            <w:pPr>
              <w:jc w:val="center"/>
              <w:rPr>
                <w:bCs/>
              </w:rPr>
            </w:pPr>
            <w:r>
              <w:rPr>
                <w:bCs/>
              </w:rPr>
              <w:t>2</w:t>
            </w:r>
            <w:r w:rsidR="00147CC0">
              <w:rPr>
                <w:bCs/>
              </w:rPr>
              <w:t xml:space="preserve"> </w:t>
            </w:r>
          </w:p>
          <w:p w14:paraId="5AF53C8A" w14:textId="77777777" w:rsidR="00577022" w:rsidRPr="009E580A" w:rsidRDefault="00147CC0" w:rsidP="001C785E">
            <w:pPr>
              <w:jc w:val="center"/>
              <w:rPr>
                <w:bCs/>
              </w:rPr>
            </w:pPr>
            <w:r>
              <w:rPr>
                <w:bCs/>
              </w:rPr>
              <w:t>(11.1)</w:t>
            </w:r>
          </w:p>
        </w:tc>
        <w:tc>
          <w:tcPr>
            <w:tcW w:w="1342" w:type="dxa"/>
            <w:tcBorders>
              <w:top w:val="single" w:sz="4" w:space="0" w:color="auto"/>
            </w:tcBorders>
            <w:vAlign w:val="center"/>
          </w:tcPr>
          <w:p w14:paraId="0D2052A0" w14:textId="77777777" w:rsidR="008D4B0D" w:rsidRDefault="00577022" w:rsidP="001C785E">
            <w:pPr>
              <w:jc w:val="center"/>
              <w:rPr>
                <w:bCs/>
              </w:rPr>
            </w:pPr>
            <w:r>
              <w:rPr>
                <w:bCs/>
              </w:rPr>
              <w:t>11</w:t>
            </w:r>
            <w:r w:rsidR="00262D5C">
              <w:rPr>
                <w:bCs/>
              </w:rPr>
              <w:t xml:space="preserve"> </w:t>
            </w:r>
          </w:p>
          <w:p w14:paraId="2C0E8B75" w14:textId="77777777" w:rsidR="00577022" w:rsidRPr="009E580A" w:rsidRDefault="00262D5C" w:rsidP="001C785E">
            <w:pPr>
              <w:jc w:val="center"/>
              <w:rPr>
                <w:bCs/>
              </w:rPr>
            </w:pPr>
            <w:r>
              <w:rPr>
                <w:bCs/>
              </w:rPr>
              <w:t>(64.7)</w:t>
            </w:r>
          </w:p>
        </w:tc>
        <w:tc>
          <w:tcPr>
            <w:tcW w:w="1343" w:type="dxa"/>
            <w:tcBorders>
              <w:top w:val="single" w:sz="4" w:space="0" w:color="auto"/>
            </w:tcBorders>
            <w:vAlign w:val="center"/>
          </w:tcPr>
          <w:p w14:paraId="4508DE59" w14:textId="77777777" w:rsidR="008D4B0D" w:rsidRDefault="00577022" w:rsidP="001C785E">
            <w:pPr>
              <w:jc w:val="center"/>
              <w:rPr>
                <w:bCs/>
              </w:rPr>
            </w:pPr>
            <w:r>
              <w:rPr>
                <w:bCs/>
              </w:rPr>
              <w:t>4</w:t>
            </w:r>
            <w:r w:rsidR="00E76B23">
              <w:rPr>
                <w:bCs/>
              </w:rPr>
              <w:t xml:space="preserve"> </w:t>
            </w:r>
          </w:p>
          <w:p w14:paraId="0046C3D1" w14:textId="77777777" w:rsidR="00577022" w:rsidRPr="009E580A" w:rsidRDefault="00E76B23" w:rsidP="001C785E">
            <w:pPr>
              <w:jc w:val="center"/>
              <w:rPr>
                <w:bCs/>
              </w:rPr>
            </w:pPr>
            <w:r>
              <w:rPr>
                <w:bCs/>
              </w:rPr>
              <w:t>(20.0)</w:t>
            </w:r>
          </w:p>
        </w:tc>
        <w:tc>
          <w:tcPr>
            <w:tcW w:w="1342" w:type="dxa"/>
            <w:tcBorders>
              <w:top w:val="single" w:sz="4" w:space="0" w:color="auto"/>
            </w:tcBorders>
            <w:vAlign w:val="center"/>
          </w:tcPr>
          <w:p w14:paraId="35D2E758" w14:textId="77777777" w:rsidR="008D4B0D" w:rsidRDefault="00577022" w:rsidP="001C785E">
            <w:pPr>
              <w:jc w:val="center"/>
              <w:rPr>
                <w:bCs/>
              </w:rPr>
            </w:pPr>
            <w:r>
              <w:rPr>
                <w:bCs/>
              </w:rPr>
              <w:t>14</w:t>
            </w:r>
            <w:r w:rsidR="00B25BBE">
              <w:rPr>
                <w:bCs/>
              </w:rPr>
              <w:t xml:space="preserve"> </w:t>
            </w:r>
          </w:p>
          <w:p w14:paraId="7701DA35" w14:textId="77777777" w:rsidR="00577022" w:rsidRPr="009E580A" w:rsidRDefault="00B25BBE" w:rsidP="001C785E">
            <w:pPr>
              <w:jc w:val="center"/>
              <w:rPr>
                <w:bCs/>
              </w:rPr>
            </w:pPr>
            <w:r>
              <w:rPr>
                <w:bCs/>
              </w:rPr>
              <w:t>(66.7)</w:t>
            </w:r>
          </w:p>
        </w:tc>
        <w:tc>
          <w:tcPr>
            <w:tcW w:w="1343" w:type="dxa"/>
            <w:tcBorders>
              <w:top w:val="single" w:sz="4" w:space="0" w:color="auto"/>
            </w:tcBorders>
            <w:vAlign w:val="center"/>
          </w:tcPr>
          <w:p w14:paraId="1D1D172C" w14:textId="77777777" w:rsidR="008D4B0D" w:rsidRDefault="00577022" w:rsidP="001C785E">
            <w:pPr>
              <w:jc w:val="center"/>
              <w:rPr>
                <w:bCs/>
              </w:rPr>
            </w:pPr>
            <w:r>
              <w:rPr>
                <w:bCs/>
              </w:rPr>
              <w:t>9</w:t>
            </w:r>
            <w:r w:rsidR="00B25BBE">
              <w:rPr>
                <w:bCs/>
              </w:rPr>
              <w:t xml:space="preserve"> </w:t>
            </w:r>
          </w:p>
          <w:p w14:paraId="000EA677" w14:textId="77777777" w:rsidR="00577022" w:rsidRPr="009E580A" w:rsidRDefault="00B25BBE" w:rsidP="001C785E">
            <w:pPr>
              <w:jc w:val="center"/>
              <w:rPr>
                <w:bCs/>
              </w:rPr>
            </w:pPr>
            <w:r>
              <w:rPr>
                <w:bCs/>
              </w:rPr>
              <w:t>(42.8)</w:t>
            </w:r>
          </w:p>
        </w:tc>
      </w:tr>
      <w:tr w:rsidR="00577022" w14:paraId="63679C04" w14:textId="77777777" w:rsidTr="00BC441E">
        <w:trPr>
          <w:trHeight w:val="1317"/>
        </w:trPr>
        <w:tc>
          <w:tcPr>
            <w:tcW w:w="1082" w:type="dxa"/>
            <w:vAlign w:val="center"/>
          </w:tcPr>
          <w:p w14:paraId="32445D86" w14:textId="5C920272" w:rsidR="00577022" w:rsidRPr="009E580A" w:rsidRDefault="00577022" w:rsidP="001C785E">
            <w:pPr>
              <w:jc w:val="center"/>
              <w:rPr>
                <w:bCs/>
              </w:rPr>
            </w:pPr>
            <w:r w:rsidRPr="009E580A">
              <w:rPr>
                <w:bCs/>
              </w:rPr>
              <w:t>TSC</w:t>
            </w:r>
            <w:r w:rsidR="002518C6">
              <w:rPr>
                <w:bCs/>
              </w:rPr>
              <w:t xml:space="preserve"> </w:t>
            </w:r>
            <w:r w:rsidRPr="009E580A">
              <w:rPr>
                <w:bCs/>
              </w:rPr>
              <w:t>D</w:t>
            </w:r>
            <w:r w:rsidR="002518C6">
              <w:rPr>
                <w:bCs/>
              </w:rPr>
              <w:t>istress</w:t>
            </w:r>
            <w:r w:rsidR="00D708C3">
              <w:rPr>
                <w:bCs/>
              </w:rPr>
              <w:t xml:space="preserve"> (%)</w:t>
            </w:r>
          </w:p>
        </w:tc>
        <w:tc>
          <w:tcPr>
            <w:tcW w:w="1106" w:type="dxa"/>
            <w:vAlign w:val="center"/>
          </w:tcPr>
          <w:p w14:paraId="03C4B98C" w14:textId="77777777" w:rsidR="008D4B0D" w:rsidRDefault="00577022" w:rsidP="001C785E">
            <w:pPr>
              <w:jc w:val="center"/>
              <w:rPr>
                <w:bCs/>
              </w:rPr>
            </w:pPr>
            <w:r>
              <w:rPr>
                <w:bCs/>
              </w:rPr>
              <w:t>13</w:t>
            </w:r>
            <w:r w:rsidR="00FC450E">
              <w:rPr>
                <w:bCs/>
              </w:rPr>
              <w:t xml:space="preserve"> </w:t>
            </w:r>
          </w:p>
          <w:p w14:paraId="2D0ED77F" w14:textId="77777777" w:rsidR="00577022" w:rsidRPr="009E580A" w:rsidRDefault="00FC450E" w:rsidP="001C785E">
            <w:pPr>
              <w:jc w:val="center"/>
              <w:rPr>
                <w:bCs/>
              </w:rPr>
            </w:pPr>
            <w:r>
              <w:rPr>
                <w:bCs/>
              </w:rPr>
              <w:t>(48.1)</w:t>
            </w:r>
          </w:p>
        </w:tc>
        <w:tc>
          <w:tcPr>
            <w:tcW w:w="1071" w:type="dxa"/>
            <w:vAlign w:val="center"/>
          </w:tcPr>
          <w:p w14:paraId="2D6E0059" w14:textId="77777777" w:rsidR="00577022" w:rsidRPr="009E580A" w:rsidRDefault="00577022" w:rsidP="001C785E">
            <w:pPr>
              <w:jc w:val="center"/>
              <w:rPr>
                <w:bCs/>
              </w:rPr>
            </w:pPr>
            <w:r>
              <w:rPr>
                <w:bCs/>
              </w:rPr>
              <w:t>13</w:t>
            </w:r>
            <w:r w:rsidR="001B1452">
              <w:rPr>
                <w:bCs/>
              </w:rPr>
              <w:t xml:space="preserve"> (52.0)</w:t>
            </w:r>
          </w:p>
        </w:tc>
        <w:tc>
          <w:tcPr>
            <w:tcW w:w="1410" w:type="dxa"/>
            <w:vAlign w:val="center"/>
          </w:tcPr>
          <w:p w14:paraId="70102EAB" w14:textId="77777777" w:rsidR="008D4B0D" w:rsidRDefault="00577022" w:rsidP="001C785E">
            <w:pPr>
              <w:jc w:val="center"/>
              <w:rPr>
                <w:bCs/>
              </w:rPr>
            </w:pPr>
            <w:r>
              <w:rPr>
                <w:bCs/>
              </w:rPr>
              <w:t>7</w:t>
            </w:r>
            <w:r w:rsidR="00E77A83">
              <w:rPr>
                <w:bCs/>
              </w:rPr>
              <w:t xml:space="preserve"> </w:t>
            </w:r>
          </w:p>
          <w:p w14:paraId="37DB5C3E" w14:textId="77777777" w:rsidR="00577022" w:rsidRPr="009E580A" w:rsidRDefault="00E77A83" w:rsidP="001C785E">
            <w:pPr>
              <w:jc w:val="center"/>
              <w:rPr>
                <w:bCs/>
              </w:rPr>
            </w:pPr>
            <w:r>
              <w:rPr>
                <w:bCs/>
              </w:rPr>
              <w:t>(41.2)</w:t>
            </w:r>
          </w:p>
        </w:tc>
        <w:tc>
          <w:tcPr>
            <w:tcW w:w="1344" w:type="dxa"/>
            <w:vAlign w:val="center"/>
          </w:tcPr>
          <w:p w14:paraId="756E95C1" w14:textId="77777777" w:rsidR="008D4B0D" w:rsidRDefault="00577022" w:rsidP="001C785E">
            <w:pPr>
              <w:jc w:val="center"/>
              <w:rPr>
                <w:bCs/>
              </w:rPr>
            </w:pPr>
            <w:r>
              <w:rPr>
                <w:bCs/>
              </w:rPr>
              <w:t>9</w:t>
            </w:r>
            <w:r w:rsidR="00147CC0">
              <w:rPr>
                <w:bCs/>
              </w:rPr>
              <w:t xml:space="preserve"> </w:t>
            </w:r>
          </w:p>
          <w:p w14:paraId="2E740826" w14:textId="77777777" w:rsidR="00577022" w:rsidRPr="009E580A" w:rsidRDefault="00147CC0" w:rsidP="001C785E">
            <w:pPr>
              <w:jc w:val="center"/>
              <w:rPr>
                <w:bCs/>
              </w:rPr>
            </w:pPr>
            <w:r>
              <w:rPr>
                <w:bCs/>
              </w:rPr>
              <w:t>(50.0)</w:t>
            </w:r>
          </w:p>
        </w:tc>
        <w:tc>
          <w:tcPr>
            <w:tcW w:w="1342" w:type="dxa"/>
            <w:vAlign w:val="center"/>
          </w:tcPr>
          <w:p w14:paraId="3469572C" w14:textId="77777777" w:rsidR="008D4B0D" w:rsidRDefault="00577022" w:rsidP="001C785E">
            <w:pPr>
              <w:jc w:val="center"/>
              <w:rPr>
                <w:bCs/>
              </w:rPr>
            </w:pPr>
            <w:r>
              <w:rPr>
                <w:bCs/>
              </w:rPr>
              <w:t>9</w:t>
            </w:r>
            <w:r w:rsidR="00262D5C">
              <w:rPr>
                <w:bCs/>
              </w:rPr>
              <w:t xml:space="preserve"> </w:t>
            </w:r>
          </w:p>
          <w:p w14:paraId="484203C2" w14:textId="77777777" w:rsidR="00577022" w:rsidRPr="009E580A" w:rsidRDefault="00262D5C" w:rsidP="001C785E">
            <w:pPr>
              <w:jc w:val="center"/>
              <w:rPr>
                <w:bCs/>
              </w:rPr>
            </w:pPr>
            <w:r>
              <w:rPr>
                <w:bCs/>
              </w:rPr>
              <w:t>(52.9)</w:t>
            </w:r>
          </w:p>
        </w:tc>
        <w:tc>
          <w:tcPr>
            <w:tcW w:w="1343" w:type="dxa"/>
            <w:vAlign w:val="center"/>
          </w:tcPr>
          <w:p w14:paraId="2796FBF9" w14:textId="77777777" w:rsidR="008D4B0D" w:rsidRDefault="00577022" w:rsidP="001C785E">
            <w:pPr>
              <w:jc w:val="center"/>
              <w:rPr>
                <w:bCs/>
              </w:rPr>
            </w:pPr>
            <w:r>
              <w:rPr>
                <w:bCs/>
              </w:rPr>
              <w:t>9</w:t>
            </w:r>
            <w:r w:rsidR="00B25BBE">
              <w:rPr>
                <w:bCs/>
              </w:rPr>
              <w:t xml:space="preserve"> </w:t>
            </w:r>
          </w:p>
          <w:p w14:paraId="664D58C5" w14:textId="77777777" w:rsidR="00577022" w:rsidRPr="009E580A" w:rsidRDefault="00B25BBE" w:rsidP="001C785E">
            <w:pPr>
              <w:jc w:val="center"/>
              <w:rPr>
                <w:bCs/>
              </w:rPr>
            </w:pPr>
            <w:r>
              <w:rPr>
                <w:bCs/>
              </w:rPr>
              <w:t>(45.0)</w:t>
            </w:r>
          </w:p>
        </w:tc>
        <w:tc>
          <w:tcPr>
            <w:tcW w:w="1342" w:type="dxa"/>
            <w:vAlign w:val="center"/>
          </w:tcPr>
          <w:p w14:paraId="40536B30" w14:textId="77777777" w:rsidR="008D4B0D" w:rsidRDefault="00577022" w:rsidP="001C785E">
            <w:pPr>
              <w:jc w:val="center"/>
              <w:rPr>
                <w:bCs/>
              </w:rPr>
            </w:pPr>
            <w:r>
              <w:rPr>
                <w:bCs/>
              </w:rPr>
              <w:t>10</w:t>
            </w:r>
            <w:r w:rsidR="00B25BBE">
              <w:rPr>
                <w:bCs/>
              </w:rPr>
              <w:t xml:space="preserve"> </w:t>
            </w:r>
          </w:p>
          <w:p w14:paraId="5B43E04F" w14:textId="77777777" w:rsidR="00577022" w:rsidRPr="009E580A" w:rsidRDefault="00B25BBE" w:rsidP="001C785E">
            <w:pPr>
              <w:jc w:val="center"/>
              <w:rPr>
                <w:bCs/>
              </w:rPr>
            </w:pPr>
            <w:r>
              <w:rPr>
                <w:bCs/>
              </w:rPr>
              <w:t>(47.6)</w:t>
            </w:r>
          </w:p>
        </w:tc>
        <w:tc>
          <w:tcPr>
            <w:tcW w:w="1343" w:type="dxa"/>
            <w:vAlign w:val="center"/>
          </w:tcPr>
          <w:p w14:paraId="560128AA" w14:textId="77777777" w:rsidR="008D4B0D" w:rsidRDefault="00577022" w:rsidP="001C785E">
            <w:pPr>
              <w:jc w:val="center"/>
              <w:rPr>
                <w:bCs/>
              </w:rPr>
            </w:pPr>
            <w:r>
              <w:rPr>
                <w:bCs/>
              </w:rPr>
              <w:t>12</w:t>
            </w:r>
            <w:r w:rsidR="00B25BBE">
              <w:rPr>
                <w:bCs/>
              </w:rPr>
              <w:t xml:space="preserve"> </w:t>
            </w:r>
          </w:p>
          <w:p w14:paraId="0581E62A" w14:textId="77777777" w:rsidR="00577022" w:rsidRPr="009E580A" w:rsidRDefault="00B25BBE" w:rsidP="001C785E">
            <w:pPr>
              <w:jc w:val="center"/>
              <w:rPr>
                <w:bCs/>
              </w:rPr>
            </w:pPr>
            <w:r>
              <w:rPr>
                <w:bCs/>
              </w:rPr>
              <w:t>(57.1)</w:t>
            </w:r>
          </w:p>
        </w:tc>
      </w:tr>
      <w:tr w:rsidR="00BC441E" w14:paraId="717D6389" w14:textId="77777777" w:rsidTr="001C785E">
        <w:trPr>
          <w:trHeight w:val="1317"/>
        </w:trPr>
        <w:tc>
          <w:tcPr>
            <w:tcW w:w="1082" w:type="dxa"/>
            <w:tcBorders>
              <w:bottom w:val="single" w:sz="4" w:space="0" w:color="auto"/>
            </w:tcBorders>
            <w:vAlign w:val="center"/>
          </w:tcPr>
          <w:p w14:paraId="18D93F97" w14:textId="77777777" w:rsidR="00BC441E" w:rsidRPr="009E580A" w:rsidRDefault="00BC441E" w:rsidP="001C785E">
            <w:pPr>
              <w:jc w:val="center"/>
              <w:rPr>
                <w:bCs/>
              </w:rPr>
            </w:pPr>
            <w:r>
              <w:rPr>
                <w:bCs/>
              </w:rPr>
              <w:t>TSC Total (%)</w:t>
            </w:r>
          </w:p>
        </w:tc>
        <w:tc>
          <w:tcPr>
            <w:tcW w:w="1106" w:type="dxa"/>
            <w:tcBorders>
              <w:bottom w:val="single" w:sz="4" w:space="0" w:color="auto"/>
            </w:tcBorders>
            <w:vAlign w:val="center"/>
          </w:tcPr>
          <w:p w14:paraId="61693A2D" w14:textId="77777777" w:rsidR="008D4B0D" w:rsidRDefault="002600AE" w:rsidP="001C785E">
            <w:pPr>
              <w:jc w:val="center"/>
              <w:rPr>
                <w:bCs/>
              </w:rPr>
            </w:pPr>
            <w:r>
              <w:rPr>
                <w:bCs/>
              </w:rPr>
              <w:t xml:space="preserve">17 </w:t>
            </w:r>
          </w:p>
          <w:p w14:paraId="1CE9C4A4" w14:textId="77777777" w:rsidR="00BC441E" w:rsidRDefault="002600AE" w:rsidP="001C785E">
            <w:pPr>
              <w:jc w:val="center"/>
              <w:rPr>
                <w:bCs/>
              </w:rPr>
            </w:pPr>
            <w:r>
              <w:rPr>
                <w:bCs/>
              </w:rPr>
              <w:t>(62.9)</w:t>
            </w:r>
          </w:p>
        </w:tc>
        <w:tc>
          <w:tcPr>
            <w:tcW w:w="1071" w:type="dxa"/>
            <w:tcBorders>
              <w:bottom w:val="single" w:sz="4" w:space="0" w:color="auto"/>
            </w:tcBorders>
            <w:vAlign w:val="center"/>
          </w:tcPr>
          <w:p w14:paraId="4F297775" w14:textId="77777777" w:rsidR="00BC441E" w:rsidRDefault="002600AE" w:rsidP="001C785E">
            <w:pPr>
              <w:jc w:val="center"/>
              <w:rPr>
                <w:bCs/>
              </w:rPr>
            </w:pPr>
            <w:r>
              <w:rPr>
                <w:bCs/>
              </w:rPr>
              <w:t>11 (44.0)</w:t>
            </w:r>
          </w:p>
        </w:tc>
        <w:tc>
          <w:tcPr>
            <w:tcW w:w="1410" w:type="dxa"/>
            <w:tcBorders>
              <w:bottom w:val="single" w:sz="4" w:space="0" w:color="auto"/>
            </w:tcBorders>
            <w:vAlign w:val="center"/>
          </w:tcPr>
          <w:p w14:paraId="04D89FF8" w14:textId="77777777" w:rsidR="008D4B0D" w:rsidRDefault="002600AE" w:rsidP="001C785E">
            <w:pPr>
              <w:jc w:val="center"/>
              <w:rPr>
                <w:bCs/>
              </w:rPr>
            </w:pPr>
            <w:r>
              <w:rPr>
                <w:bCs/>
              </w:rPr>
              <w:t xml:space="preserve">9 </w:t>
            </w:r>
          </w:p>
          <w:p w14:paraId="057DA61E" w14:textId="77777777" w:rsidR="00BC441E" w:rsidRDefault="002600AE" w:rsidP="001C785E">
            <w:pPr>
              <w:jc w:val="center"/>
              <w:rPr>
                <w:bCs/>
              </w:rPr>
            </w:pPr>
            <w:r>
              <w:rPr>
                <w:bCs/>
              </w:rPr>
              <w:t>(52.9)</w:t>
            </w:r>
          </w:p>
        </w:tc>
        <w:tc>
          <w:tcPr>
            <w:tcW w:w="1344" w:type="dxa"/>
            <w:tcBorders>
              <w:bottom w:val="single" w:sz="4" w:space="0" w:color="auto"/>
            </w:tcBorders>
            <w:vAlign w:val="center"/>
          </w:tcPr>
          <w:p w14:paraId="405A8924" w14:textId="77777777" w:rsidR="008D4B0D" w:rsidRDefault="002600AE" w:rsidP="001C785E">
            <w:pPr>
              <w:jc w:val="center"/>
              <w:rPr>
                <w:bCs/>
              </w:rPr>
            </w:pPr>
            <w:r>
              <w:rPr>
                <w:bCs/>
              </w:rPr>
              <w:t xml:space="preserve">3 </w:t>
            </w:r>
          </w:p>
          <w:p w14:paraId="6C4C056A" w14:textId="77777777" w:rsidR="00BC441E" w:rsidRDefault="002600AE" w:rsidP="001C785E">
            <w:pPr>
              <w:jc w:val="center"/>
              <w:rPr>
                <w:bCs/>
              </w:rPr>
            </w:pPr>
            <w:r>
              <w:rPr>
                <w:bCs/>
              </w:rPr>
              <w:t>(16.7)</w:t>
            </w:r>
          </w:p>
        </w:tc>
        <w:tc>
          <w:tcPr>
            <w:tcW w:w="1342" w:type="dxa"/>
            <w:tcBorders>
              <w:bottom w:val="single" w:sz="4" w:space="0" w:color="auto"/>
            </w:tcBorders>
            <w:vAlign w:val="center"/>
          </w:tcPr>
          <w:p w14:paraId="3B789D75" w14:textId="77777777" w:rsidR="008D4B0D" w:rsidRDefault="002600AE" w:rsidP="001C785E">
            <w:pPr>
              <w:jc w:val="center"/>
              <w:rPr>
                <w:bCs/>
              </w:rPr>
            </w:pPr>
            <w:r>
              <w:rPr>
                <w:bCs/>
              </w:rPr>
              <w:t>10</w:t>
            </w:r>
            <w:r w:rsidR="00F13D6B">
              <w:rPr>
                <w:bCs/>
              </w:rPr>
              <w:t xml:space="preserve"> </w:t>
            </w:r>
          </w:p>
          <w:p w14:paraId="1D3D655A" w14:textId="77777777" w:rsidR="00BC441E" w:rsidRDefault="00F13D6B" w:rsidP="001C785E">
            <w:pPr>
              <w:jc w:val="center"/>
              <w:rPr>
                <w:bCs/>
              </w:rPr>
            </w:pPr>
            <w:r>
              <w:rPr>
                <w:bCs/>
              </w:rPr>
              <w:t>(58.8)</w:t>
            </w:r>
          </w:p>
        </w:tc>
        <w:tc>
          <w:tcPr>
            <w:tcW w:w="1343" w:type="dxa"/>
            <w:tcBorders>
              <w:bottom w:val="single" w:sz="4" w:space="0" w:color="auto"/>
            </w:tcBorders>
            <w:vAlign w:val="center"/>
          </w:tcPr>
          <w:p w14:paraId="5765EAFC" w14:textId="77777777" w:rsidR="008D4B0D" w:rsidRDefault="002600AE" w:rsidP="001C785E">
            <w:pPr>
              <w:jc w:val="center"/>
              <w:rPr>
                <w:bCs/>
              </w:rPr>
            </w:pPr>
            <w:r>
              <w:rPr>
                <w:bCs/>
              </w:rPr>
              <w:t>6</w:t>
            </w:r>
            <w:r w:rsidR="00F13D6B">
              <w:rPr>
                <w:bCs/>
              </w:rPr>
              <w:t xml:space="preserve"> </w:t>
            </w:r>
          </w:p>
          <w:p w14:paraId="7BF4B5B6" w14:textId="77777777" w:rsidR="00BC441E" w:rsidRDefault="00F13D6B" w:rsidP="001C785E">
            <w:pPr>
              <w:jc w:val="center"/>
              <w:rPr>
                <w:bCs/>
              </w:rPr>
            </w:pPr>
            <w:r>
              <w:rPr>
                <w:bCs/>
              </w:rPr>
              <w:t>(30.0)</w:t>
            </w:r>
          </w:p>
        </w:tc>
        <w:tc>
          <w:tcPr>
            <w:tcW w:w="1342" w:type="dxa"/>
            <w:tcBorders>
              <w:bottom w:val="single" w:sz="4" w:space="0" w:color="auto"/>
            </w:tcBorders>
            <w:vAlign w:val="center"/>
          </w:tcPr>
          <w:p w14:paraId="75EC0418" w14:textId="77777777" w:rsidR="008D4B0D" w:rsidRDefault="002600AE" w:rsidP="001C785E">
            <w:pPr>
              <w:jc w:val="center"/>
              <w:rPr>
                <w:bCs/>
              </w:rPr>
            </w:pPr>
            <w:r>
              <w:rPr>
                <w:bCs/>
              </w:rPr>
              <w:t>11</w:t>
            </w:r>
          </w:p>
          <w:p w14:paraId="7A660C05" w14:textId="77777777" w:rsidR="00BC441E" w:rsidRDefault="00F13D6B" w:rsidP="001C785E">
            <w:pPr>
              <w:jc w:val="center"/>
              <w:rPr>
                <w:bCs/>
              </w:rPr>
            </w:pPr>
            <w:r>
              <w:rPr>
                <w:bCs/>
              </w:rPr>
              <w:t>(52.4)</w:t>
            </w:r>
          </w:p>
        </w:tc>
        <w:tc>
          <w:tcPr>
            <w:tcW w:w="1343" w:type="dxa"/>
            <w:tcBorders>
              <w:bottom w:val="single" w:sz="4" w:space="0" w:color="auto"/>
            </w:tcBorders>
            <w:vAlign w:val="center"/>
          </w:tcPr>
          <w:p w14:paraId="37E80D09" w14:textId="77777777" w:rsidR="008D4B0D" w:rsidRDefault="002600AE" w:rsidP="001C785E">
            <w:pPr>
              <w:jc w:val="center"/>
              <w:rPr>
                <w:bCs/>
              </w:rPr>
            </w:pPr>
            <w:r>
              <w:rPr>
                <w:bCs/>
              </w:rPr>
              <w:t>9</w:t>
            </w:r>
            <w:r w:rsidR="00F13D6B">
              <w:rPr>
                <w:bCs/>
              </w:rPr>
              <w:t xml:space="preserve"> </w:t>
            </w:r>
          </w:p>
          <w:p w14:paraId="5C48D76D" w14:textId="77777777" w:rsidR="00BC441E" w:rsidRDefault="00F13D6B" w:rsidP="001C785E">
            <w:pPr>
              <w:jc w:val="center"/>
              <w:rPr>
                <w:bCs/>
              </w:rPr>
            </w:pPr>
            <w:r>
              <w:rPr>
                <w:bCs/>
              </w:rPr>
              <w:t>(42.8)</w:t>
            </w:r>
          </w:p>
        </w:tc>
      </w:tr>
    </w:tbl>
    <w:p w14:paraId="72607108" w14:textId="5D581FF3" w:rsidR="00577022" w:rsidRDefault="00577022">
      <w:pPr>
        <w:rPr>
          <w:bCs/>
        </w:rPr>
      </w:pPr>
      <w:r>
        <w:rPr>
          <w:bCs/>
        </w:rPr>
        <w:t xml:space="preserve">Table </w:t>
      </w:r>
      <w:r w:rsidR="00F50909">
        <w:rPr>
          <w:bCs/>
        </w:rPr>
        <w:t>5</w:t>
      </w:r>
    </w:p>
    <w:p w14:paraId="78DD4041" w14:textId="77777777" w:rsidR="001C785E" w:rsidRDefault="001C785E">
      <w:pPr>
        <w:rPr>
          <w:bCs/>
          <w:i/>
          <w:iCs/>
        </w:rPr>
      </w:pPr>
      <w:r>
        <w:rPr>
          <w:bCs/>
          <w:i/>
          <w:iCs/>
        </w:rPr>
        <w:t>Parent and child clinical responder classifications for trichotillomania severity and distress</w:t>
      </w:r>
    </w:p>
    <w:p w14:paraId="5AF703A9" w14:textId="77777777" w:rsidR="001C785E" w:rsidRDefault="001C785E">
      <w:pPr>
        <w:rPr>
          <w:bCs/>
          <w:i/>
          <w:iCs/>
        </w:rPr>
      </w:pPr>
    </w:p>
    <w:p w14:paraId="51544296" w14:textId="77777777" w:rsidR="001C785E" w:rsidRDefault="001C785E">
      <w:pPr>
        <w:rPr>
          <w:b/>
        </w:rPr>
      </w:pPr>
    </w:p>
    <w:p w14:paraId="288B4651" w14:textId="77777777" w:rsidR="001C785E" w:rsidRDefault="001C785E">
      <w:pPr>
        <w:rPr>
          <w:b/>
        </w:rPr>
      </w:pPr>
    </w:p>
    <w:p w14:paraId="02155265" w14:textId="77777777" w:rsidR="001C785E" w:rsidRDefault="001C785E">
      <w:pPr>
        <w:rPr>
          <w:b/>
        </w:rPr>
      </w:pPr>
    </w:p>
    <w:p w14:paraId="07068C51" w14:textId="77777777" w:rsidR="001C785E" w:rsidRDefault="001C785E">
      <w:pPr>
        <w:rPr>
          <w:b/>
        </w:rPr>
      </w:pPr>
    </w:p>
    <w:p w14:paraId="2141A592" w14:textId="77777777" w:rsidR="001C785E" w:rsidRDefault="001C785E">
      <w:pPr>
        <w:rPr>
          <w:b/>
        </w:rPr>
      </w:pPr>
    </w:p>
    <w:p w14:paraId="6E79879A" w14:textId="77777777" w:rsidR="001C785E" w:rsidRDefault="001C785E">
      <w:pPr>
        <w:rPr>
          <w:b/>
        </w:rPr>
      </w:pPr>
    </w:p>
    <w:p w14:paraId="47540B07" w14:textId="77777777" w:rsidR="001C785E" w:rsidRDefault="001C785E">
      <w:pPr>
        <w:rPr>
          <w:b/>
        </w:rPr>
      </w:pPr>
    </w:p>
    <w:p w14:paraId="7E37F94F" w14:textId="77777777" w:rsidR="001C785E" w:rsidRDefault="001C785E">
      <w:pPr>
        <w:rPr>
          <w:b/>
        </w:rPr>
      </w:pPr>
    </w:p>
    <w:p w14:paraId="44644FDF" w14:textId="77777777" w:rsidR="001C785E" w:rsidRDefault="001C785E">
      <w:pPr>
        <w:rPr>
          <w:b/>
        </w:rPr>
      </w:pPr>
    </w:p>
    <w:p w14:paraId="575907BC" w14:textId="77777777" w:rsidR="001C785E" w:rsidRDefault="001C785E">
      <w:pPr>
        <w:rPr>
          <w:b/>
        </w:rPr>
      </w:pPr>
    </w:p>
    <w:p w14:paraId="0D8A9C74" w14:textId="77777777" w:rsidR="001C785E" w:rsidRDefault="001C785E">
      <w:pPr>
        <w:rPr>
          <w:b/>
        </w:rPr>
      </w:pPr>
    </w:p>
    <w:p w14:paraId="19A0C9DC" w14:textId="77777777" w:rsidR="001C785E" w:rsidRDefault="001C785E">
      <w:pPr>
        <w:rPr>
          <w:b/>
        </w:rPr>
      </w:pPr>
    </w:p>
    <w:p w14:paraId="486CCDD8" w14:textId="77777777" w:rsidR="001C785E" w:rsidRDefault="001C785E">
      <w:pPr>
        <w:rPr>
          <w:b/>
        </w:rPr>
      </w:pPr>
    </w:p>
    <w:p w14:paraId="1121B7E8" w14:textId="77777777" w:rsidR="001C785E" w:rsidRDefault="001C785E">
      <w:pPr>
        <w:rPr>
          <w:b/>
        </w:rPr>
      </w:pPr>
    </w:p>
    <w:p w14:paraId="5598E9FD" w14:textId="77777777" w:rsidR="001C785E" w:rsidRDefault="001C785E">
      <w:pPr>
        <w:rPr>
          <w:b/>
        </w:rPr>
      </w:pPr>
    </w:p>
    <w:p w14:paraId="66557D47" w14:textId="77777777" w:rsidR="001C785E" w:rsidRDefault="001C785E">
      <w:pPr>
        <w:rPr>
          <w:b/>
        </w:rPr>
      </w:pPr>
    </w:p>
    <w:p w14:paraId="78B3FBFC" w14:textId="77777777" w:rsidR="003C6F67" w:rsidRDefault="003C6F67">
      <w:pPr>
        <w:rPr>
          <w:bCs/>
          <w:i/>
          <w:iCs/>
        </w:rPr>
      </w:pPr>
    </w:p>
    <w:p w14:paraId="2BD6E1AB" w14:textId="77777777" w:rsidR="003C6F67" w:rsidRDefault="003C6F67">
      <w:pPr>
        <w:rPr>
          <w:bCs/>
          <w:i/>
          <w:iCs/>
        </w:rPr>
      </w:pPr>
    </w:p>
    <w:p w14:paraId="6D9C1EFB" w14:textId="77777777" w:rsidR="003C6F67" w:rsidRDefault="003C6F67">
      <w:pPr>
        <w:rPr>
          <w:bCs/>
          <w:i/>
          <w:iCs/>
        </w:rPr>
      </w:pPr>
    </w:p>
    <w:p w14:paraId="195D766D" w14:textId="77777777" w:rsidR="003C6F67" w:rsidRDefault="003C6F67">
      <w:pPr>
        <w:rPr>
          <w:bCs/>
          <w:i/>
          <w:iCs/>
        </w:rPr>
      </w:pPr>
    </w:p>
    <w:p w14:paraId="3194F529" w14:textId="77777777" w:rsidR="003C6F67" w:rsidRDefault="003C6F67">
      <w:pPr>
        <w:rPr>
          <w:bCs/>
          <w:i/>
          <w:iCs/>
        </w:rPr>
      </w:pPr>
    </w:p>
    <w:p w14:paraId="7439C53C" w14:textId="0F1A4FD8" w:rsidR="003B1ECB" w:rsidRPr="00520400" w:rsidRDefault="001C785E">
      <w:pPr>
        <w:rPr>
          <w:bCs/>
        </w:rPr>
        <w:sectPr w:rsidR="003B1ECB" w:rsidRPr="00520400" w:rsidSect="00ED3E8F">
          <w:pgSz w:w="15840" w:h="12240" w:orient="landscape"/>
          <w:pgMar w:top="1440" w:right="1440" w:bottom="1440" w:left="1440" w:header="720" w:footer="720" w:gutter="0"/>
          <w:cols w:space="720"/>
          <w:docGrid w:linePitch="360"/>
        </w:sectPr>
      </w:pPr>
      <w:r w:rsidRPr="00E9621A">
        <w:rPr>
          <w:bCs/>
          <w:i/>
          <w:iCs/>
        </w:rPr>
        <w:t>Note</w:t>
      </w:r>
      <w:r w:rsidRPr="005176AF">
        <w:t>. TSC = Trichotillomania Scale for C</w:t>
      </w:r>
      <w:r>
        <w:t>hildren</w:t>
      </w:r>
      <w:r w:rsidR="00520400">
        <w:rPr>
          <w:bCs/>
        </w:rPr>
        <w:t>.</w:t>
      </w:r>
    </w:p>
    <w:p w14:paraId="67507D17" w14:textId="60D2E283" w:rsidR="003B1ECB" w:rsidRPr="006D7FE6" w:rsidRDefault="003B1ECB" w:rsidP="00ED3E8F">
      <w:r w:rsidRPr="00D66BA9">
        <w:rPr>
          <w:i/>
        </w:rPr>
        <w:lastRenderedPageBreak/>
        <w:t>Figure 1.</w:t>
      </w:r>
      <w:r w:rsidRPr="00E97625">
        <w:t xml:space="preserve"> </w:t>
      </w:r>
      <w:r>
        <w:t>Diagram of participant retention over follow-up timepoints</w:t>
      </w:r>
      <w:r w:rsidRPr="00D66BA9">
        <w:t>.</w:t>
      </w:r>
      <w:r>
        <w:t xml:space="preserve"> Starting N = 28</w:t>
      </w:r>
      <w:r w:rsidR="00C2023C">
        <w:t xml:space="preserve">; </w:t>
      </w:r>
      <w:r w:rsidR="00E46FD2">
        <w:t>participants lost at each</w:t>
      </w:r>
      <w:r w:rsidR="00C2023C">
        <w:t xml:space="preserve"> follow-up </w:t>
      </w:r>
      <w:r w:rsidR="00E46FD2">
        <w:t xml:space="preserve">point </w:t>
      </w:r>
      <w:r w:rsidR="00C2023C">
        <w:t xml:space="preserve">were </w:t>
      </w:r>
      <w:r w:rsidR="00E46FD2">
        <w:t>unresponsive</w:t>
      </w:r>
      <w:r w:rsidR="007B5AB5">
        <w:t xml:space="preserve"> to experimenter prompts</w:t>
      </w:r>
      <w:r w:rsidR="00C2023C">
        <w:t>.</w:t>
      </w:r>
    </w:p>
    <w:p w14:paraId="15DBC395" w14:textId="77777777" w:rsidR="003B1ECB" w:rsidRDefault="006F536C">
      <w:pPr>
        <w:rPr>
          <w:b/>
        </w:rPr>
      </w:pPr>
      <w:r w:rsidRPr="006D7FE6">
        <w:rPr>
          <w:i/>
          <w:noProof/>
        </w:rPr>
        <mc:AlternateContent>
          <mc:Choice Requires="wps">
            <w:drawing>
              <wp:anchor distT="0" distB="0" distL="114300" distR="114300" simplePos="0" relativeHeight="251665408" behindDoc="0" locked="0" layoutInCell="1" allowOverlap="1" wp14:anchorId="41FB21FC" wp14:editId="5A5392E4">
                <wp:simplePos x="0" y="0"/>
                <wp:positionH relativeFrom="column">
                  <wp:posOffset>2146300</wp:posOffset>
                </wp:positionH>
                <wp:positionV relativeFrom="paragraph">
                  <wp:posOffset>5110480</wp:posOffset>
                </wp:positionV>
                <wp:extent cx="2000250" cy="765175"/>
                <wp:effectExtent l="0" t="0" r="19050" b="952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765175"/>
                        </a:xfrm>
                        <a:prstGeom prst="rect">
                          <a:avLst/>
                        </a:prstGeom>
                        <a:solidFill>
                          <a:srgbClr val="FFFFFF"/>
                        </a:solidFill>
                        <a:ln w="9525">
                          <a:solidFill>
                            <a:srgbClr val="000000"/>
                          </a:solidFill>
                          <a:miter lim="800000"/>
                          <a:headEnd/>
                          <a:tailEnd/>
                        </a:ln>
                      </wps:spPr>
                      <wps:txbx>
                        <w:txbxContent>
                          <w:p w14:paraId="3D073F36" w14:textId="77777777" w:rsidR="00ED3E8F" w:rsidRPr="006D7FE6" w:rsidRDefault="00ED3E8F" w:rsidP="00ED3E8F">
                            <w:pPr>
                              <w:jc w:val="center"/>
                              <w:rPr>
                                <w:b/>
                                <w:bCs/>
                                <w:lang w:val="en-CA"/>
                              </w:rPr>
                            </w:pPr>
                            <w:r>
                              <w:rPr>
                                <w:b/>
                                <w:bCs/>
                                <w:lang w:val="en-CA"/>
                              </w:rPr>
                              <w:t>12-month follow-up</w:t>
                            </w:r>
                          </w:p>
                          <w:p w14:paraId="5A10C3E5" w14:textId="77777777" w:rsidR="00ED3E8F" w:rsidRDefault="00ED3E8F" w:rsidP="00ED3E8F">
                            <w:pPr>
                              <w:jc w:val="center"/>
                              <w:rPr>
                                <w:lang w:val="en-CA"/>
                              </w:rPr>
                            </w:pPr>
                            <w:r>
                              <w:rPr>
                                <w:lang w:val="en-CA"/>
                              </w:rPr>
                              <w:t>Parent (22)</w:t>
                            </w:r>
                          </w:p>
                          <w:p w14:paraId="50381AC2" w14:textId="77777777" w:rsidR="00ED3E8F" w:rsidRPr="006D7FE6" w:rsidRDefault="00ED3E8F" w:rsidP="00ED3E8F">
                            <w:pPr>
                              <w:jc w:val="center"/>
                              <w:rPr>
                                <w:lang w:val="en-CA"/>
                              </w:rPr>
                            </w:pPr>
                            <w:r>
                              <w:rPr>
                                <w:lang w:val="en-CA"/>
                              </w:rPr>
                              <w:t>Adolescent (21)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21FC" id="Rectangle 23" o:spid="_x0000_s1026" style="position:absolute;margin-left:169pt;margin-top:402.4pt;width:157.5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">
                <v:path arrowok="t"/>
                <v:textbox inset=",7.2pt,,7.2pt">
                  <w:txbxContent>
                    <w:p w14:paraId="3D073F36" w14:textId="77777777" w:rsidR="00ED3E8F" w:rsidRPr="006D7FE6" w:rsidRDefault="00ED3E8F" w:rsidP="00ED3E8F">
                      <w:pPr>
                        <w:jc w:val="center"/>
                        <w:rPr>
                          <w:b/>
                          <w:bCs/>
                          <w:lang w:val="en-CA"/>
                        </w:rPr>
                      </w:pPr>
                      <w:r>
                        <w:rPr>
                          <w:b/>
                          <w:bCs/>
                          <w:lang w:val="en-CA"/>
                        </w:rPr>
                        <w:t>12-month follow-up</w:t>
                      </w:r>
                    </w:p>
                    <w:p w14:paraId="5A10C3E5" w14:textId="77777777" w:rsidR="00ED3E8F" w:rsidRDefault="00ED3E8F" w:rsidP="00ED3E8F">
                      <w:pPr>
                        <w:jc w:val="center"/>
                        <w:rPr>
                          <w:lang w:val="en-CA"/>
                        </w:rPr>
                      </w:pPr>
                      <w:r>
                        <w:rPr>
                          <w:lang w:val="en-CA"/>
                        </w:rPr>
                        <w:t>Parent (22)</w:t>
                      </w:r>
                    </w:p>
                    <w:p w14:paraId="50381AC2" w14:textId="77777777" w:rsidR="00ED3E8F" w:rsidRPr="006D7FE6" w:rsidRDefault="00ED3E8F" w:rsidP="00ED3E8F">
                      <w:pPr>
                        <w:jc w:val="center"/>
                        <w:rPr>
                          <w:lang w:val="en-CA"/>
                        </w:rPr>
                      </w:pPr>
                      <w:r>
                        <w:rPr>
                          <w:lang w:val="en-CA"/>
                        </w:rPr>
                        <w:t>Adolescent (21)</w:t>
                      </w:r>
                    </w:p>
                  </w:txbxContent>
                </v:textbox>
              </v:rect>
            </w:pict>
          </mc:Fallback>
        </mc:AlternateContent>
      </w:r>
      <w:r w:rsidRPr="006D7FE6">
        <w:rPr>
          <w:i/>
          <w:noProof/>
        </w:rPr>
        <mc:AlternateContent>
          <mc:Choice Requires="wps">
            <w:drawing>
              <wp:anchor distT="0" distB="0" distL="114300" distR="114300" simplePos="0" relativeHeight="251664384" behindDoc="0" locked="0" layoutInCell="1" allowOverlap="1" wp14:anchorId="53372692" wp14:editId="05CF7E8B">
                <wp:simplePos x="0" y="0"/>
                <wp:positionH relativeFrom="column">
                  <wp:posOffset>2126615</wp:posOffset>
                </wp:positionH>
                <wp:positionV relativeFrom="paragraph">
                  <wp:posOffset>3559810</wp:posOffset>
                </wp:positionV>
                <wp:extent cx="2000250" cy="784860"/>
                <wp:effectExtent l="0" t="0" r="19050" b="1524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784860"/>
                        </a:xfrm>
                        <a:prstGeom prst="rect">
                          <a:avLst/>
                        </a:prstGeom>
                        <a:solidFill>
                          <a:srgbClr val="FFFFFF"/>
                        </a:solidFill>
                        <a:ln w="9525">
                          <a:solidFill>
                            <a:srgbClr val="000000"/>
                          </a:solidFill>
                          <a:miter lim="800000"/>
                          <a:headEnd/>
                          <a:tailEnd/>
                        </a:ln>
                      </wps:spPr>
                      <wps:txbx>
                        <w:txbxContent>
                          <w:p w14:paraId="7E0A8D12" w14:textId="77777777" w:rsidR="00ED3E8F" w:rsidRPr="006D7FE6" w:rsidRDefault="00ED3E8F" w:rsidP="00ED3E8F">
                            <w:pPr>
                              <w:jc w:val="center"/>
                              <w:rPr>
                                <w:b/>
                                <w:bCs/>
                                <w:lang w:val="en-CA"/>
                              </w:rPr>
                            </w:pPr>
                            <w:r>
                              <w:rPr>
                                <w:b/>
                                <w:bCs/>
                                <w:lang w:val="en-CA"/>
                              </w:rPr>
                              <w:t>Six-month follow-up</w:t>
                            </w:r>
                          </w:p>
                          <w:p w14:paraId="75D2E8AB" w14:textId="77777777" w:rsidR="00ED3E8F" w:rsidRDefault="00ED3E8F" w:rsidP="00ED3E8F">
                            <w:pPr>
                              <w:jc w:val="center"/>
                              <w:rPr>
                                <w:lang w:val="en-CA"/>
                              </w:rPr>
                            </w:pPr>
                            <w:r>
                              <w:rPr>
                                <w:lang w:val="en-CA"/>
                              </w:rPr>
                              <w:t>Parent (20)</w:t>
                            </w:r>
                          </w:p>
                          <w:p w14:paraId="3734CF26" w14:textId="77777777" w:rsidR="00ED3E8F" w:rsidRPr="006D7FE6" w:rsidRDefault="00ED3E8F" w:rsidP="00ED3E8F">
                            <w:pPr>
                              <w:jc w:val="center"/>
                              <w:rPr>
                                <w:lang w:val="en-CA"/>
                              </w:rPr>
                            </w:pPr>
                            <w:r>
                              <w:rPr>
                                <w:lang w:val="en-CA"/>
                              </w:rPr>
                              <w:t>Adolescent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72692" id="_x0000_s1027" style="position:absolute;margin-left:167.45pt;margin-top:280.3pt;width:157.5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">
                <v:path arrowok="t"/>
                <v:textbox inset=",7.2pt,,7.2pt">
                  <w:txbxContent>
                    <w:p w14:paraId="7E0A8D12" w14:textId="77777777" w:rsidR="00ED3E8F" w:rsidRPr="006D7FE6" w:rsidRDefault="00ED3E8F" w:rsidP="00ED3E8F">
                      <w:pPr>
                        <w:jc w:val="center"/>
                        <w:rPr>
                          <w:b/>
                          <w:bCs/>
                          <w:lang w:val="en-CA"/>
                        </w:rPr>
                      </w:pPr>
                      <w:r>
                        <w:rPr>
                          <w:b/>
                          <w:bCs/>
                          <w:lang w:val="en-CA"/>
                        </w:rPr>
                        <w:t>Six-month follow-up</w:t>
                      </w:r>
                    </w:p>
                    <w:p w14:paraId="75D2E8AB" w14:textId="77777777" w:rsidR="00ED3E8F" w:rsidRDefault="00ED3E8F" w:rsidP="00ED3E8F">
                      <w:pPr>
                        <w:jc w:val="center"/>
                        <w:rPr>
                          <w:lang w:val="en-CA"/>
                        </w:rPr>
                      </w:pPr>
                      <w:r>
                        <w:rPr>
                          <w:lang w:val="en-CA"/>
                        </w:rPr>
                        <w:t>Parent (20)</w:t>
                      </w:r>
                    </w:p>
                    <w:p w14:paraId="3734CF26" w14:textId="77777777" w:rsidR="00ED3E8F" w:rsidRPr="006D7FE6" w:rsidRDefault="00ED3E8F" w:rsidP="00ED3E8F">
                      <w:pPr>
                        <w:jc w:val="center"/>
                        <w:rPr>
                          <w:lang w:val="en-CA"/>
                        </w:rPr>
                      </w:pPr>
                      <w:r>
                        <w:rPr>
                          <w:lang w:val="en-CA"/>
                        </w:rPr>
                        <w:t>Adolescent (17)</w:t>
                      </w:r>
                    </w:p>
                  </w:txbxContent>
                </v:textbox>
              </v:rect>
            </w:pict>
          </mc:Fallback>
        </mc:AlternateContent>
      </w:r>
      <w:r w:rsidRPr="00D66BA9">
        <w:rPr>
          <w:i/>
          <w:noProof/>
        </w:rPr>
        <mc:AlternateContent>
          <mc:Choice Requires="wps">
            <w:drawing>
              <wp:anchor distT="0" distB="0" distL="114300" distR="114300" simplePos="0" relativeHeight="251662336" behindDoc="0" locked="0" layoutInCell="1" allowOverlap="1" wp14:anchorId="04364343" wp14:editId="30BF0DA0">
                <wp:simplePos x="0" y="0"/>
                <wp:positionH relativeFrom="column">
                  <wp:posOffset>2126615</wp:posOffset>
                </wp:positionH>
                <wp:positionV relativeFrom="paragraph">
                  <wp:posOffset>1989455</wp:posOffset>
                </wp:positionV>
                <wp:extent cx="2000250" cy="744855"/>
                <wp:effectExtent l="0" t="0" r="19050" b="1714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744855"/>
                        </a:xfrm>
                        <a:prstGeom prst="rect">
                          <a:avLst/>
                        </a:prstGeom>
                        <a:solidFill>
                          <a:srgbClr val="FFFFFF"/>
                        </a:solidFill>
                        <a:ln w="9525">
                          <a:solidFill>
                            <a:srgbClr val="000000"/>
                          </a:solidFill>
                          <a:miter lim="800000"/>
                          <a:headEnd/>
                          <a:tailEnd/>
                        </a:ln>
                      </wps:spPr>
                      <wps:txbx>
                        <w:txbxContent>
                          <w:p w14:paraId="766921A6" w14:textId="77777777" w:rsidR="00ED3E8F" w:rsidRPr="006D7FE6" w:rsidRDefault="00ED3E8F" w:rsidP="00ED3E8F">
                            <w:pPr>
                              <w:jc w:val="center"/>
                              <w:rPr>
                                <w:b/>
                                <w:bCs/>
                                <w:lang w:val="en-CA"/>
                              </w:rPr>
                            </w:pPr>
                            <w:r>
                              <w:rPr>
                                <w:b/>
                                <w:bCs/>
                                <w:lang w:val="en-CA"/>
                              </w:rPr>
                              <w:t>Three-month follow-up</w:t>
                            </w:r>
                          </w:p>
                          <w:p w14:paraId="3A3CC322" w14:textId="77777777" w:rsidR="00ED3E8F" w:rsidRDefault="00ED3E8F" w:rsidP="00ED3E8F">
                            <w:pPr>
                              <w:jc w:val="center"/>
                              <w:rPr>
                                <w:lang w:val="en-CA"/>
                              </w:rPr>
                            </w:pPr>
                            <w:r>
                              <w:rPr>
                                <w:lang w:val="en-CA"/>
                              </w:rPr>
                              <w:t>Parent (18)</w:t>
                            </w:r>
                          </w:p>
                          <w:p w14:paraId="4816C37F" w14:textId="77777777" w:rsidR="00ED3E8F" w:rsidRPr="006D7FE6" w:rsidRDefault="00ED3E8F" w:rsidP="00ED3E8F">
                            <w:pPr>
                              <w:jc w:val="center"/>
                              <w:rPr>
                                <w:lang w:val="en-CA"/>
                              </w:rPr>
                            </w:pPr>
                            <w:r>
                              <w:rPr>
                                <w:lang w:val="en-CA"/>
                              </w:rPr>
                              <w:t>Adolescent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4343" id="_x0000_s1028" style="position:absolute;margin-left:167.45pt;margin-top:156.65pt;width:157.5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">
                <v:path arrowok="t"/>
                <v:textbox inset=",7.2pt,,7.2pt">
                  <w:txbxContent>
                    <w:p w14:paraId="766921A6" w14:textId="77777777" w:rsidR="00ED3E8F" w:rsidRPr="006D7FE6" w:rsidRDefault="00ED3E8F" w:rsidP="00ED3E8F">
                      <w:pPr>
                        <w:jc w:val="center"/>
                        <w:rPr>
                          <w:b/>
                          <w:bCs/>
                          <w:lang w:val="en-CA"/>
                        </w:rPr>
                      </w:pPr>
                      <w:r>
                        <w:rPr>
                          <w:b/>
                          <w:bCs/>
                          <w:lang w:val="en-CA"/>
                        </w:rPr>
                        <w:t>Three-month follow-up</w:t>
                      </w:r>
                    </w:p>
                    <w:p w14:paraId="3A3CC322" w14:textId="77777777" w:rsidR="00ED3E8F" w:rsidRDefault="00ED3E8F" w:rsidP="00ED3E8F">
                      <w:pPr>
                        <w:jc w:val="center"/>
                        <w:rPr>
                          <w:lang w:val="en-CA"/>
                        </w:rPr>
                      </w:pPr>
                      <w:r>
                        <w:rPr>
                          <w:lang w:val="en-CA"/>
                        </w:rPr>
                        <w:t>Parent (18)</w:t>
                      </w:r>
                    </w:p>
                    <w:p w14:paraId="4816C37F" w14:textId="77777777" w:rsidR="00ED3E8F" w:rsidRPr="006D7FE6" w:rsidRDefault="00ED3E8F" w:rsidP="00ED3E8F">
                      <w:pPr>
                        <w:jc w:val="center"/>
                        <w:rPr>
                          <w:lang w:val="en-CA"/>
                        </w:rPr>
                      </w:pPr>
                      <w:r>
                        <w:rPr>
                          <w:lang w:val="en-CA"/>
                        </w:rPr>
                        <w:t>Adolescent (17)</w:t>
                      </w:r>
                    </w:p>
                  </w:txbxContent>
                </v:textbox>
              </v:rect>
            </w:pict>
          </mc:Fallback>
        </mc:AlternateContent>
      </w:r>
      <w:r w:rsidRPr="006D7FE6">
        <w:rPr>
          <w:i/>
          <w:noProof/>
        </w:rPr>
        <mc:AlternateContent>
          <mc:Choice Requires="wps">
            <w:drawing>
              <wp:anchor distT="0" distB="0" distL="114300" distR="114300" simplePos="0" relativeHeight="251663360" behindDoc="0" locked="0" layoutInCell="1" allowOverlap="1" wp14:anchorId="2C7A7404" wp14:editId="70C17C77">
                <wp:simplePos x="0" y="0"/>
                <wp:positionH relativeFrom="column">
                  <wp:posOffset>3134360</wp:posOffset>
                </wp:positionH>
                <wp:positionV relativeFrom="paragraph">
                  <wp:posOffset>4246880</wp:posOffset>
                </wp:positionV>
                <wp:extent cx="0" cy="838200"/>
                <wp:effectExtent l="63500" t="0" r="50800" b="38100"/>
                <wp:wrapNone/>
                <wp:docPr id="14" name="Straight Arrow Connector 14"/>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7483DF" id="_x0000_t32" coordsize="21600,21600" o:spt="32" o:oned="t" path="m,l21600,21600e" filled="f">
                <v:path arrowok="t" fillok="f" o:connecttype="none"/>
                <o:lock v:ext="edit" shapetype="t"/>
              </v:shapetype>
              <v:shape id="Straight Arrow Connector 14" o:spid="_x0000_s1026" type="#_x0000_t32" style="position:absolute;margin-left:246.8pt;margin-top:334.4pt;width:0;height:6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" strokecolor="black [3213]"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49D0D837" wp14:editId="6C03A0E7">
                <wp:simplePos x="0" y="0"/>
                <wp:positionH relativeFrom="column">
                  <wp:posOffset>3133725</wp:posOffset>
                </wp:positionH>
                <wp:positionV relativeFrom="paragraph">
                  <wp:posOffset>2684559</wp:posOffset>
                </wp:positionV>
                <wp:extent cx="0" cy="838200"/>
                <wp:effectExtent l="63500" t="0" r="50800" b="38100"/>
                <wp:wrapNone/>
                <wp:docPr id="20" name="Straight Arrow Connector 20"/>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F4E3B" id="Straight Arrow Connector 20" o:spid="_x0000_s1026" type="#_x0000_t32" style="position:absolute;margin-left:246.75pt;margin-top:211.4pt;width:0;height:6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" strokecolor="black [3213]"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62409F79" wp14:editId="6432D1FA">
                <wp:simplePos x="0" y="0"/>
                <wp:positionH relativeFrom="column">
                  <wp:posOffset>3137673</wp:posOffset>
                </wp:positionH>
                <wp:positionV relativeFrom="paragraph">
                  <wp:posOffset>1099489</wp:posOffset>
                </wp:positionV>
                <wp:extent cx="0" cy="838200"/>
                <wp:effectExtent l="63500" t="0" r="50800" b="38100"/>
                <wp:wrapNone/>
                <wp:docPr id="11" name="Straight Arrow Connector 11"/>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8368E" id="Straight Arrow Connector 11" o:spid="_x0000_s1026" type="#_x0000_t32" style="position:absolute;margin-left:247.05pt;margin-top:86.55pt;width:0;height:6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" strokecolor="black [3213]" strokeweight=".5pt">
                <v:stroke endarrow="block" joinstyle="miter"/>
              </v:shape>
            </w:pict>
          </mc:Fallback>
        </mc:AlternateContent>
      </w:r>
      <w:r w:rsidRPr="00D66BA9">
        <w:rPr>
          <w:i/>
          <w:noProof/>
        </w:rPr>
        <mc:AlternateContent>
          <mc:Choice Requires="wps">
            <w:drawing>
              <wp:anchor distT="0" distB="0" distL="114300" distR="114300" simplePos="0" relativeHeight="251659264" behindDoc="0" locked="0" layoutInCell="1" allowOverlap="1" wp14:anchorId="0CAE48AD" wp14:editId="1526DB0F">
                <wp:simplePos x="0" y="0"/>
                <wp:positionH relativeFrom="column">
                  <wp:posOffset>2166730</wp:posOffset>
                </wp:positionH>
                <wp:positionV relativeFrom="paragraph">
                  <wp:posOffset>351514</wp:posOffset>
                </wp:positionV>
                <wp:extent cx="2000250" cy="745435"/>
                <wp:effectExtent l="0" t="0" r="19050" b="171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745435"/>
                        </a:xfrm>
                        <a:prstGeom prst="rect">
                          <a:avLst/>
                        </a:prstGeom>
                        <a:solidFill>
                          <a:srgbClr val="FFFFFF"/>
                        </a:solidFill>
                        <a:ln w="9525">
                          <a:solidFill>
                            <a:srgbClr val="000000"/>
                          </a:solidFill>
                          <a:miter lim="800000"/>
                          <a:headEnd/>
                          <a:tailEnd/>
                        </a:ln>
                      </wps:spPr>
                      <wps:txbx>
                        <w:txbxContent>
                          <w:p w14:paraId="15E941A9" w14:textId="77777777" w:rsidR="00ED3E8F" w:rsidRPr="006D7FE6" w:rsidRDefault="00ED3E8F" w:rsidP="00ED3E8F">
                            <w:pPr>
                              <w:jc w:val="center"/>
                              <w:rPr>
                                <w:b/>
                                <w:bCs/>
                                <w:lang w:val="en-CA"/>
                              </w:rPr>
                            </w:pPr>
                            <w:r w:rsidRPr="006D7FE6">
                              <w:rPr>
                                <w:b/>
                                <w:bCs/>
                                <w:lang w:val="en-CA"/>
                              </w:rPr>
                              <w:t>Posttreatment</w:t>
                            </w:r>
                          </w:p>
                          <w:p w14:paraId="3088A226" w14:textId="77777777" w:rsidR="00ED3E8F" w:rsidRDefault="00ED3E8F" w:rsidP="00ED3E8F">
                            <w:pPr>
                              <w:jc w:val="center"/>
                              <w:rPr>
                                <w:lang w:val="en-CA"/>
                              </w:rPr>
                            </w:pPr>
                            <w:r>
                              <w:rPr>
                                <w:lang w:val="en-CA"/>
                              </w:rPr>
                              <w:t>Parent (25)</w:t>
                            </w:r>
                          </w:p>
                          <w:p w14:paraId="04C156A9" w14:textId="77777777" w:rsidR="00ED3E8F" w:rsidRPr="006D7FE6" w:rsidRDefault="00ED3E8F" w:rsidP="00ED3E8F">
                            <w:pPr>
                              <w:jc w:val="center"/>
                              <w:rPr>
                                <w:lang w:val="en-CA"/>
                              </w:rPr>
                            </w:pPr>
                            <w:r>
                              <w:rPr>
                                <w:lang w:val="en-CA"/>
                              </w:rPr>
                              <w:t>Adolescent (27)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48AD" id="_x0000_s1029" style="position:absolute;margin-left:170.6pt;margin-top:27.7pt;width:157.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">
                <v:path arrowok="t"/>
                <v:textbox inset=",7.2pt,,7.2pt">
                  <w:txbxContent>
                    <w:p w14:paraId="15E941A9" w14:textId="77777777" w:rsidR="00ED3E8F" w:rsidRPr="006D7FE6" w:rsidRDefault="00ED3E8F" w:rsidP="00ED3E8F">
                      <w:pPr>
                        <w:jc w:val="center"/>
                        <w:rPr>
                          <w:b/>
                          <w:bCs/>
                          <w:lang w:val="en-CA"/>
                        </w:rPr>
                      </w:pPr>
                      <w:r w:rsidRPr="006D7FE6">
                        <w:rPr>
                          <w:b/>
                          <w:bCs/>
                          <w:lang w:val="en-CA"/>
                        </w:rPr>
                        <w:t>Posttreatment</w:t>
                      </w:r>
                    </w:p>
                    <w:p w14:paraId="3088A226" w14:textId="77777777" w:rsidR="00ED3E8F" w:rsidRDefault="00ED3E8F" w:rsidP="00ED3E8F">
                      <w:pPr>
                        <w:jc w:val="center"/>
                        <w:rPr>
                          <w:lang w:val="en-CA"/>
                        </w:rPr>
                      </w:pPr>
                      <w:r>
                        <w:rPr>
                          <w:lang w:val="en-CA"/>
                        </w:rPr>
                        <w:t>Parent (25)</w:t>
                      </w:r>
                    </w:p>
                    <w:p w14:paraId="04C156A9" w14:textId="77777777" w:rsidR="00ED3E8F" w:rsidRPr="006D7FE6" w:rsidRDefault="00ED3E8F" w:rsidP="00ED3E8F">
                      <w:pPr>
                        <w:jc w:val="center"/>
                        <w:rPr>
                          <w:lang w:val="en-CA"/>
                        </w:rPr>
                      </w:pPr>
                      <w:r>
                        <w:rPr>
                          <w:lang w:val="en-CA"/>
                        </w:rPr>
                        <w:t>Adolescent (27)</w:t>
                      </w:r>
                    </w:p>
                  </w:txbxContent>
                </v:textbox>
              </v:rect>
            </w:pict>
          </mc:Fallback>
        </mc:AlternateContent>
      </w:r>
      <w:r w:rsidR="003B1ECB">
        <w:rPr>
          <w:b/>
        </w:rPr>
        <w:br w:type="page"/>
      </w:r>
    </w:p>
    <w:p w14:paraId="2AEAF802" w14:textId="77777777" w:rsidR="003B1ECB" w:rsidRDefault="003B1ECB">
      <w:pPr>
        <w:rPr>
          <w:b/>
        </w:rPr>
      </w:pPr>
    </w:p>
    <w:p w14:paraId="13392624" w14:textId="77777777" w:rsidR="003B1ECB" w:rsidRDefault="00515E41" w:rsidP="00ED3E8F">
      <w:pPr>
        <w:rPr>
          <w:b/>
        </w:rPr>
      </w:pPr>
      <w:r>
        <w:rPr>
          <w:b/>
          <w:noProof/>
        </w:rPr>
        <w:drawing>
          <wp:inline distT="0" distB="0" distL="0" distR="0" wp14:anchorId="0EAE897F" wp14:editId="58DD85B5">
            <wp:extent cx="5943600" cy="6934200"/>
            <wp:effectExtent l="0" t="0" r="0" b="0"/>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934200"/>
                    </a:xfrm>
                    <a:prstGeom prst="rect">
                      <a:avLst/>
                    </a:prstGeom>
                  </pic:spPr>
                </pic:pic>
              </a:graphicData>
            </a:graphic>
          </wp:inline>
        </w:drawing>
      </w:r>
    </w:p>
    <w:p w14:paraId="1278FC83" w14:textId="77777777" w:rsidR="003B1ECB" w:rsidRDefault="003B1ECB">
      <w:r w:rsidRPr="00E949F1">
        <w:rPr>
          <w:bCs/>
          <w:i/>
          <w:iCs/>
        </w:rPr>
        <w:t xml:space="preserve">Figure </w:t>
      </w:r>
      <w:r>
        <w:rPr>
          <w:bCs/>
          <w:i/>
          <w:iCs/>
        </w:rPr>
        <w:t>2</w:t>
      </w:r>
      <w:r w:rsidRPr="00E949F1">
        <w:rPr>
          <w:bCs/>
          <w:i/>
          <w:iCs/>
        </w:rPr>
        <w:t>.</w:t>
      </w:r>
      <w:r>
        <w:rPr>
          <w:b/>
          <w:i/>
          <w:iCs/>
        </w:rPr>
        <w:t xml:space="preserve"> </w:t>
      </w:r>
      <w:r>
        <w:rPr>
          <w:bCs/>
        </w:rPr>
        <w:t xml:space="preserve">Estimated marginal means and error ribbons from the models for A) TSC-Y severity, B) TSC-Y distress, C) TSC-P severity, and D) TSC-P distress. </w:t>
      </w:r>
      <w:r w:rsidRPr="005176AF">
        <w:t>TSC-</w:t>
      </w:r>
      <w:r>
        <w:t>Y</w:t>
      </w:r>
      <w:r w:rsidRPr="005176AF">
        <w:t xml:space="preserve"> = Trichotillomania Scale for C</w:t>
      </w:r>
      <w:r>
        <w:t>hildren</w:t>
      </w:r>
      <w:r w:rsidRPr="005176AF">
        <w:t xml:space="preserve"> (</w:t>
      </w:r>
      <w:r>
        <w:t>Youth</w:t>
      </w:r>
      <w:r w:rsidRPr="005176AF">
        <w:t>-Report)</w:t>
      </w:r>
      <w:r>
        <w:t xml:space="preserve"> and </w:t>
      </w:r>
      <w:r w:rsidRPr="005176AF">
        <w:t>TSC-</w:t>
      </w:r>
      <w:r>
        <w:t>P</w:t>
      </w:r>
      <w:r w:rsidRPr="005176AF">
        <w:t xml:space="preserve"> = Trichotillomania Scale for C</w:t>
      </w:r>
      <w:r>
        <w:t>hildren</w:t>
      </w:r>
      <w:r w:rsidRPr="005176AF">
        <w:t xml:space="preserve"> (</w:t>
      </w:r>
      <w:r>
        <w:t>Parent</w:t>
      </w:r>
      <w:r w:rsidRPr="005176AF">
        <w:t>-Report)</w:t>
      </w:r>
      <w:r>
        <w:t>.</w:t>
      </w:r>
      <w:r w:rsidRPr="005176AF">
        <w:t xml:space="preserve"> </w:t>
      </w:r>
    </w:p>
    <w:p w14:paraId="467BE15D" w14:textId="77777777" w:rsidR="003B1ECB" w:rsidRDefault="003B1ECB">
      <w:r>
        <w:br w:type="page"/>
      </w:r>
    </w:p>
    <w:p w14:paraId="19819A55" w14:textId="77777777" w:rsidR="003B1ECB" w:rsidRDefault="003B1ECB" w:rsidP="00ED3E8F">
      <w:pPr>
        <w:rPr>
          <w:b/>
        </w:rPr>
      </w:pPr>
      <w:r>
        <w:rPr>
          <w:b/>
          <w:noProof/>
        </w:rPr>
        <w:lastRenderedPageBreak/>
        <w:drawing>
          <wp:inline distT="0" distB="0" distL="0" distR="0" wp14:anchorId="455F4FEA" wp14:editId="748991B5">
            <wp:extent cx="4374313" cy="6804837"/>
            <wp:effectExtent l="0" t="0" r="0" b="254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070" cy="6812238"/>
                    </a:xfrm>
                    <a:prstGeom prst="rect">
                      <a:avLst/>
                    </a:prstGeom>
                  </pic:spPr>
                </pic:pic>
              </a:graphicData>
            </a:graphic>
          </wp:inline>
        </w:drawing>
      </w:r>
    </w:p>
    <w:p w14:paraId="1C0A77C9" w14:textId="77777777" w:rsidR="003B1ECB" w:rsidRDefault="003B1ECB" w:rsidP="00ED3E8F">
      <w:pPr>
        <w:rPr>
          <w:b/>
        </w:rPr>
      </w:pPr>
      <w:r w:rsidRPr="00E949F1">
        <w:rPr>
          <w:bCs/>
          <w:i/>
          <w:iCs/>
        </w:rPr>
        <w:t xml:space="preserve">Figure </w:t>
      </w:r>
      <w:r>
        <w:rPr>
          <w:bCs/>
          <w:i/>
          <w:iCs/>
        </w:rPr>
        <w:t>3</w:t>
      </w:r>
      <w:r w:rsidRPr="00E949F1">
        <w:rPr>
          <w:bCs/>
          <w:i/>
          <w:iCs/>
        </w:rPr>
        <w:t>.</w:t>
      </w:r>
      <w:r>
        <w:rPr>
          <w:b/>
          <w:i/>
          <w:iCs/>
        </w:rPr>
        <w:t xml:space="preserve"> </w:t>
      </w:r>
      <w:r>
        <w:rPr>
          <w:bCs/>
        </w:rPr>
        <w:t>Estimated marginal means and error ribbons from the models for A) YOQ-C (</w:t>
      </w:r>
      <w:r w:rsidRPr="005176AF">
        <w:t xml:space="preserve">Youth Outcomes Questionnaire </w:t>
      </w:r>
      <w:r>
        <w:t>Youth</w:t>
      </w:r>
      <w:r w:rsidRPr="005176AF">
        <w:t>-Report</w:t>
      </w:r>
      <w:r>
        <w:t>)</w:t>
      </w:r>
      <w:r>
        <w:rPr>
          <w:bCs/>
        </w:rPr>
        <w:t xml:space="preserve"> and B) YOQ-P (</w:t>
      </w:r>
      <w:r w:rsidRPr="005176AF">
        <w:t>Youth Outcomes Questionnaire Parent-Report</w:t>
      </w:r>
      <w:r>
        <w:t>)</w:t>
      </w:r>
      <w:r>
        <w:rPr>
          <w:bCs/>
        </w:rPr>
        <w:t xml:space="preserve">. </w:t>
      </w:r>
    </w:p>
    <w:p w14:paraId="58A229BE" w14:textId="77777777" w:rsidR="003B1ECB" w:rsidRDefault="003B1ECB">
      <w:pPr>
        <w:rPr>
          <w:b/>
        </w:rPr>
      </w:pPr>
      <w:r>
        <w:rPr>
          <w:b/>
        </w:rPr>
        <w:br w:type="page"/>
      </w:r>
    </w:p>
    <w:p w14:paraId="6028420D" w14:textId="77777777" w:rsidR="003B1ECB" w:rsidRDefault="00B746C9" w:rsidP="00ED3E8F">
      <w:pPr>
        <w:rPr>
          <w:b/>
        </w:rPr>
      </w:pPr>
      <w:r>
        <w:rPr>
          <w:b/>
          <w:noProof/>
        </w:rPr>
        <w:lastRenderedPageBreak/>
        <w:drawing>
          <wp:inline distT="0" distB="0" distL="0" distR="0" wp14:anchorId="5CA7B474" wp14:editId="28C2AEF8">
            <wp:extent cx="4632107" cy="7205870"/>
            <wp:effectExtent l="0" t="0" r="3810" b="0"/>
            <wp:docPr id="8" name="Picture 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37331" cy="7213997"/>
                    </a:xfrm>
                    <a:prstGeom prst="rect">
                      <a:avLst/>
                    </a:prstGeom>
                  </pic:spPr>
                </pic:pic>
              </a:graphicData>
            </a:graphic>
          </wp:inline>
        </w:drawing>
      </w:r>
    </w:p>
    <w:p w14:paraId="037AD95F" w14:textId="77777777" w:rsidR="003B1ECB" w:rsidRPr="0051049B" w:rsidRDefault="003B1ECB" w:rsidP="00ED3E8F">
      <w:pPr>
        <w:rPr>
          <w:b/>
        </w:rPr>
      </w:pPr>
      <w:r w:rsidRPr="00E949F1">
        <w:rPr>
          <w:bCs/>
          <w:i/>
          <w:iCs/>
        </w:rPr>
        <w:t xml:space="preserve">Figure </w:t>
      </w:r>
      <w:r>
        <w:rPr>
          <w:bCs/>
          <w:i/>
          <w:iCs/>
        </w:rPr>
        <w:t>4</w:t>
      </w:r>
      <w:r w:rsidRPr="00E949F1">
        <w:rPr>
          <w:bCs/>
          <w:i/>
          <w:iCs/>
        </w:rPr>
        <w:t>.</w:t>
      </w:r>
      <w:r>
        <w:rPr>
          <w:b/>
          <w:i/>
          <w:iCs/>
        </w:rPr>
        <w:t xml:space="preserve"> </w:t>
      </w:r>
      <w:r>
        <w:rPr>
          <w:bCs/>
        </w:rPr>
        <w:t>Estimated marginal means and error ribbons from the models for A) AFQ</w:t>
      </w:r>
      <w:r w:rsidR="0051049B">
        <w:rPr>
          <w:bCs/>
        </w:rPr>
        <w:t>-</w:t>
      </w:r>
      <w:r>
        <w:rPr>
          <w:bCs/>
        </w:rPr>
        <w:t>Y</w:t>
      </w:r>
      <w:r w:rsidR="0051049B">
        <w:rPr>
          <w:bCs/>
        </w:rPr>
        <w:t>8</w:t>
      </w:r>
      <w:r>
        <w:rPr>
          <w:bCs/>
        </w:rPr>
        <w:t xml:space="preserve"> and B) AAQ-TTM. </w:t>
      </w:r>
      <w:r>
        <w:t>AFQ</w:t>
      </w:r>
      <w:r w:rsidR="0051049B">
        <w:t>-</w:t>
      </w:r>
      <w:r>
        <w:t>Y</w:t>
      </w:r>
      <w:r w:rsidR="0051049B">
        <w:t>8</w:t>
      </w:r>
      <w:r>
        <w:t xml:space="preserve"> = Avoidance and Fusion Questionnaire for Youth</w:t>
      </w:r>
      <w:r>
        <w:rPr>
          <w:b/>
        </w:rPr>
        <w:t xml:space="preserve"> </w:t>
      </w:r>
      <w:r>
        <w:rPr>
          <w:bCs/>
        </w:rPr>
        <w:t xml:space="preserve">and </w:t>
      </w:r>
      <w:r>
        <w:t>AAQ-TTM = Acceptance and Action Questionnaire for Trichotillomania. Higher scores indicate greater psychological flexibility (i.e., improvement)</w:t>
      </w:r>
      <w:r w:rsidR="0051049B">
        <w:t xml:space="preserve"> for the AAQ-TTM and psychological </w:t>
      </w:r>
      <w:r w:rsidR="0051049B">
        <w:rPr>
          <w:i/>
          <w:iCs/>
        </w:rPr>
        <w:t>inflexibility</w:t>
      </w:r>
      <w:r w:rsidR="0051049B">
        <w:t xml:space="preserve"> for the AFQ-Y8.</w:t>
      </w:r>
    </w:p>
    <w:p w14:paraId="1AF1D387" w14:textId="77777777" w:rsidR="003B1ECB" w:rsidRDefault="00CF12C3" w:rsidP="00ED3E8F">
      <w:pPr>
        <w:rPr>
          <w:b/>
        </w:rPr>
      </w:pPr>
      <w:r>
        <w:rPr>
          <w:b/>
          <w:noProof/>
        </w:rPr>
        <w:lastRenderedPageBreak/>
        <w:drawing>
          <wp:inline distT="0" distB="0" distL="0" distR="0" wp14:anchorId="4FBF17FD" wp14:editId="71083214">
            <wp:extent cx="4899991" cy="3811104"/>
            <wp:effectExtent l="0" t="0" r="2540" b="0"/>
            <wp:docPr id="9" name="Picture 9"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 scatt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05884" cy="3815688"/>
                    </a:xfrm>
                    <a:prstGeom prst="rect">
                      <a:avLst/>
                    </a:prstGeom>
                  </pic:spPr>
                </pic:pic>
              </a:graphicData>
            </a:graphic>
          </wp:inline>
        </w:drawing>
      </w:r>
    </w:p>
    <w:p w14:paraId="4A4C967E" w14:textId="77777777" w:rsidR="003B1ECB" w:rsidRDefault="003B1ECB" w:rsidP="00ED3E8F">
      <w:pPr>
        <w:rPr>
          <w:b/>
        </w:rPr>
      </w:pPr>
      <w:r w:rsidRPr="00E949F1">
        <w:rPr>
          <w:bCs/>
          <w:i/>
          <w:iCs/>
        </w:rPr>
        <w:t xml:space="preserve">Figure </w:t>
      </w:r>
      <w:r>
        <w:rPr>
          <w:bCs/>
          <w:i/>
          <w:iCs/>
        </w:rPr>
        <w:t>5</w:t>
      </w:r>
      <w:r w:rsidRPr="00E949F1">
        <w:rPr>
          <w:bCs/>
          <w:i/>
          <w:iCs/>
        </w:rPr>
        <w:t>.</w:t>
      </w:r>
      <w:r>
        <w:rPr>
          <w:b/>
          <w:i/>
          <w:iCs/>
        </w:rPr>
        <w:t xml:space="preserve"> </w:t>
      </w:r>
      <w:r>
        <w:rPr>
          <w:bCs/>
        </w:rPr>
        <w:t xml:space="preserve">Estimated marginal means and error ribbons from the model for the </w:t>
      </w:r>
      <w:r w:rsidR="004F59D3">
        <w:rPr>
          <w:bCs/>
        </w:rPr>
        <w:t>6-</w:t>
      </w:r>
      <w:r>
        <w:rPr>
          <w:bCs/>
        </w:rPr>
        <w:t xml:space="preserve">PAQ (Parental Acceptance Questionnaire). </w:t>
      </w:r>
    </w:p>
    <w:p w14:paraId="77363F4E" w14:textId="77777777" w:rsidR="003B1ECB" w:rsidRPr="00AE3237" w:rsidRDefault="003B1ECB" w:rsidP="00ED3E8F">
      <w:pPr>
        <w:rPr>
          <w:b/>
        </w:rPr>
      </w:pPr>
    </w:p>
    <w:p w14:paraId="772783E0" w14:textId="77777777" w:rsidR="00ED3E8F" w:rsidRDefault="00ED3E8F"/>
    <w:sectPr w:rsidR="00ED3E8F" w:rsidSect="00ED3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6790" w14:textId="77777777" w:rsidR="00A408EA" w:rsidRDefault="00A408EA" w:rsidP="003619FC">
      <w:r>
        <w:separator/>
      </w:r>
    </w:p>
  </w:endnote>
  <w:endnote w:type="continuationSeparator" w:id="0">
    <w:p w14:paraId="3F64C32E" w14:textId="77777777" w:rsidR="00A408EA" w:rsidRDefault="00A408EA" w:rsidP="0036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61BB" w14:textId="77777777" w:rsidR="00A408EA" w:rsidRDefault="00A408EA" w:rsidP="003619FC">
      <w:r>
        <w:separator/>
      </w:r>
    </w:p>
  </w:footnote>
  <w:footnote w:type="continuationSeparator" w:id="0">
    <w:p w14:paraId="7DD30C0E" w14:textId="77777777" w:rsidR="00A408EA" w:rsidRDefault="00A408EA" w:rsidP="00361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2817594"/>
      <w:docPartObj>
        <w:docPartGallery w:val="Page Numbers (Top of Page)"/>
        <w:docPartUnique/>
      </w:docPartObj>
    </w:sdtPr>
    <w:sdtEndPr>
      <w:rPr>
        <w:rStyle w:val="PageNumber"/>
      </w:rPr>
    </w:sdtEndPr>
    <w:sdtContent>
      <w:p w14:paraId="3F4BB426" w14:textId="77777777" w:rsidR="00ED3E8F" w:rsidRDefault="00ED3E8F" w:rsidP="003619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ADBF0" w14:textId="77777777" w:rsidR="00ED3E8F" w:rsidRDefault="00ED3E8F" w:rsidP="00ED3E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6593209"/>
      <w:docPartObj>
        <w:docPartGallery w:val="Page Numbers (Top of Page)"/>
        <w:docPartUnique/>
      </w:docPartObj>
    </w:sdtPr>
    <w:sdtEndPr>
      <w:rPr>
        <w:rStyle w:val="PageNumber"/>
      </w:rPr>
    </w:sdtEndPr>
    <w:sdtContent>
      <w:p w14:paraId="245BBD2F" w14:textId="77777777" w:rsidR="00ED3E8F" w:rsidRDefault="00ED3E8F" w:rsidP="003619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756C7E" w14:textId="77777777" w:rsidR="00ED3E8F" w:rsidRDefault="00ED3E8F" w:rsidP="00ED3E8F">
    <w:pPr>
      <w:pStyle w:val="Header"/>
      <w:ind w:right="360"/>
    </w:pPr>
    <w:r>
      <w:t>AEBT LONGITUDINAL OUTCOMES FOR ADOLESCENT TRICHOTILLOMANIA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405E" w14:textId="77777777" w:rsidR="00ED3E8F" w:rsidRDefault="00ED3E8F" w:rsidP="003619FC">
    <w:pPr>
      <w:pStyle w:val="Header"/>
      <w:ind w:right="360"/>
    </w:pPr>
    <w:r>
      <w:t>AEBT LONGITUDINAL OUTCOMES FOR ADOLESCENT TRICHOTILLOMANIA</w:t>
    </w:r>
  </w:p>
  <w:p w14:paraId="064216BE" w14:textId="77777777" w:rsidR="00ED3E8F" w:rsidRDefault="00ED3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56403"/>
    <w:multiLevelType w:val="hybridMultilevel"/>
    <w:tmpl w:val="4C0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B1ECB"/>
    <w:rsid w:val="00000EF3"/>
    <w:rsid w:val="0000674B"/>
    <w:rsid w:val="0001114D"/>
    <w:rsid w:val="00017A8A"/>
    <w:rsid w:val="00020112"/>
    <w:rsid w:val="00020B2F"/>
    <w:rsid w:val="00021229"/>
    <w:rsid w:val="00022F61"/>
    <w:rsid w:val="000346D6"/>
    <w:rsid w:val="00040343"/>
    <w:rsid w:val="00042505"/>
    <w:rsid w:val="0004591A"/>
    <w:rsid w:val="0004627F"/>
    <w:rsid w:val="00052355"/>
    <w:rsid w:val="000529B1"/>
    <w:rsid w:val="00052F7C"/>
    <w:rsid w:val="00054A9A"/>
    <w:rsid w:val="000550DA"/>
    <w:rsid w:val="00063E38"/>
    <w:rsid w:val="00064FB7"/>
    <w:rsid w:val="00067E95"/>
    <w:rsid w:val="000729E6"/>
    <w:rsid w:val="00080CE5"/>
    <w:rsid w:val="00083314"/>
    <w:rsid w:val="00084323"/>
    <w:rsid w:val="000918B8"/>
    <w:rsid w:val="00091931"/>
    <w:rsid w:val="000926B8"/>
    <w:rsid w:val="000A11BC"/>
    <w:rsid w:val="000B0CC3"/>
    <w:rsid w:val="000B7199"/>
    <w:rsid w:val="000C5D17"/>
    <w:rsid w:val="000C700B"/>
    <w:rsid w:val="000C7D1D"/>
    <w:rsid w:val="000E0B9D"/>
    <w:rsid w:val="000E42E0"/>
    <w:rsid w:val="000E52C7"/>
    <w:rsid w:val="000E7C74"/>
    <w:rsid w:val="000F3178"/>
    <w:rsid w:val="000F51B0"/>
    <w:rsid w:val="00100401"/>
    <w:rsid w:val="00107CC4"/>
    <w:rsid w:val="001134D4"/>
    <w:rsid w:val="001146D3"/>
    <w:rsid w:val="0012356B"/>
    <w:rsid w:val="00124D07"/>
    <w:rsid w:val="00126574"/>
    <w:rsid w:val="00130FE2"/>
    <w:rsid w:val="001324B4"/>
    <w:rsid w:val="0013358B"/>
    <w:rsid w:val="00133BF0"/>
    <w:rsid w:val="00133F94"/>
    <w:rsid w:val="0013468A"/>
    <w:rsid w:val="00135503"/>
    <w:rsid w:val="00137130"/>
    <w:rsid w:val="00140A81"/>
    <w:rsid w:val="00140C57"/>
    <w:rsid w:val="00147CC0"/>
    <w:rsid w:val="00153F69"/>
    <w:rsid w:val="00161095"/>
    <w:rsid w:val="00161E25"/>
    <w:rsid w:val="00164216"/>
    <w:rsid w:val="00166321"/>
    <w:rsid w:val="0017365A"/>
    <w:rsid w:val="00174A92"/>
    <w:rsid w:val="00176462"/>
    <w:rsid w:val="0017705B"/>
    <w:rsid w:val="00177387"/>
    <w:rsid w:val="00180E7E"/>
    <w:rsid w:val="001866CA"/>
    <w:rsid w:val="00191A73"/>
    <w:rsid w:val="001928F2"/>
    <w:rsid w:val="0019364F"/>
    <w:rsid w:val="001958ED"/>
    <w:rsid w:val="001A10D9"/>
    <w:rsid w:val="001B1342"/>
    <w:rsid w:val="001B1452"/>
    <w:rsid w:val="001B69ED"/>
    <w:rsid w:val="001C2B6F"/>
    <w:rsid w:val="001C5BFB"/>
    <w:rsid w:val="001C785E"/>
    <w:rsid w:val="001D10DF"/>
    <w:rsid w:val="001D301D"/>
    <w:rsid w:val="001D555F"/>
    <w:rsid w:val="001E0674"/>
    <w:rsid w:val="001E2ACA"/>
    <w:rsid w:val="001E5928"/>
    <w:rsid w:val="001F2484"/>
    <w:rsid w:val="002003F6"/>
    <w:rsid w:val="002007C9"/>
    <w:rsid w:val="002067AC"/>
    <w:rsid w:val="00207D88"/>
    <w:rsid w:val="00215116"/>
    <w:rsid w:val="00216205"/>
    <w:rsid w:val="00217D54"/>
    <w:rsid w:val="00223D2F"/>
    <w:rsid w:val="00226896"/>
    <w:rsid w:val="00227526"/>
    <w:rsid w:val="00235A56"/>
    <w:rsid w:val="00240594"/>
    <w:rsid w:val="00243AE2"/>
    <w:rsid w:val="002506BE"/>
    <w:rsid w:val="002518C6"/>
    <w:rsid w:val="00252708"/>
    <w:rsid w:val="002532D4"/>
    <w:rsid w:val="002600AE"/>
    <w:rsid w:val="00262D5C"/>
    <w:rsid w:val="00263603"/>
    <w:rsid w:val="00263755"/>
    <w:rsid w:val="00267137"/>
    <w:rsid w:val="00267654"/>
    <w:rsid w:val="00267D40"/>
    <w:rsid w:val="002722EA"/>
    <w:rsid w:val="002757CC"/>
    <w:rsid w:val="0027583A"/>
    <w:rsid w:val="002778E2"/>
    <w:rsid w:val="00282EC2"/>
    <w:rsid w:val="002844FA"/>
    <w:rsid w:val="00285667"/>
    <w:rsid w:val="00286A1B"/>
    <w:rsid w:val="002924D6"/>
    <w:rsid w:val="00292E59"/>
    <w:rsid w:val="00293BC6"/>
    <w:rsid w:val="002961C5"/>
    <w:rsid w:val="002A1CFE"/>
    <w:rsid w:val="002A518A"/>
    <w:rsid w:val="002B139B"/>
    <w:rsid w:val="002B48F3"/>
    <w:rsid w:val="002C2E5D"/>
    <w:rsid w:val="002C2E8E"/>
    <w:rsid w:val="002C45EF"/>
    <w:rsid w:val="002C5422"/>
    <w:rsid w:val="002C793A"/>
    <w:rsid w:val="002D0447"/>
    <w:rsid w:val="002D4C37"/>
    <w:rsid w:val="002E1C3E"/>
    <w:rsid w:val="002F3D92"/>
    <w:rsid w:val="002F5DA6"/>
    <w:rsid w:val="0030518A"/>
    <w:rsid w:val="0031048B"/>
    <w:rsid w:val="00310C63"/>
    <w:rsid w:val="00317E93"/>
    <w:rsid w:val="003235D3"/>
    <w:rsid w:val="003236B3"/>
    <w:rsid w:val="003300D5"/>
    <w:rsid w:val="003322F6"/>
    <w:rsid w:val="003365F0"/>
    <w:rsid w:val="0034568F"/>
    <w:rsid w:val="00352004"/>
    <w:rsid w:val="003541CD"/>
    <w:rsid w:val="00354552"/>
    <w:rsid w:val="003619FC"/>
    <w:rsid w:val="003667E5"/>
    <w:rsid w:val="00373FE9"/>
    <w:rsid w:val="00381FDC"/>
    <w:rsid w:val="00386AA3"/>
    <w:rsid w:val="003962FE"/>
    <w:rsid w:val="0039732C"/>
    <w:rsid w:val="003A745F"/>
    <w:rsid w:val="003B1ECB"/>
    <w:rsid w:val="003C61C9"/>
    <w:rsid w:val="003C6F67"/>
    <w:rsid w:val="003C71C5"/>
    <w:rsid w:val="003D370E"/>
    <w:rsid w:val="003D4FAB"/>
    <w:rsid w:val="003D690D"/>
    <w:rsid w:val="003E3B3C"/>
    <w:rsid w:val="00405435"/>
    <w:rsid w:val="00405641"/>
    <w:rsid w:val="00410BC4"/>
    <w:rsid w:val="00416445"/>
    <w:rsid w:val="0041691B"/>
    <w:rsid w:val="00425FDE"/>
    <w:rsid w:val="0043329D"/>
    <w:rsid w:val="0044342E"/>
    <w:rsid w:val="004556CA"/>
    <w:rsid w:val="00456E97"/>
    <w:rsid w:val="00463D96"/>
    <w:rsid w:val="004674CC"/>
    <w:rsid w:val="00467946"/>
    <w:rsid w:val="00470D22"/>
    <w:rsid w:val="00472B20"/>
    <w:rsid w:val="00472DD9"/>
    <w:rsid w:val="0047372B"/>
    <w:rsid w:val="00473FD2"/>
    <w:rsid w:val="00476D15"/>
    <w:rsid w:val="00483313"/>
    <w:rsid w:val="0048666C"/>
    <w:rsid w:val="0049009D"/>
    <w:rsid w:val="00493A65"/>
    <w:rsid w:val="004A54F8"/>
    <w:rsid w:val="004A5C47"/>
    <w:rsid w:val="004B3F01"/>
    <w:rsid w:val="004B55CA"/>
    <w:rsid w:val="004B7CDF"/>
    <w:rsid w:val="004D29C6"/>
    <w:rsid w:val="004D47FB"/>
    <w:rsid w:val="004D4CA6"/>
    <w:rsid w:val="004D6B09"/>
    <w:rsid w:val="004D73D8"/>
    <w:rsid w:val="004E1031"/>
    <w:rsid w:val="004E3CAE"/>
    <w:rsid w:val="004E4E64"/>
    <w:rsid w:val="004E5A7E"/>
    <w:rsid w:val="004E5B3C"/>
    <w:rsid w:val="004F59D3"/>
    <w:rsid w:val="00501469"/>
    <w:rsid w:val="00505F8E"/>
    <w:rsid w:val="0050726A"/>
    <w:rsid w:val="0050787D"/>
    <w:rsid w:val="0051049B"/>
    <w:rsid w:val="00515E41"/>
    <w:rsid w:val="0051697B"/>
    <w:rsid w:val="00520400"/>
    <w:rsid w:val="0052470B"/>
    <w:rsid w:val="00531A82"/>
    <w:rsid w:val="00531FC8"/>
    <w:rsid w:val="0053520E"/>
    <w:rsid w:val="00536B3D"/>
    <w:rsid w:val="0054124C"/>
    <w:rsid w:val="005476F6"/>
    <w:rsid w:val="0054790A"/>
    <w:rsid w:val="00550BAA"/>
    <w:rsid w:val="00550E91"/>
    <w:rsid w:val="00551537"/>
    <w:rsid w:val="00551BE8"/>
    <w:rsid w:val="00557610"/>
    <w:rsid w:val="005645ED"/>
    <w:rsid w:val="0056481C"/>
    <w:rsid w:val="005665E3"/>
    <w:rsid w:val="005716C0"/>
    <w:rsid w:val="00575455"/>
    <w:rsid w:val="00575615"/>
    <w:rsid w:val="00576B3E"/>
    <w:rsid w:val="00577022"/>
    <w:rsid w:val="005778B5"/>
    <w:rsid w:val="0058058A"/>
    <w:rsid w:val="005825BF"/>
    <w:rsid w:val="00584154"/>
    <w:rsid w:val="005861DD"/>
    <w:rsid w:val="005866D5"/>
    <w:rsid w:val="00587A73"/>
    <w:rsid w:val="00590C56"/>
    <w:rsid w:val="00597663"/>
    <w:rsid w:val="005A190E"/>
    <w:rsid w:val="005A43E2"/>
    <w:rsid w:val="005A676C"/>
    <w:rsid w:val="005B3066"/>
    <w:rsid w:val="005B31C7"/>
    <w:rsid w:val="005B468D"/>
    <w:rsid w:val="005D5B6F"/>
    <w:rsid w:val="005E00E8"/>
    <w:rsid w:val="005E09B2"/>
    <w:rsid w:val="005E7201"/>
    <w:rsid w:val="00605C2E"/>
    <w:rsid w:val="0061031A"/>
    <w:rsid w:val="0061250E"/>
    <w:rsid w:val="0061281A"/>
    <w:rsid w:val="00613540"/>
    <w:rsid w:val="006232AE"/>
    <w:rsid w:val="006258DD"/>
    <w:rsid w:val="0063016F"/>
    <w:rsid w:val="00631788"/>
    <w:rsid w:val="006371BA"/>
    <w:rsid w:val="00640F6F"/>
    <w:rsid w:val="00645C8C"/>
    <w:rsid w:val="006464D7"/>
    <w:rsid w:val="00647F55"/>
    <w:rsid w:val="00650B8F"/>
    <w:rsid w:val="006516A0"/>
    <w:rsid w:val="006540BA"/>
    <w:rsid w:val="00657E66"/>
    <w:rsid w:val="0066386A"/>
    <w:rsid w:val="00672D07"/>
    <w:rsid w:val="006738BD"/>
    <w:rsid w:val="0068144E"/>
    <w:rsid w:val="00681C9F"/>
    <w:rsid w:val="00686E6F"/>
    <w:rsid w:val="006A07B2"/>
    <w:rsid w:val="006A1652"/>
    <w:rsid w:val="006A5BEC"/>
    <w:rsid w:val="006B78F7"/>
    <w:rsid w:val="006D50DC"/>
    <w:rsid w:val="006E3118"/>
    <w:rsid w:val="006E37F9"/>
    <w:rsid w:val="006E6539"/>
    <w:rsid w:val="006F01E1"/>
    <w:rsid w:val="006F536C"/>
    <w:rsid w:val="007175E6"/>
    <w:rsid w:val="007245BE"/>
    <w:rsid w:val="00725F4E"/>
    <w:rsid w:val="00727B74"/>
    <w:rsid w:val="007320BF"/>
    <w:rsid w:val="007363A8"/>
    <w:rsid w:val="00741E88"/>
    <w:rsid w:val="00751991"/>
    <w:rsid w:val="00753225"/>
    <w:rsid w:val="0075428B"/>
    <w:rsid w:val="007628EE"/>
    <w:rsid w:val="0076590A"/>
    <w:rsid w:val="00766AB3"/>
    <w:rsid w:val="007677B6"/>
    <w:rsid w:val="00770ABA"/>
    <w:rsid w:val="00771367"/>
    <w:rsid w:val="007722EA"/>
    <w:rsid w:val="0077364E"/>
    <w:rsid w:val="00775991"/>
    <w:rsid w:val="0078029C"/>
    <w:rsid w:val="007822B0"/>
    <w:rsid w:val="00787490"/>
    <w:rsid w:val="00791B6E"/>
    <w:rsid w:val="00793112"/>
    <w:rsid w:val="00794220"/>
    <w:rsid w:val="007A04D1"/>
    <w:rsid w:val="007A2F24"/>
    <w:rsid w:val="007A3B3A"/>
    <w:rsid w:val="007A3F24"/>
    <w:rsid w:val="007A6672"/>
    <w:rsid w:val="007B02D3"/>
    <w:rsid w:val="007B5AB5"/>
    <w:rsid w:val="007C5587"/>
    <w:rsid w:val="007C58D4"/>
    <w:rsid w:val="007C696B"/>
    <w:rsid w:val="007C711D"/>
    <w:rsid w:val="007D2719"/>
    <w:rsid w:val="007D2D03"/>
    <w:rsid w:val="007D6A44"/>
    <w:rsid w:val="007E2078"/>
    <w:rsid w:val="007F2F86"/>
    <w:rsid w:val="007F4151"/>
    <w:rsid w:val="007F4AD4"/>
    <w:rsid w:val="007F705A"/>
    <w:rsid w:val="008059EA"/>
    <w:rsid w:val="00807CDB"/>
    <w:rsid w:val="0081553C"/>
    <w:rsid w:val="00821F31"/>
    <w:rsid w:val="008251D2"/>
    <w:rsid w:val="00830AA6"/>
    <w:rsid w:val="00837114"/>
    <w:rsid w:val="0084286C"/>
    <w:rsid w:val="0085091F"/>
    <w:rsid w:val="008606E5"/>
    <w:rsid w:val="0086768E"/>
    <w:rsid w:val="00870A79"/>
    <w:rsid w:val="00872B22"/>
    <w:rsid w:val="00875586"/>
    <w:rsid w:val="00876575"/>
    <w:rsid w:val="00877D71"/>
    <w:rsid w:val="0088065E"/>
    <w:rsid w:val="00883581"/>
    <w:rsid w:val="00890042"/>
    <w:rsid w:val="00890202"/>
    <w:rsid w:val="00890805"/>
    <w:rsid w:val="00893F32"/>
    <w:rsid w:val="008A1A65"/>
    <w:rsid w:val="008A5AAE"/>
    <w:rsid w:val="008A6A8D"/>
    <w:rsid w:val="008A7313"/>
    <w:rsid w:val="008B1C0D"/>
    <w:rsid w:val="008B1E90"/>
    <w:rsid w:val="008B2ACF"/>
    <w:rsid w:val="008B78E1"/>
    <w:rsid w:val="008C024F"/>
    <w:rsid w:val="008C0B21"/>
    <w:rsid w:val="008C6AE4"/>
    <w:rsid w:val="008D4B0D"/>
    <w:rsid w:val="008E33E4"/>
    <w:rsid w:val="008E3493"/>
    <w:rsid w:val="008F3634"/>
    <w:rsid w:val="00911884"/>
    <w:rsid w:val="009149C5"/>
    <w:rsid w:val="00922D36"/>
    <w:rsid w:val="009231A7"/>
    <w:rsid w:val="00923DAE"/>
    <w:rsid w:val="00923F99"/>
    <w:rsid w:val="00924822"/>
    <w:rsid w:val="00924EDD"/>
    <w:rsid w:val="009255D1"/>
    <w:rsid w:val="00931C3F"/>
    <w:rsid w:val="00935795"/>
    <w:rsid w:val="00935B9E"/>
    <w:rsid w:val="00936244"/>
    <w:rsid w:val="00936E50"/>
    <w:rsid w:val="00943995"/>
    <w:rsid w:val="0094570F"/>
    <w:rsid w:val="009537E6"/>
    <w:rsid w:val="0095456B"/>
    <w:rsid w:val="00956121"/>
    <w:rsid w:val="009650E0"/>
    <w:rsid w:val="00966A48"/>
    <w:rsid w:val="0097598D"/>
    <w:rsid w:val="0098559F"/>
    <w:rsid w:val="00992BC9"/>
    <w:rsid w:val="009A325D"/>
    <w:rsid w:val="009A7DFC"/>
    <w:rsid w:val="009B458F"/>
    <w:rsid w:val="009B5905"/>
    <w:rsid w:val="009B64C8"/>
    <w:rsid w:val="009B6733"/>
    <w:rsid w:val="009C149A"/>
    <w:rsid w:val="009C1A58"/>
    <w:rsid w:val="009C1AF3"/>
    <w:rsid w:val="009C4D1F"/>
    <w:rsid w:val="009C5A95"/>
    <w:rsid w:val="009C62E3"/>
    <w:rsid w:val="009C763A"/>
    <w:rsid w:val="009C7963"/>
    <w:rsid w:val="009D09B8"/>
    <w:rsid w:val="009E580A"/>
    <w:rsid w:val="009E65BC"/>
    <w:rsid w:val="009E6F3A"/>
    <w:rsid w:val="009F1605"/>
    <w:rsid w:val="009F3172"/>
    <w:rsid w:val="00A008F4"/>
    <w:rsid w:val="00A13F95"/>
    <w:rsid w:val="00A2356F"/>
    <w:rsid w:val="00A3119A"/>
    <w:rsid w:val="00A32BC6"/>
    <w:rsid w:val="00A347B4"/>
    <w:rsid w:val="00A34E07"/>
    <w:rsid w:val="00A357C7"/>
    <w:rsid w:val="00A358E4"/>
    <w:rsid w:val="00A36C2D"/>
    <w:rsid w:val="00A407AA"/>
    <w:rsid w:val="00A408EA"/>
    <w:rsid w:val="00A446D3"/>
    <w:rsid w:val="00A60620"/>
    <w:rsid w:val="00A60F0E"/>
    <w:rsid w:val="00A61442"/>
    <w:rsid w:val="00A62903"/>
    <w:rsid w:val="00A64901"/>
    <w:rsid w:val="00A658B1"/>
    <w:rsid w:val="00A65EBA"/>
    <w:rsid w:val="00A719E0"/>
    <w:rsid w:val="00A81D25"/>
    <w:rsid w:val="00A82249"/>
    <w:rsid w:val="00A827F5"/>
    <w:rsid w:val="00A84C1B"/>
    <w:rsid w:val="00A85015"/>
    <w:rsid w:val="00A85FE2"/>
    <w:rsid w:val="00A90A3C"/>
    <w:rsid w:val="00AA0F6A"/>
    <w:rsid w:val="00AA2486"/>
    <w:rsid w:val="00AB0838"/>
    <w:rsid w:val="00AC23DE"/>
    <w:rsid w:val="00AC5B21"/>
    <w:rsid w:val="00AD32C7"/>
    <w:rsid w:val="00AD6DCA"/>
    <w:rsid w:val="00AD7E22"/>
    <w:rsid w:val="00AE391C"/>
    <w:rsid w:val="00AE4F17"/>
    <w:rsid w:val="00AF17FD"/>
    <w:rsid w:val="00AF7E9C"/>
    <w:rsid w:val="00B03D17"/>
    <w:rsid w:val="00B0537F"/>
    <w:rsid w:val="00B07A37"/>
    <w:rsid w:val="00B112CD"/>
    <w:rsid w:val="00B137AF"/>
    <w:rsid w:val="00B17CCC"/>
    <w:rsid w:val="00B2234B"/>
    <w:rsid w:val="00B24F94"/>
    <w:rsid w:val="00B25BBE"/>
    <w:rsid w:val="00B32789"/>
    <w:rsid w:val="00B32E32"/>
    <w:rsid w:val="00B42392"/>
    <w:rsid w:val="00B436B1"/>
    <w:rsid w:val="00B44283"/>
    <w:rsid w:val="00B47579"/>
    <w:rsid w:val="00B50644"/>
    <w:rsid w:val="00B50769"/>
    <w:rsid w:val="00B50F67"/>
    <w:rsid w:val="00B51325"/>
    <w:rsid w:val="00B51559"/>
    <w:rsid w:val="00B600C5"/>
    <w:rsid w:val="00B614D6"/>
    <w:rsid w:val="00B7224F"/>
    <w:rsid w:val="00B72D43"/>
    <w:rsid w:val="00B746C9"/>
    <w:rsid w:val="00B748A5"/>
    <w:rsid w:val="00B75D7F"/>
    <w:rsid w:val="00B76DA1"/>
    <w:rsid w:val="00B77CB0"/>
    <w:rsid w:val="00B8039B"/>
    <w:rsid w:val="00B811D5"/>
    <w:rsid w:val="00B835A5"/>
    <w:rsid w:val="00B92FF5"/>
    <w:rsid w:val="00BC441E"/>
    <w:rsid w:val="00BC77D4"/>
    <w:rsid w:val="00BD05F3"/>
    <w:rsid w:val="00BD7883"/>
    <w:rsid w:val="00BE03AA"/>
    <w:rsid w:val="00BE089D"/>
    <w:rsid w:val="00BE3248"/>
    <w:rsid w:val="00BE4F73"/>
    <w:rsid w:val="00BE6F92"/>
    <w:rsid w:val="00BF3C2D"/>
    <w:rsid w:val="00BF6FEA"/>
    <w:rsid w:val="00BF772E"/>
    <w:rsid w:val="00C00D27"/>
    <w:rsid w:val="00C04A75"/>
    <w:rsid w:val="00C158EA"/>
    <w:rsid w:val="00C1632A"/>
    <w:rsid w:val="00C2023C"/>
    <w:rsid w:val="00C21CCB"/>
    <w:rsid w:val="00C24BF4"/>
    <w:rsid w:val="00C25B01"/>
    <w:rsid w:val="00C27992"/>
    <w:rsid w:val="00C27B8A"/>
    <w:rsid w:val="00C30873"/>
    <w:rsid w:val="00C31BE5"/>
    <w:rsid w:val="00C40267"/>
    <w:rsid w:val="00C4232B"/>
    <w:rsid w:val="00C43110"/>
    <w:rsid w:val="00C44921"/>
    <w:rsid w:val="00C47176"/>
    <w:rsid w:val="00C5001A"/>
    <w:rsid w:val="00C51859"/>
    <w:rsid w:val="00C54B65"/>
    <w:rsid w:val="00C55C38"/>
    <w:rsid w:val="00C56702"/>
    <w:rsid w:val="00C62E6E"/>
    <w:rsid w:val="00C70C6A"/>
    <w:rsid w:val="00C718E8"/>
    <w:rsid w:val="00C72A1E"/>
    <w:rsid w:val="00C748EA"/>
    <w:rsid w:val="00C7562E"/>
    <w:rsid w:val="00C82ABE"/>
    <w:rsid w:val="00C82FB7"/>
    <w:rsid w:val="00C835BA"/>
    <w:rsid w:val="00C844E5"/>
    <w:rsid w:val="00C86A1B"/>
    <w:rsid w:val="00C931F0"/>
    <w:rsid w:val="00CA04C2"/>
    <w:rsid w:val="00CA2C82"/>
    <w:rsid w:val="00CA585A"/>
    <w:rsid w:val="00CB598F"/>
    <w:rsid w:val="00CB696F"/>
    <w:rsid w:val="00CC0552"/>
    <w:rsid w:val="00CC4571"/>
    <w:rsid w:val="00CC4DD3"/>
    <w:rsid w:val="00CC5904"/>
    <w:rsid w:val="00CD0E1F"/>
    <w:rsid w:val="00CD26BE"/>
    <w:rsid w:val="00CF12C3"/>
    <w:rsid w:val="00CF17D2"/>
    <w:rsid w:val="00CF41B0"/>
    <w:rsid w:val="00CF478B"/>
    <w:rsid w:val="00D16F2B"/>
    <w:rsid w:val="00D2059D"/>
    <w:rsid w:val="00D268D3"/>
    <w:rsid w:val="00D33EE1"/>
    <w:rsid w:val="00D34777"/>
    <w:rsid w:val="00D34BF8"/>
    <w:rsid w:val="00D354FE"/>
    <w:rsid w:val="00D36288"/>
    <w:rsid w:val="00D40955"/>
    <w:rsid w:val="00D51A47"/>
    <w:rsid w:val="00D57120"/>
    <w:rsid w:val="00D60EF4"/>
    <w:rsid w:val="00D633D1"/>
    <w:rsid w:val="00D65820"/>
    <w:rsid w:val="00D708C3"/>
    <w:rsid w:val="00D72644"/>
    <w:rsid w:val="00D84164"/>
    <w:rsid w:val="00D847BD"/>
    <w:rsid w:val="00D96CB3"/>
    <w:rsid w:val="00DA17BF"/>
    <w:rsid w:val="00DA5DFE"/>
    <w:rsid w:val="00DB080F"/>
    <w:rsid w:val="00DB2600"/>
    <w:rsid w:val="00DB4B6F"/>
    <w:rsid w:val="00DC679B"/>
    <w:rsid w:val="00DD2DA1"/>
    <w:rsid w:val="00DD5147"/>
    <w:rsid w:val="00DD6704"/>
    <w:rsid w:val="00DD6C51"/>
    <w:rsid w:val="00DE19D6"/>
    <w:rsid w:val="00DE3F20"/>
    <w:rsid w:val="00DE54F4"/>
    <w:rsid w:val="00DF5CDA"/>
    <w:rsid w:val="00DF649A"/>
    <w:rsid w:val="00E0304D"/>
    <w:rsid w:val="00E04125"/>
    <w:rsid w:val="00E14158"/>
    <w:rsid w:val="00E14CBF"/>
    <w:rsid w:val="00E23444"/>
    <w:rsid w:val="00E24A6C"/>
    <w:rsid w:val="00E3305B"/>
    <w:rsid w:val="00E40AED"/>
    <w:rsid w:val="00E46FD2"/>
    <w:rsid w:val="00E52B93"/>
    <w:rsid w:val="00E60591"/>
    <w:rsid w:val="00E71D59"/>
    <w:rsid w:val="00E738A1"/>
    <w:rsid w:val="00E75A22"/>
    <w:rsid w:val="00E7625D"/>
    <w:rsid w:val="00E76318"/>
    <w:rsid w:val="00E766DB"/>
    <w:rsid w:val="00E76B23"/>
    <w:rsid w:val="00E77A83"/>
    <w:rsid w:val="00E82365"/>
    <w:rsid w:val="00E84708"/>
    <w:rsid w:val="00E870B1"/>
    <w:rsid w:val="00E937E9"/>
    <w:rsid w:val="00E93BF3"/>
    <w:rsid w:val="00E97938"/>
    <w:rsid w:val="00EB1A41"/>
    <w:rsid w:val="00EC017C"/>
    <w:rsid w:val="00EC1D8F"/>
    <w:rsid w:val="00EC2C00"/>
    <w:rsid w:val="00EC54A2"/>
    <w:rsid w:val="00EC6762"/>
    <w:rsid w:val="00ED123D"/>
    <w:rsid w:val="00ED1357"/>
    <w:rsid w:val="00ED13F4"/>
    <w:rsid w:val="00ED3E8F"/>
    <w:rsid w:val="00EE1432"/>
    <w:rsid w:val="00EE3EC1"/>
    <w:rsid w:val="00EE5F6E"/>
    <w:rsid w:val="00EF4571"/>
    <w:rsid w:val="00F006D7"/>
    <w:rsid w:val="00F00924"/>
    <w:rsid w:val="00F03295"/>
    <w:rsid w:val="00F13D6B"/>
    <w:rsid w:val="00F211D2"/>
    <w:rsid w:val="00F21C11"/>
    <w:rsid w:val="00F261CB"/>
    <w:rsid w:val="00F31C04"/>
    <w:rsid w:val="00F327C7"/>
    <w:rsid w:val="00F32ACB"/>
    <w:rsid w:val="00F33035"/>
    <w:rsid w:val="00F35547"/>
    <w:rsid w:val="00F35ACD"/>
    <w:rsid w:val="00F409CE"/>
    <w:rsid w:val="00F42694"/>
    <w:rsid w:val="00F44855"/>
    <w:rsid w:val="00F50909"/>
    <w:rsid w:val="00F64FB9"/>
    <w:rsid w:val="00F67BF4"/>
    <w:rsid w:val="00F719B7"/>
    <w:rsid w:val="00F8361B"/>
    <w:rsid w:val="00F83EF6"/>
    <w:rsid w:val="00F901EA"/>
    <w:rsid w:val="00F93A03"/>
    <w:rsid w:val="00FA0D6B"/>
    <w:rsid w:val="00FB0C9E"/>
    <w:rsid w:val="00FB1FA2"/>
    <w:rsid w:val="00FB246B"/>
    <w:rsid w:val="00FB4656"/>
    <w:rsid w:val="00FB4B7A"/>
    <w:rsid w:val="00FB65E7"/>
    <w:rsid w:val="00FC450E"/>
    <w:rsid w:val="00FC657F"/>
    <w:rsid w:val="00FD0AC4"/>
    <w:rsid w:val="00FE17C6"/>
    <w:rsid w:val="00FE3876"/>
    <w:rsid w:val="00FE4CEB"/>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6B9C"/>
  <w15:chartTrackingRefBased/>
  <w15:docId w15:val="{8E4DB993-89B1-2D44-994D-4BF43E5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C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B1ECB"/>
    <w:rPr>
      <w:sz w:val="16"/>
      <w:szCs w:val="16"/>
    </w:rPr>
  </w:style>
  <w:style w:type="paragraph" w:styleId="CommentText">
    <w:name w:val="annotation text"/>
    <w:basedOn w:val="Normal"/>
    <w:link w:val="CommentTextChar"/>
    <w:uiPriority w:val="99"/>
    <w:semiHidden/>
    <w:unhideWhenUsed/>
    <w:rsid w:val="003B1ECB"/>
    <w:rPr>
      <w:sz w:val="20"/>
      <w:szCs w:val="20"/>
    </w:rPr>
  </w:style>
  <w:style w:type="character" w:customStyle="1" w:styleId="CommentTextChar">
    <w:name w:val="Comment Text Char"/>
    <w:basedOn w:val="DefaultParagraphFont"/>
    <w:link w:val="CommentText"/>
    <w:uiPriority w:val="99"/>
    <w:semiHidden/>
    <w:rsid w:val="003B1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ECB"/>
    <w:rPr>
      <w:b/>
      <w:bCs/>
    </w:rPr>
  </w:style>
  <w:style w:type="character" w:customStyle="1" w:styleId="CommentSubjectChar">
    <w:name w:val="Comment Subject Char"/>
    <w:basedOn w:val="CommentTextChar"/>
    <w:link w:val="CommentSubject"/>
    <w:uiPriority w:val="99"/>
    <w:semiHidden/>
    <w:rsid w:val="003B1EC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B1ECB"/>
    <w:rPr>
      <w:color w:val="0563C1" w:themeColor="hyperlink"/>
      <w:u w:val="single"/>
    </w:rPr>
  </w:style>
  <w:style w:type="paragraph" w:styleId="Header">
    <w:name w:val="header"/>
    <w:basedOn w:val="Normal"/>
    <w:link w:val="HeaderChar"/>
    <w:uiPriority w:val="99"/>
    <w:unhideWhenUsed/>
    <w:rsid w:val="003B1ECB"/>
    <w:pPr>
      <w:tabs>
        <w:tab w:val="center" w:pos="4680"/>
        <w:tab w:val="right" w:pos="9360"/>
      </w:tabs>
    </w:pPr>
  </w:style>
  <w:style w:type="character" w:customStyle="1" w:styleId="HeaderChar">
    <w:name w:val="Header Char"/>
    <w:basedOn w:val="DefaultParagraphFont"/>
    <w:link w:val="Header"/>
    <w:uiPriority w:val="99"/>
    <w:rsid w:val="003B1ECB"/>
    <w:rPr>
      <w:rFonts w:ascii="Times New Roman" w:eastAsia="Times New Roman" w:hAnsi="Times New Roman" w:cs="Times New Roman"/>
    </w:rPr>
  </w:style>
  <w:style w:type="paragraph" w:styleId="Footer">
    <w:name w:val="footer"/>
    <w:basedOn w:val="Normal"/>
    <w:link w:val="FooterChar"/>
    <w:uiPriority w:val="99"/>
    <w:unhideWhenUsed/>
    <w:rsid w:val="003B1ECB"/>
    <w:pPr>
      <w:tabs>
        <w:tab w:val="center" w:pos="4680"/>
        <w:tab w:val="right" w:pos="9360"/>
      </w:tabs>
    </w:pPr>
  </w:style>
  <w:style w:type="character" w:customStyle="1" w:styleId="FooterChar">
    <w:name w:val="Footer Char"/>
    <w:basedOn w:val="DefaultParagraphFont"/>
    <w:link w:val="Footer"/>
    <w:uiPriority w:val="99"/>
    <w:rsid w:val="003B1ECB"/>
    <w:rPr>
      <w:rFonts w:ascii="Times New Roman" w:eastAsia="Times New Roman" w:hAnsi="Times New Roman" w:cs="Times New Roman"/>
    </w:rPr>
  </w:style>
  <w:style w:type="character" w:styleId="PageNumber">
    <w:name w:val="page number"/>
    <w:basedOn w:val="DefaultParagraphFont"/>
    <w:uiPriority w:val="99"/>
    <w:semiHidden/>
    <w:unhideWhenUsed/>
    <w:rsid w:val="003B1ECB"/>
  </w:style>
  <w:style w:type="table" w:styleId="TableGrid">
    <w:name w:val="Table Grid"/>
    <w:basedOn w:val="TableNormal"/>
    <w:uiPriority w:val="39"/>
    <w:rsid w:val="00BD7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4"/>
    <w:rPr>
      <w:rFonts w:ascii="Segoe UI" w:eastAsia="Times New Roman" w:hAnsi="Segoe UI" w:cs="Segoe UI"/>
      <w:sz w:val="18"/>
      <w:szCs w:val="18"/>
    </w:rPr>
  </w:style>
  <w:style w:type="paragraph" w:styleId="Revision">
    <w:name w:val="Revision"/>
    <w:hidden/>
    <w:uiPriority w:val="99"/>
    <w:semiHidden/>
    <w:rsid w:val="00A60F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9059">
      <w:bodyDiv w:val="1"/>
      <w:marLeft w:val="0"/>
      <w:marRight w:val="0"/>
      <w:marTop w:val="0"/>
      <w:marBottom w:val="0"/>
      <w:divBdr>
        <w:top w:val="none" w:sz="0" w:space="0" w:color="auto"/>
        <w:left w:val="none" w:sz="0" w:space="0" w:color="auto"/>
        <w:bottom w:val="none" w:sz="0" w:space="0" w:color="auto"/>
        <w:right w:val="none" w:sz="0" w:space="0" w:color="auto"/>
      </w:divBdr>
    </w:div>
    <w:div w:id="105732439">
      <w:bodyDiv w:val="1"/>
      <w:marLeft w:val="0"/>
      <w:marRight w:val="0"/>
      <w:marTop w:val="0"/>
      <w:marBottom w:val="0"/>
      <w:divBdr>
        <w:top w:val="none" w:sz="0" w:space="0" w:color="auto"/>
        <w:left w:val="none" w:sz="0" w:space="0" w:color="auto"/>
        <w:bottom w:val="none" w:sz="0" w:space="0" w:color="auto"/>
        <w:right w:val="none" w:sz="0" w:space="0" w:color="auto"/>
      </w:divBdr>
    </w:div>
    <w:div w:id="125316636">
      <w:bodyDiv w:val="1"/>
      <w:marLeft w:val="0"/>
      <w:marRight w:val="0"/>
      <w:marTop w:val="0"/>
      <w:marBottom w:val="0"/>
      <w:divBdr>
        <w:top w:val="none" w:sz="0" w:space="0" w:color="auto"/>
        <w:left w:val="none" w:sz="0" w:space="0" w:color="auto"/>
        <w:bottom w:val="none" w:sz="0" w:space="0" w:color="auto"/>
        <w:right w:val="none" w:sz="0" w:space="0" w:color="auto"/>
      </w:divBdr>
    </w:div>
    <w:div w:id="130175543">
      <w:bodyDiv w:val="1"/>
      <w:marLeft w:val="0"/>
      <w:marRight w:val="0"/>
      <w:marTop w:val="0"/>
      <w:marBottom w:val="0"/>
      <w:divBdr>
        <w:top w:val="none" w:sz="0" w:space="0" w:color="auto"/>
        <w:left w:val="none" w:sz="0" w:space="0" w:color="auto"/>
        <w:bottom w:val="none" w:sz="0" w:space="0" w:color="auto"/>
        <w:right w:val="none" w:sz="0" w:space="0" w:color="auto"/>
      </w:divBdr>
    </w:div>
    <w:div w:id="139929544">
      <w:bodyDiv w:val="1"/>
      <w:marLeft w:val="0"/>
      <w:marRight w:val="0"/>
      <w:marTop w:val="0"/>
      <w:marBottom w:val="0"/>
      <w:divBdr>
        <w:top w:val="none" w:sz="0" w:space="0" w:color="auto"/>
        <w:left w:val="none" w:sz="0" w:space="0" w:color="auto"/>
        <w:bottom w:val="none" w:sz="0" w:space="0" w:color="auto"/>
        <w:right w:val="none" w:sz="0" w:space="0" w:color="auto"/>
      </w:divBdr>
    </w:div>
    <w:div w:id="201482717">
      <w:bodyDiv w:val="1"/>
      <w:marLeft w:val="0"/>
      <w:marRight w:val="0"/>
      <w:marTop w:val="0"/>
      <w:marBottom w:val="0"/>
      <w:divBdr>
        <w:top w:val="none" w:sz="0" w:space="0" w:color="auto"/>
        <w:left w:val="none" w:sz="0" w:space="0" w:color="auto"/>
        <w:bottom w:val="none" w:sz="0" w:space="0" w:color="auto"/>
        <w:right w:val="none" w:sz="0" w:space="0" w:color="auto"/>
      </w:divBdr>
    </w:div>
    <w:div w:id="231164283">
      <w:bodyDiv w:val="1"/>
      <w:marLeft w:val="0"/>
      <w:marRight w:val="0"/>
      <w:marTop w:val="0"/>
      <w:marBottom w:val="0"/>
      <w:divBdr>
        <w:top w:val="none" w:sz="0" w:space="0" w:color="auto"/>
        <w:left w:val="none" w:sz="0" w:space="0" w:color="auto"/>
        <w:bottom w:val="none" w:sz="0" w:space="0" w:color="auto"/>
        <w:right w:val="none" w:sz="0" w:space="0" w:color="auto"/>
      </w:divBdr>
    </w:div>
    <w:div w:id="242109002">
      <w:bodyDiv w:val="1"/>
      <w:marLeft w:val="0"/>
      <w:marRight w:val="0"/>
      <w:marTop w:val="0"/>
      <w:marBottom w:val="0"/>
      <w:divBdr>
        <w:top w:val="none" w:sz="0" w:space="0" w:color="auto"/>
        <w:left w:val="none" w:sz="0" w:space="0" w:color="auto"/>
        <w:bottom w:val="none" w:sz="0" w:space="0" w:color="auto"/>
        <w:right w:val="none" w:sz="0" w:space="0" w:color="auto"/>
      </w:divBdr>
    </w:div>
    <w:div w:id="259995452">
      <w:bodyDiv w:val="1"/>
      <w:marLeft w:val="0"/>
      <w:marRight w:val="0"/>
      <w:marTop w:val="0"/>
      <w:marBottom w:val="0"/>
      <w:divBdr>
        <w:top w:val="none" w:sz="0" w:space="0" w:color="auto"/>
        <w:left w:val="none" w:sz="0" w:space="0" w:color="auto"/>
        <w:bottom w:val="none" w:sz="0" w:space="0" w:color="auto"/>
        <w:right w:val="none" w:sz="0" w:space="0" w:color="auto"/>
      </w:divBdr>
    </w:div>
    <w:div w:id="310987927">
      <w:bodyDiv w:val="1"/>
      <w:marLeft w:val="0"/>
      <w:marRight w:val="0"/>
      <w:marTop w:val="0"/>
      <w:marBottom w:val="0"/>
      <w:divBdr>
        <w:top w:val="none" w:sz="0" w:space="0" w:color="auto"/>
        <w:left w:val="none" w:sz="0" w:space="0" w:color="auto"/>
        <w:bottom w:val="none" w:sz="0" w:space="0" w:color="auto"/>
        <w:right w:val="none" w:sz="0" w:space="0" w:color="auto"/>
      </w:divBdr>
    </w:div>
    <w:div w:id="323049040">
      <w:bodyDiv w:val="1"/>
      <w:marLeft w:val="0"/>
      <w:marRight w:val="0"/>
      <w:marTop w:val="0"/>
      <w:marBottom w:val="0"/>
      <w:divBdr>
        <w:top w:val="none" w:sz="0" w:space="0" w:color="auto"/>
        <w:left w:val="none" w:sz="0" w:space="0" w:color="auto"/>
        <w:bottom w:val="none" w:sz="0" w:space="0" w:color="auto"/>
        <w:right w:val="none" w:sz="0" w:space="0" w:color="auto"/>
      </w:divBdr>
    </w:div>
    <w:div w:id="355891580">
      <w:bodyDiv w:val="1"/>
      <w:marLeft w:val="0"/>
      <w:marRight w:val="0"/>
      <w:marTop w:val="0"/>
      <w:marBottom w:val="0"/>
      <w:divBdr>
        <w:top w:val="none" w:sz="0" w:space="0" w:color="auto"/>
        <w:left w:val="none" w:sz="0" w:space="0" w:color="auto"/>
        <w:bottom w:val="none" w:sz="0" w:space="0" w:color="auto"/>
        <w:right w:val="none" w:sz="0" w:space="0" w:color="auto"/>
      </w:divBdr>
    </w:div>
    <w:div w:id="379204980">
      <w:bodyDiv w:val="1"/>
      <w:marLeft w:val="0"/>
      <w:marRight w:val="0"/>
      <w:marTop w:val="0"/>
      <w:marBottom w:val="0"/>
      <w:divBdr>
        <w:top w:val="none" w:sz="0" w:space="0" w:color="auto"/>
        <w:left w:val="none" w:sz="0" w:space="0" w:color="auto"/>
        <w:bottom w:val="none" w:sz="0" w:space="0" w:color="auto"/>
        <w:right w:val="none" w:sz="0" w:space="0" w:color="auto"/>
      </w:divBdr>
    </w:div>
    <w:div w:id="389232195">
      <w:bodyDiv w:val="1"/>
      <w:marLeft w:val="0"/>
      <w:marRight w:val="0"/>
      <w:marTop w:val="0"/>
      <w:marBottom w:val="0"/>
      <w:divBdr>
        <w:top w:val="none" w:sz="0" w:space="0" w:color="auto"/>
        <w:left w:val="none" w:sz="0" w:space="0" w:color="auto"/>
        <w:bottom w:val="none" w:sz="0" w:space="0" w:color="auto"/>
        <w:right w:val="none" w:sz="0" w:space="0" w:color="auto"/>
      </w:divBdr>
    </w:div>
    <w:div w:id="432089540">
      <w:bodyDiv w:val="1"/>
      <w:marLeft w:val="0"/>
      <w:marRight w:val="0"/>
      <w:marTop w:val="0"/>
      <w:marBottom w:val="0"/>
      <w:divBdr>
        <w:top w:val="none" w:sz="0" w:space="0" w:color="auto"/>
        <w:left w:val="none" w:sz="0" w:space="0" w:color="auto"/>
        <w:bottom w:val="none" w:sz="0" w:space="0" w:color="auto"/>
        <w:right w:val="none" w:sz="0" w:space="0" w:color="auto"/>
      </w:divBdr>
    </w:div>
    <w:div w:id="441341555">
      <w:bodyDiv w:val="1"/>
      <w:marLeft w:val="0"/>
      <w:marRight w:val="0"/>
      <w:marTop w:val="0"/>
      <w:marBottom w:val="0"/>
      <w:divBdr>
        <w:top w:val="none" w:sz="0" w:space="0" w:color="auto"/>
        <w:left w:val="none" w:sz="0" w:space="0" w:color="auto"/>
        <w:bottom w:val="none" w:sz="0" w:space="0" w:color="auto"/>
        <w:right w:val="none" w:sz="0" w:space="0" w:color="auto"/>
      </w:divBdr>
    </w:div>
    <w:div w:id="452754927">
      <w:bodyDiv w:val="1"/>
      <w:marLeft w:val="0"/>
      <w:marRight w:val="0"/>
      <w:marTop w:val="0"/>
      <w:marBottom w:val="0"/>
      <w:divBdr>
        <w:top w:val="none" w:sz="0" w:space="0" w:color="auto"/>
        <w:left w:val="none" w:sz="0" w:space="0" w:color="auto"/>
        <w:bottom w:val="none" w:sz="0" w:space="0" w:color="auto"/>
        <w:right w:val="none" w:sz="0" w:space="0" w:color="auto"/>
      </w:divBdr>
    </w:div>
    <w:div w:id="483009657">
      <w:bodyDiv w:val="1"/>
      <w:marLeft w:val="0"/>
      <w:marRight w:val="0"/>
      <w:marTop w:val="0"/>
      <w:marBottom w:val="0"/>
      <w:divBdr>
        <w:top w:val="none" w:sz="0" w:space="0" w:color="auto"/>
        <w:left w:val="none" w:sz="0" w:space="0" w:color="auto"/>
        <w:bottom w:val="none" w:sz="0" w:space="0" w:color="auto"/>
        <w:right w:val="none" w:sz="0" w:space="0" w:color="auto"/>
      </w:divBdr>
    </w:div>
    <w:div w:id="510871907">
      <w:bodyDiv w:val="1"/>
      <w:marLeft w:val="0"/>
      <w:marRight w:val="0"/>
      <w:marTop w:val="0"/>
      <w:marBottom w:val="0"/>
      <w:divBdr>
        <w:top w:val="none" w:sz="0" w:space="0" w:color="auto"/>
        <w:left w:val="none" w:sz="0" w:space="0" w:color="auto"/>
        <w:bottom w:val="none" w:sz="0" w:space="0" w:color="auto"/>
        <w:right w:val="none" w:sz="0" w:space="0" w:color="auto"/>
      </w:divBdr>
    </w:div>
    <w:div w:id="510921436">
      <w:bodyDiv w:val="1"/>
      <w:marLeft w:val="0"/>
      <w:marRight w:val="0"/>
      <w:marTop w:val="0"/>
      <w:marBottom w:val="0"/>
      <w:divBdr>
        <w:top w:val="none" w:sz="0" w:space="0" w:color="auto"/>
        <w:left w:val="none" w:sz="0" w:space="0" w:color="auto"/>
        <w:bottom w:val="none" w:sz="0" w:space="0" w:color="auto"/>
        <w:right w:val="none" w:sz="0" w:space="0" w:color="auto"/>
      </w:divBdr>
    </w:div>
    <w:div w:id="551306840">
      <w:bodyDiv w:val="1"/>
      <w:marLeft w:val="0"/>
      <w:marRight w:val="0"/>
      <w:marTop w:val="0"/>
      <w:marBottom w:val="0"/>
      <w:divBdr>
        <w:top w:val="none" w:sz="0" w:space="0" w:color="auto"/>
        <w:left w:val="none" w:sz="0" w:space="0" w:color="auto"/>
        <w:bottom w:val="none" w:sz="0" w:space="0" w:color="auto"/>
        <w:right w:val="none" w:sz="0" w:space="0" w:color="auto"/>
      </w:divBdr>
    </w:div>
    <w:div w:id="552546732">
      <w:bodyDiv w:val="1"/>
      <w:marLeft w:val="0"/>
      <w:marRight w:val="0"/>
      <w:marTop w:val="0"/>
      <w:marBottom w:val="0"/>
      <w:divBdr>
        <w:top w:val="none" w:sz="0" w:space="0" w:color="auto"/>
        <w:left w:val="none" w:sz="0" w:space="0" w:color="auto"/>
        <w:bottom w:val="none" w:sz="0" w:space="0" w:color="auto"/>
        <w:right w:val="none" w:sz="0" w:space="0" w:color="auto"/>
      </w:divBdr>
    </w:div>
    <w:div w:id="577179858">
      <w:bodyDiv w:val="1"/>
      <w:marLeft w:val="0"/>
      <w:marRight w:val="0"/>
      <w:marTop w:val="0"/>
      <w:marBottom w:val="0"/>
      <w:divBdr>
        <w:top w:val="none" w:sz="0" w:space="0" w:color="auto"/>
        <w:left w:val="none" w:sz="0" w:space="0" w:color="auto"/>
        <w:bottom w:val="none" w:sz="0" w:space="0" w:color="auto"/>
        <w:right w:val="none" w:sz="0" w:space="0" w:color="auto"/>
      </w:divBdr>
    </w:div>
    <w:div w:id="587350782">
      <w:bodyDiv w:val="1"/>
      <w:marLeft w:val="0"/>
      <w:marRight w:val="0"/>
      <w:marTop w:val="0"/>
      <w:marBottom w:val="0"/>
      <w:divBdr>
        <w:top w:val="none" w:sz="0" w:space="0" w:color="auto"/>
        <w:left w:val="none" w:sz="0" w:space="0" w:color="auto"/>
        <w:bottom w:val="none" w:sz="0" w:space="0" w:color="auto"/>
        <w:right w:val="none" w:sz="0" w:space="0" w:color="auto"/>
      </w:divBdr>
    </w:div>
    <w:div w:id="603536785">
      <w:bodyDiv w:val="1"/>
      <w:marLeft w:val="0"/>
      <w:marRight w:val="0"/>
      <w:marTop w:val="0"/>
      <w:marBottom w:val="0"/>
      <w:divBdr>
        <w:top w:val="none" w:sz="0" w:space="0" w:color="auto"/>
        <w:left w:val="none" w:sz="0" w:space="0" w:color="auto"/>
        <w:bottom w:val="none" w:sz="0" w:space="0" w:color="auto"/>
        <w:right w:val="none" w:sz="0" w:space="0" w:color="auto"/>
      </w:divBdr>
    </w:div>
    <w:div w:id="683434928">
      <w:bodyDiv w:val="1"/>
      <w:marLeft w:val="0"/>
      <w:marRight w:val="0"/>
      <w:marTop w:val="0"/>
      <w:marBottom w:val="0"/>
      <w:divBdr>
        <w:top w:val="none" w:sz="0" w:space="0" w:color="auto"/>
        <w:left w:val="none" w:sz="0" w:space="0" w:color="auto"/>
        <w:bottom w:val="none" w:sz="0" w:space="0" w:color="auto"/>
        <w:right w:val="none" w:sz="0" w:space="0" w:color="auto"/>
      </w:divBdr>
    </w:div>
    <w:div w:id="745499214">
      <w:bodyDiv w:val="1"/>
      <w:marLeft w:val="0"/>
      <w:marRight w:val="0"/>
      <w:marTop w:val="0"/>
      <w:marBottom w:val="0"/>
      <w:divBdr>
        <w:top w:val="none" w:sz="0" w:space="0" w:color="auto"/>
        <w:left w:val="none" w:sz="0" w:space="0" w:color="auto"/>
        <w:bottom w:val="none" w:sz="0" w:space="0" w:color="auto"/>
        <w:right w:val="none" w:sz="0" w:space="0" w:color="auto"/>
      </w:divBdr>
    </w:div>
    <w:div w:id="759258288">
      <w:bodyDiv w:val="1"/>
      <w:marLeft w:val="0"/>
      <w:marRight w:val="0"/>
      <w:marTop w:val="0"/>
      <w:marBottom w:val="0"/>
      <w:divBdr>
        <w:top w:val="none" w:sz="0" w:space="0" w:color="auto"/>
        <w:left w:val="none" w:sz="0" w:space="0" w:color="auto"/>
        <w:bottom w:val="none" w:sz="0" w:space="0" w:color="auto"/>
        <w:right w:val="none" w:sz="0" w:space="0" w:color="auto"/>
      </w:divBdr>
    </w:div>
    <w:div w:id="772626039">
      <w:bodyDiv w:val="1"/>
      <w:marLeft w:val="0"/>
      <w:marRight w:val="0"/>
      <w:marTop w:val="0"/>
      <w:marBottom w:val="0"/>
      <w:divBdr>
        <w:top w:val="none" w:sz="0" w:space="0" w:color="auto"/>
        <w:left w:val="none" w:sz="0" w:space="0" w:color="auto"/>
        <w:bottom w:val="none" w:sz="0" w:space="0" w:color="auto"/>
        <w:right w:val="none" w:sz="0" w:space="0" w:color="auto"/>
      </w:divBdr>
    </w:div>
    <w:div w:id="786507429">
      <w:bodyDiv w:val="1"/>
      <w:marLeft w:val="0"/>
      <w:marRight w:val="0"/>
      <w:marTop w:val="0"/>
      <w:marBottom w:val="0"/>
      <w:divBdr>
        <w:top w:val="none" w:sz="0" w:space="0" w:color="auto"/>
        <w:left w:val="none" w:sz="0" w:space="0" w:color="auto"/>
        <w:bottom w:val="none" w:sz="0" w:space="0" w:color="auto"/>
        <w:right w:val="none" w:sz="0" w:space="0" w:color="auto"/>
      </w:divBdr>
    </w:div>
    <w:div w:id="812917005">
      <w:bodyDiv w:val="1"/>
      <w:marLeft w:val="0"/>
      <w:marRight w:val="0"/>
      <w:marTop w:val="0"/>
      <w:marBottom w:val="0"/>
      <w:divBdr>
        <w:top w:val="none" w:sz="0" w:space="0" w:color="auto"/>
        <w:left w:val="none" w:sz="0" w:space="0" w:color="auto"/>
        <w:bottom w:val="none" w:sz="0" w:space="0" w:color="auto"/>
        <w:right w:val="none" w:sz="0" w:space="0" w:color="auto"/>
      </w:divBdr>
    </w:div>
    <w:div w:id="841166733">
      <w:bodyDiv w:val="1"/>
      <w:marLeft w:val="0"/>
      <w:marRight w:val="0"/>
      <w:marTop w:val="0"/>
      <w:marBottom w:val="0"/>
      <w:divBdr>
        <w:top w:val="none" w:sz="0" w:space="0" w:color="auto"/>
        <w:left w:val="none" w:sz="0" w:space="0" w:color="auto"/>
        <w:bottom w:val="none" w:sz="0" w:space="0" w:color="auto"/>
        <w:right w:val="none" w:sz="0" w:space="0" w:color="auto"/>
      </w:divBdr>
    </w:div>
    <w:div w:id="918177032">
      <w:bodyDiv w:val="1"/>
      <w:marLeft w:val="0"/>
      <w:marRight w:val="0"/>
      <w:marTop w:val="0"/>
      <w:marBottom w:val="0"/>
      <w:divBdr>
        <w:top w:val="none" w:sz="0" w:space="0" w:color="auto"/>
        <w:left w:val="none" w:sz="0" w:space="0" w:color="auto"/>
        <w:bottom w:val="none" w:sz="0" w:space="0" w:color="auto"/>
        <w:right w:val="none" w:sz="0" w:space="0" w:color="auto"/>
      </w:divBdr>
    </w:div>
    <w:div w:id="1003435596">
      <w:bodyDiv w:val="1"/>
      <w:marLeft w:val="0"/>
      <w:marRight w:val="0"/>
      <w:marTop w:val="0"/>
      <w:marBottom w:val="0"/>
      <w:divBdr>
        <w:top w:val="none" w:sz="0" w:space="0" w:color="auto"/>
        <w:left w:val="none" w:sz="0" w:space="0" w:color="auto"/>
        <w:bottom w:val="none" w:sz="0" w:space="0" w:color="auto"/>
        <w:right w:val="none" w:sz="0" w:space="0" w:color="auto"/>
      </w:divBdr>
    </w:div>
    <w:div w:id="1027682650">
      <w:bodyDiv w:val="1"/>
      <w:marLeft w:val="0"/>
      <w:marRight w:val="0"/>
      <w:marTop w:val="0"/>
      <w:marBottom w:val="0"/>
      <w:divBdr>
        <w:top w:val="none" w:sz="0" w:space="0" w:color="auto"/>
        <w:left w:val="none" w:sz="0" w:space="0" w:color="auto"/>
        <w:bottom w:val="none" w:sz="0" w:space="0" w:color="auto"/>
        <w:right w:val="none" w:sz="0" w:space="0" w:color="auto"/>
      </w:divBdr>
    </w:div>
    <w:div w:id="1057168373">
      <w:bodyDiv w:val="1"/>
      <w:marLeft w:val="0"/>
      <w:marRight w:val="0"/>
      <w:marTop w:val="0"/>
      <w:marBottom w:val="0"/>
      <w:divBdr>
        <w:top w:val="none" w:sz="0" w:space="0" w:color="auto"/>
        <w:left w:val="none" w:sz="0" w:space="0" w:color="auto"/>
        <w:bottom w:val="none" w:sz="0" w:space="0" w:color="auto"/>
        <w:right w:val="none" w:sz="0" w:space="0" w:color="auto"/>
      </w:divBdr>
    </w:div>
    <w:div w:id="1083993136">
      <w:bodyDiv w:val="1"/>
      <w:marLeft w:val="0"/>
      <w:marRight w:val="0"/>
      <w:marTop w:val="0"/>
      <w:marBottom w:val="0"/>
      <w:divBdr>
        <w:top w:val="none" w:sz="0" w:space="0" w:color="auto"/>
        <w:left w:val="none" w:sz="0" w:space="0" w:color="auto"/>
        <w:bottom w:val="none" w:sz="0" w:space="0" w:color="auto"/>
        <w:right w:val="none" w:sz="0" w:space="0" w:color="auto"/>
      </w:divBdr>
    </w:div>
    <w:div w:id="1099910066">
      <w:bodyDiv w:val="1"/>
      <w:marLeft w:val="0"/>
      <w:marRight w:val="0"/>
      <w:marTop w:val="0"/>
      <w:marBottom w:val="0"/>
      <w:divBdr>
        <w:top w:val="none" w:sz="0" w:space="0" w:color="auto"/>
        <w:left w:val="none" w:sz="0" w:space="0" w:color="auto"/>
        <w:bottom w:val="none" w:sz="0" w:space="0" w:color="auto"/>
        <w:right w:val="none" w:sz="0" w:space="0" w:color="auto"/>
      </w:divBdr>
    </w:div>
    <w:div w:id="1189219988">
      <w:bodyDiv w:val="1"/>
      <w:marLeft w:val="0"/>
      <w:marRight w:val="0"/>
      <w:marTop w:val="0"/>
      <w:marBottom w:val="0"/>
      <w:divBdr>
        <w:top w:val="none" w:sz="0" w:space="0" w:color="auto"/>
        <w:left w:val="none" w:sz="0" w:space="0" w:color="auto"/>
        <w:bottom w:val="none" w:sz="0" w:space="0" w:color="auto"/>
        <w:right w:val="none" w:sz="0" w:space="0" w:color="auto"/>
      </w:divBdr>
    </w:div>
    <w:div w:id="1221985054">
      <w:bodyDiv w:val="1"/>
      <w:marLeft w:val="0"/>
      <w:marRight w:val="0"/>
      <w:marTop w:val="0"/>
      <w:marBottom w:val="0"/>
      <w:divBdr>
        <w:top w:val="none" w:sz="0" w:space="0" w:color="auto"/>
        <w:left w:val="none" w:sz="0" w:space="0" w:color="auto"/>
        <w:bottom w:val="none" w:sz="0" w:space="0" w:color="auto"/>
        <w:right w:val="none" w:sz="0" w:space="0" w:color="auto"/>
      </w:divBdr>
    </w:div>
    <w:div w:id="1261986333">
      <w:bodyDiv w:val="1"/>
      <w:marLeft w:val="0"/>
      <w:marRight w:val="0"/>
      <w:marTop w:val="0"/>
      <w:marBottom w:val="0"/>
      <w:divBdr>
        <w:top w:val="none" w:sz="0" w:space="0" w:color="auto"/>
        <w:left w:val="none" w:sz="0" w:space="0" w:color="auto"/>
        <w:bottom w:val="none" w:sz="0" w:space="0" w:color="auto"/>
        <w:right w:val="none" w:sz="0" w:space="0" w:color="auto"/>
      </w:divBdr>
    </w:div>
    <w:div w:id="1262490683">
      <w:bodyDiv w:val="1"/>
      <w:marLeft w:val="0"/>
      <w:marRight w:val="0"/>
      <w:marTop w:val="0"/>
      <w:marBottom w:val="0"/>
      <w:divBdr>
        <w:top w:val="none" w:sz="0" w:space="0" w:color="auto"/>
        <w:left w:val="none" w:sz="0" w:space="0" w:color="auto"/>
        <w:bottom w:val="none" w:sz="0" w:space="0" w:color="auto"/>
        <w:right w:val="none" w:sz="0" w:space="0" w:color="auto"/>
      </w:divBdr>
    </w:div>
    <w:div w:id="1263684171">
      <w:bodyDiv w:val="1"/>
      <w:marLeft w:val="0"/>
      <w:marRight w:val="0"/>
      <w:marTop w:val="0"/>
      <w:marBottom w:val="0"/>
      <w:divBdr>
        <w:top w:val="none" w:sz="0" w:space="0" w:color="auto"/>
        <w:left w:val="none" w:sz="0" w:space="0" w:color="auto"/>
        <w:bottom w:val="none" w:sz="0" w:space="0" w:color="auto"/>
        <w:right w:val="none" w:sz="0" w:space="0" w:color="auto"/>
      </w:divBdr>
    </w:div>
    <w:div w:id="1263731628">
      <w:bodyDiv w:val="1"/>
      <w:marLeft w:val="0"/>
      <w:marRight w:val="0"/>
      <w:marTop w:val="0"/>
      <w:marBottom w:val="0"/>
      <w:divBdr>
        <w:top w:val="none" w:sz="0" w:space="0" w:color="auto"/>
        <w:left w:val="none" w:sz="0" w:space="0" w:color="auto"/>
        <w:bottom w:val="none" w:sz="0" w:space="0" w:color="auto"/>
        <w:right w:val="none" w:sz="0" w:space="0" w:color="auto"/>
      </w:divBdr>
    </w:div>
    <w:div w:id="1274366469">
      <w:bodyDiv w:val="1"/>
      <w:marLeft w:val="0"/>
      <w:marRight w:val="0"/>
      <w:marTop w:val="0"/>
      <w:marBottom w:val="0"/>
      <w:divBdr>
        <w:top w:val="none" w:sz="0" w:space="0" w:color="auto"/>
        <w:left w:val="none" w:sz="0" w:space="0" w:color="auto"/>
        <w:bottom w:val="none" w:sz="0" w:space="0" w:color="auto"/>
        <w:right w:val="none" w:sz="0" w:space="0" w:color="auto"/>
      </w:divBdr>
    </w:div>
    <w:div w:id="1286935452">
      <w:bodyDiv w:val="1"/>
      <w:marLeft w:val="0"/>
      <w:marRight w:val="0"/>
      <w:marTop w:val="0"/>
      <w:marBottom w:val="0"/>
      <w:divBdr>
        <w:top w:val="none" w:sz="0" w:space="0" w:color="auto"/>
        <w:left w:val="none" w:sz="0" w:space="0" w:color="auto"/>
        <w:bottom w:val="none" w:sz="0" w:space="0" w:color="auto"/>
        <w:right w:val="none" w:sz="0" w:space="0" w:color="auto"/>
      </w:divBdr>
    </w:div>
    <w:div w:id="1406417030">
      <w:bodyDiv w:val="1"/>
      <w:marLeft w:val="0"/>
      <w:marRight w:val="0"/>
      <w:marTop w:val="0"/>
      <w:marBottom w:val="0"/>
      <w:divBdr>
        <w:top w:val="none" w:sz="0" w:space="0" w:color="auto"/>
        <w:left w:val="none" w:sz="0" w:space="0" w:color="auto"/>
        <w:bottom w:val="none" w:sz="0" w:space="0" w:color="auto"/>
        <w:right w:val="none" w:sz="0" w:space="0" w:color="auto"/>
      </w:divBdr>
    </w:div>
    <w:div w:id="1413313155">
      <w:bodyDiv w:val="1"/>
      <w:marLeft w:val="0"/>
      <w:marRight w:val="0"/>
      <w:marTop w:val="0"/>
      <w:marBottom w:val="0"/>
      <w:divBdr>
        <w:top w:val="none" w:sz="0" w:space="0" w:color="auto"/>
        <w:left w:val="none" w:sz="0" w:space="0" w:color="auto"/>
        <w:bottom w:val="none" w:sz="0" w:space="0" w:color="auto"/>
        <w:right w:val="none" w:sz="0" w:space="0" w:color="auto"/>
      </w:divBdr>
    </w:div>
    <w:div w:id="1428966146">
      <w:bodyDiv w:val="1"/>
      <w:marLeft w:val="0"/>
      <w:marRight w:val="0"/>
      <w:marTop w:val="0"/>
      <w:marBottom w:val="0"/>
      <w:divBdr>
        <w:top w:val="none" w:sz="0" w:space="0" w:color="auto"/>
        <w:left w:val="none" w:sz="0" w:space="0" w:color="auto"/>
        <w:bottom w:val="none" w:sz="0" w:space="0" w:color="auto"/>
        <w:right w:val="none" w:sz="0" w:space="0" w:color="auto"/>
      </w:divBdr>
    </w:div>
    <w:div w:id="1446846870">
      <w:bodyDiv w:val="1"/>
      <w:marLeft w:val="0"/>
      <w:marRight w:val="0"/>
      <w:marTop w:val="0"/>
      <w:marBottom w:val="0"/>
      <w:divBdr>
        <w:top w:val="none" w:sz="0" w:space="0" w:color="auto"/>
        <w:left w:val="none" w:sz="0" w:space="0" w:color="auto"/>
        <w:bottom w:val="none" w:sz="0" w:space="0" w:color="auto"/>
        <w:right w:val="none" w:sz="0" w:space="0" w:color="auto"/>
      </w:divBdr>
    </w:div>
    <w:div w:id="1452089267">
      <w:bodyDiv w:val="1"/>
      <w:marLeft w:val="0"/>
      <w:marRight w:val="0"/>
      <w:marTop w:val="0"/>
      <w:marBottom w:val="0"/>
      <w:divBdr>
        <w:top w:val="none" w:sz="0" w:space="0" w:color="auto"/>
        <w:left w:val="none" w:sz="0" w:space="0" w:color="auto"/>
        <w:bottom w:val="none" w:sz="0" w:space="0" w:color="auto"/>
        <w:right w:val="none" w:sz="0" w:space="0" w:color="auto"/>
      </w:divBdr>
    </w:div>
    <w:div w:id="1454521447">
      <w:bodyDiv w:val="1"/>
      <w:marLeft w:val="0"/>
      <w:marRight w:val="0"/>
      <w:marTop w:val="0"/>
      <w:marBottom w:val="0"/>
      <w:divBdr>
        <w:top w:val="none" w:sz="0" w:space="0" w:color="auto"/>
        <w:left w:val="none" w:sz="0" w:space="0" w:color="auto"/>
        <w:bottom w:val="none" w:sz="0" w:space="0" w:color="auto"/>
        <w:right w:val="none" w:sz="0" w:space="0" w:color="auto"/>
      </w:divBdr>
    </w:div>
    <w:div w:id="1481000110">
      <w:bodyDiv w:val="1"/>
      <w:marLeft w:val="0"/>
      <w:marRight w:val="0"/>
      <w:marTop w:val="0"/>
      <w:marBottom w:val="0"/>
      <w:divBdr>
        <w:top w:val="none" w:sz="0" w:space="0" w:color="auto"/>
        <w:left w:val="none" w:sz="0" w:space="0" w:color="auto"/>
        <w:bottom w:val="none" w:sz="0" w:space="0" w:color="auto"/>
        <w:right w:val="none" w:sz="0" w:space="0" w:color="auto"/>
      </w:divBdr>
    </w:div>
    <w:div w:id="1489905037">
      <w:bodyDiv w:val="1"/>
      <w:marLeft w:val="0"/>
      <w:marRight w:val="0"/>
      <w:marTop w:val="0"/>
      <w:marBottom w:val="0"/>
      <w:divBdr>
        <w:top w:val="none" w:sz="0" w:space="0" w:color="auto"/>
        <w:left w:val="none" w:sz="0" w:space="0" w:color="auto"/>
        <w:bottom w:val="none" w:sz="0" w:space="0" w:color="auto"/>
        <w:right w:val="none" w:sz="0" w:space="0" w:color="auto"/>
      </w:divBdr>
    </w:div>
    <w:div w:id="1501964533">
      <w:bodyDiv w:val="1"/>
      <w:marLeft w:val="0"/>
      <w:marRight w:val="0"/>
      <w:marTop w:val="0"/>
      <w:marBottom w:val="0"/>
      <w:divBdr>
        <w:top w:val="none" w:sz="0" w:space="0" w:color="auto"/>
        <w:left w:val="none" w:sz="0" w:space="0" w:color="auto"/>
        <w:bottom w:val="none" w:sz="0" w:space="0" w:color="auto"/>
        <w:right w:val="none" w:sz="0" w:space="0" w:color="auto"/>
      </w:divBdr>
    </w:div>
    <w:div w:id="1502814726">
      <w:bodyDiv w:val="1"/>
      <w:marLeft w:val="0"/>
      <w:marRight w:val="0"/>
      <w:marTop w:val="0"/>
      <w:marBottom w:val="0"/>
      <w:divBdr>
        <w:top w:val="none" w:sz="0" w:space="0" w:color="auto"/>
        <w:left w:val="none" w:sz="0" w:space="0" w:color="auto"/>
        <w:bottom w:val="none" w:sz="0" w:space="0" w:color="auto"/>
        <w:right w:val="none" w:sz="0" w:space="0" w:color="auto"/>
      </w:divBdr>
    </w:div>
    <w:div w:id="1503816427">
      <w:bodyDiv w:val="1"/>
      <w:marLeft w:val="0"/>
      <w:marRight w:val="0"/>
      <w:marTop w:val="0"/>
      <w:marBottom w:val="0"/>
      <w:divBdr>
        <w:top w:val="none" w:sz="0" w:space="0" w:color="auto"/>
        <w:left w:val="none" w:sz="0" w:space="0" w:color="auto"/>
        <w:bottom w:val="none" w:sz="0" w:space="0" w:color="auto"/>
        <w:right w:val="none" w:sz="0" w:space="0" w:color="auto"/>
      </w:divBdr>
    </w:div>
    <w:div w:id="1514299036">
      <w:bodyDiv w:val="1"/>
      <w:marLeft w:val="0"/>
      <w:marRight w:val="0"/>
      <w:marTop w:val="0"/>
      <w:marBottom w:val="0"/>
      <w:divBdr>
        <w:top w:val="none" w:sz="0" w:space="0" w:color="auto"/>
        <w:left w:val="none" w:sz="0" w:space="0" w:color="auto"/>
        <w:bottom w:val="none" w:sz="0" w:space="0" w:color="auto"/>
        <w:right w:val="none" w:sz="0" w:space="0" w:color="auto"/>
      </w:divBdr>
    </w:div>
    <w:div w:id="1568301364">
      <w:bodyDiv w:val="1"/>
      <w:marLeft w:val="0"/>
      <w:marRight w:val="0"/>
      <w:marTop w:val="0"/>
      <w:marBottom w:val="0"/>
      <w:divBdr>
        <w:top w:val="none" w:sz="0" w:space="0" w:color="auto"/>
        <w:left w:val="none" w:sz="0" w:space="0" w:color="auto"/>
        <w:bottom w:val="none" w:sz="0" w:space="0" w:color="auto"/>
        <w:right w:val="none" w:sz="0" w:space="0" w:color="auto"/>
      </w:divBdr>
    </w:div>
    <w:div w:id="1596590292">
      <w:bodyDiv w:val="1"/>
      <w:marLeft w:val="0"/>
      <w:marRight w:val="0"/>
      <w:marTop w:val="0"/>
      <w:marBottom w:val="0"/>
      <w:divBdr>
        <w:top w:val="none" w:sz="0" w:space="0" w:color="auto"/>
        <w:left w:val="none" w:sz="0" w:space="0" w:color="auto"/>
        <w:bottom w:val="none" w:sz="0" w:space="0" w:color="auto"/>
        <w:right w:val="none" w:sz="0" w:space="0" w:color="auto"/>
      </w:divBdr>
    </w:div>
    <w:div w:id="1615745985">
      <w:bodyDiv w:val="1"/>
      <w:marLeft w:val="0"/>
      <w:marRight w:val="0"/>
      <w:marTop w:val="0"/>
      <w:marBottom w:val="0"/>
      <w:divBdr>
        <w:top w:val="none" w:sz="0" w:space="0" w:color="auto"/>
        <w:left w:val="none" w:sz="0" w:space="0" w:color="auto"/>
        <w:bottom w:val="none" w:sz="0" w:space="0" w:color="auto"/>
        <w:right w:val="none" w:sz="0" w:space="0" w:color="auto"/>
      </w:divBdr>
    </w:div>
    <w:div w:id="1621230324">
      <w:bodyDiv w:val="1"/>
      <w:marLeft w:val="0"/>
      <w:marRight w:val="0"/>
      <w:marTop w:val="0"/>
      <w:marBottom w:val="0"/>
      <w:divBdr>
        <w:top w:val="none" w:sz="0" w:space="0" w:color="auto"/>
        <w:left w:val="none" w:sz="0" w:space="0" w:color="auto"/>
        <w:bottom w:val="none" w:sz="0" w:space="0" w:color="auto"/>
        <w:right w:val="none" w:sz="0" w:space="0" w:color="auto"/>
      </w:divBdr>
    </w:div>
    <w:div w:id="1622569619">
      <w:bodyDiv w:val="1"/>
      <w:marLeft w:val="0"/>
      <w:marRight w:val="0"/>
      <w:marTop w:val="0"/>
      <w:marBottom w:val="0"/>
      <w:divBdr>
        <w:top w:val="none" w:sz="0" w:space="0" w:color="auto"/>
        <w:left w:val="none" w:sz="0" w:space="0" w:color="auto"/>
        <w:bottom w:val="none" w:sz="0" w:space="0" w:color="auto"/>
        <w:right w:val="none" w:sz="0" w:space="0" w:color="auto"/>
      </w:divBdr>
    </w:div>
    <w:div w:id="1675379942">
      <w:bodyDiv w:val="1"/>
      <w:marLeft w:val="0"/>
      <w:marRight w:val="0"/>
      <w:marTop w:val="0"/>
      <w:marBottom w:val="0"/>
      <w:divBdr>
        <w:top w:val="none" w:sz="0" w:space="0" w:color="auto"/>
        <w:left w:val="none" w:sz="0" w:space="0" w:color="auto"/>
        <w:bottom w:val="none" w:sz="0" w:space="0" w:color="auto"/>
        <w:right w:val="none" w:sz="0" w:space="0" w:color="auto"/>
      </w:divBdr>
    </w:div>
    <w:div w:id="1675692273">
      <w:bodyDiv w:val="1"/>
      <w:marLeft w:val="0"/>
      <w:marRight w:val="0"/>
      <w:marTop w:val="0"/>
      <w:marBottom w:val="0"/>
      <w:divBdr>
        <w:top w:val="none" w:sz="0" w:space="0" w:color="auto"/>
        <w:left w:val="none" w:sz="0" w:space="0" w:color="auto"/>
        <w:bottom w:val="none" w:sz="0" w:space="0" w:color="auto"/>
        <w:right w:val="none" w:sz="0" w:space="0" w:color="auto"/>
      </w:divBdr>
    </w:div>
    <w:div w:id="1676372454">
      <w:bodyDiv w:val="1"/>
      <w:marLeft w:val="0"/>
      <w:marRight w:val="0"/>
      <w:marTop w:val="0"/>
      <w:marBottom w:val="0"/>
      <w:divBdr>
        <w:top w:val="none" w:sz="0" w:space="0" w:color="auto"/>
        <w:left w:val="none" w:sz="0" w:space="0" w:color="auto"/>
        <w:bottom w:val="none" w:sz="0" w:space="0" w:color="auto"/>
        <w:right w:val="none" w:sz="0" w:space="0" w:color="auto"/>
      </w:divBdr>
    </w:div>
    <w:div w:id="1719014485">
      <w:bodyDiv w:val="1"/>
      <w:marLeft w:val="0"/>
      <w:marRight w:val="0"/>
      <w:marTop w:val="0"/>
      <w:marBottom w:val="0"/>
      <w:divBdr>
        <w:top w:val="none" w:sz="0" w:space="0" w:color="auto"/>
        <w:left w:val="none" w:sz="0" w:space="0" w:color="auto"/>
        <w:bottom w:val="none" w:sz="0" w:space="0" w:color="auto"/>
        <w:right w:val="none" w:sz="0" w:space="0" w:color="auto"/>
      </w:divBdr>
    </w:div>
    <w:div w:id="1723603368">
      <w:bodyDiv w:val="1"/>
      <w:marLeft w:val="0"/>
      <w:marRight w:val="0"/>
      <w:marTop w:val="0"/>
      <w:marBottom w:val="0"/>
      <w:divBdr>
        <w:top w:val="none" w:sz="0" w:space="0" w:color="auto"/>
        <w:left w:val="none" w:sz="0" w:space="0" w:color="auto"/>
        <w:bottom w:val="none" w:sz="0" w:space="0" w:color="auto"/>
        <w:right w:val="none" w:sz="0" w:space="0" w:color="auto"/>
      </w:divBdr>
    </w:div>
    <w:div w:id="1791507303">
      <w:bodyDiv w:val="1"/>
      <w:marLeft w:val="0"/>
      <w:marRight w:val="0"/>
      <w:marTop w:val="0"/>
      <w:marBottom w:val="0"/>
      <w:divBdr>
        <w:top w:val="none" w:sz="0" w:space="0" w:color="auto"/>
        <w:left w:val="none" w:sz="0" w:space="0" w:color="auto"/>
        <w:bottom w:val="none" w:sz="0" w:space="0" w:color="auto"/>
        <w:right w:val="none" w:sz="0" w:space="0" w:color="auto"/>
      </w:divBdr>
    </w:div>
    <w:div w:id="1804957043">
      <w:bodyDiv w:val="1"/>
      <w:marLeft w:val="0"/>
      <w:marRight w:val="0"/>
      <w:marTop w:val="0"/>
      <w:marBottom w:val="0"/>
      <w:divBdr>
        <w:top w:val="none" w:sz="0" w:space="0" w:color="auto"/>
        <w:left w:val="none" w:sz="0" w:space="0" w:color="auto"/>
        <w:bottom w:val="none" w:sz="0" w:space="0" w:color="auto"/>
        <w:right w:val="none" w:sz="0" w:space="0" w:color="auto"/>
      </w:divBdr>
    </w:div>
    <w:div w:id="1811483365">
      <w:bodyDiv w:val="1"/>
      <w:marLeft w:val="0"/>
      <w:marRight w:val="0"/>
      <w:marTop w:val="0"/>
      <w:marBottom w:val="0"/>
      <w:divBdr>
        <w:top w:val="none" w:sz="0" w:space="0" w:color="auto"/>
        <w:left w:val="none" w:sz="0" w:space="0" w:color="auto"/>
        <w:bottom w:val="none" w:sz="0" w:space="0" w:color="auto"/>
        <w:right w:val="none" w:sz="0" w:space="0" w:color="auto"/>
      </w:divBdr>
    </w:div>
    <w:div w:id="1866749958">
      <w:bodyDiv w:val="1"/>
      <w:marLeft w:val="0"/>
      <w:marRight w:val="0"/>
      <w:marTop w:val="0"/>
      <w:marBottom w:val="0"/>
      <w:divBdr>
        <w:top w:val="none" w:sz="0" w:space="0" w:color="auto"/>
        <w:left w:val="none" w:sz="0" w:space="0" w:color="auto"/>
        <w:bottom w:val="none" w:sz="0" w:space="0" w:color="auto"/>
        <w:right w:val="none" w:sz="0" w:space="0" w:color="auto"/>
      </w:divBdr>
    </w:div>
    <w:div w:id="1868257254">
      <w:bodyDiv w:val="1"/>
      <w:marLeft w:val="0"/>
      <w:marRight w:val="0"/>
      <w:marTop w:val="0"/>
      <w:marBottom w:val="0"/>
      <w:divBdr>
        <w:top w:val="none" w:sz="0" w:space="0" w:color="auto"/>
        <w:left w:val="none" w:sz="0" w:space="0" w:color="auto"/>
        <w:bottom w:val="none" w:sz="0" w:space="0" w:color="auto"/>
        <w:right w:val="none" w:sz="0" w:space="0" w:color="auto"/>
      </w:divBdr>
    </w:div>
    <w:div w:id="1894273436">
      <w:bodyDiv w:val="1"/>
      <w:marLeft w:val="0"/>
      <w:marRight w:val="0"/>
      <w:marTop w:val="0"/>
      <w:marBottom w:val="0"/>
      <w:divBdr>
        <w:top w:val="none" w:sz="0" w:space="0" w:color="auto"/>
        <w:left w:val="none" w:sz="0" w:space="0" w:color="auto"/>
        <w:bottom w:val="none" w:sz="0" w:space="0" w:color="auto"/>
        <w:right w:val="none" w:sz="0" w:space="0" w:color="auto"/>
      </w:divBdr>
    </w:div>
    <w:div w:id="1926181371">
      <w:bodyDiv w:val="1"/>
      <w:marLeft w:val="0"/>
      <w:marRight w:val="0"/>
      <w:marTop w:val="0"/>
      <w:marBottom w:val="0"/>
      <w:divBdr>
        <w:top w:val="none" w:sz="0" w:space="0" w:color="auto"/>
        <w:left w:val="none" w:sz="0" w:space="0" w:color="auto"/>
        <w:bottom w:val="none" w:sz="0" w:space="0" w:color="auto"/>
        <w:right w:val="none" w:sz="0" w:space="0" w:color="auto"/>
      </w:divBdr>
    </w:div>
    <w:div w:id="1944263434">
      <w:bodyDiv w:val="1"/>
      <w:marLeft w:val="0"/>
      <w:marRight w:val="0"/>
      <w:marTop w:val="0"/>
      <w:marBottom w:val="0"/>
      <w:divBdr>
        <w:top w:val="none" w:sz="0" w:space="0" w:color="auto"/>
        <w:left w:val="none" w:sz="0" w:space="0" w:color="auto"/>
        <w:bottom w:val="none" w:sz="0" w:space="0" w:color="auto"/>
        <w:right w:val="none" w:sz="0" w:space="0" w:color="auto"/>
      </w:divBdr>
    </w:div>
    <w:div w:id="1990665826">
      <w:bodyDiv w:val="1"/>
      <w:marLeft w:val="0"/>
      <w:marRight w:val="0"/>
      <w:marTop w:val="0"/>
      <w:marBottom w:val="0"/>
      <w:divBdr>
        <w:top w:val="none" w:sz="0" w:space="0" w:color="auto"/>
        <w:left w:val="none" w:sz="0" w:space="0" w:color="auto"/>
        <w:bottom w:val="none" w:sz="0" w:space="0" w:color="auto"/>
        <w:right w:val="none" w:sz="0" w:space="0" w:color="auto"/>
      </w:divBdr>
    </w:div>
    <w:div w:id="2081176152">
      <w:bodyDiv w:val="1"/>
      <w:marLeft w:val="0"/>
      <w:marRight w:val="0"/>
      <w:marTop w:val="0"/>
      <w:marBottom w:val="0"/>
      <w:divBdr>
        <w:top w:val="none" w:sz="0" w:space="0" w:color="auto"/>
        <w:left w:val="none" w:sz="0" w:space="0" w:color="auto"/>
        <w:bottom w:val="none" w:sz="0" w:space="0" w:color="auto"/>
        <w:right w:val="none" w:sz="0" w:space="0" w:color="auto"/>
      </w:divBdr>
    </w:div>
    <w:div w:id="2114857475">
      <w:bodyDiv w:val="1"/>
      <w:marLeft w:val="0"/>
      <w:marRight w:val="0"/>
      <w:marTop w:val="0"/>
      <w:marBottom w:val="0"/>
      <w:divBdr>
        <w:top w:val="none" w:sz="0" w:space="0" w:color="auto"/>
        <w:left w:val="none" w:sz="0" w:space="0" w:color="auto"/>
        <w:bottom w:val="none" w:sz="0" w:space="0" w:color="auto"/>
        <w:right w:val="none" w:sz="0" w:space="0" w:color="auto"/>
      </w:divBdr>
    </w:div>
    <w:div w:id="2116363829">
      <w:bodyDiv w:val="1"/>
      <w:marLeft w:val="0"/>
      <w:marRight w:val="0"/>
      <w:marTop w:val="0"/>
      <w:marBottom w:val="0"/>
      <w:divBdr>
        <w:top w:val="none" w:sz="0" w:space="0" w:color="auto"/>
        <w:left w:val="none" w:sz="0" w:space="0" w:color="auto"/>
        <w:bottom w:val="none" w:sz="0" w:space="0" w:color="auto"/>
        <w:right w:val="none" w:sz="0" w:space="0" w:color="auto"/>
      </w:divBdr>
    </w:div>
    <w:div w:id="2134400857">
      <w:bodyDiv w:val="1"/>
      <w:marLeft w:val="0"/>
      <w:marRight w:val="0"/>
      <w:marTop w:val="0"/>
      <w:marBottom w:val="0"/>
      <w:divBdr>
        <w:top w:val="none" w:sz="0" w:space="0" w:color="auto"/>
        <w:left w:val="none" w:sz="0" w:space="0" w:color="auto"/>
        <w:bottom w:val="none" w:sz="0" w:space="0" w:color="auto"/>
        <w:right w:val="none" w:sz="0" w:space="0" w:color="auto"/>
      </w:divBdr>
      <w:divsChild>
        <w:div w:id="364793475">
          <w:marLeft w:val="0"/>
          <w:marRight w:val="0"/>
          <w:marTop w:val="0"/>
          <w:marBottom w:val="0"/>
          <w:divBdr>
            <w:top w:val="none" w:sz="0" w:space="0" w:color="auto"/>
            <w:left w:val="none" w:sz="0" w:space="0" w:color="auto"/>
            <w:bottom w:val="none" w:sz="0" w:space="0" w:color="auto"/>
            <w:right w:val="none" w:sz="0" w:space="0" w:color="auto"/>
          </w:divBdr>
        </w:div>
      </w:divsChild>
    </w:div>
    <w:div w:id="21462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6189</Words>
  <Characters>36645</Characters>
  <Application>Microsoft Office Word</Application>
  <DocSecurity>0</DocSecurity>
  <Lines>832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Julie Petersen</cp:lastModifiedBy>
  <cp:revision>4</cp:revision>
  <dcterms:created xsi:type="dcterms:W3CDTF">2022-04-20T15:21:00Z</dcterms:created>
  <dcterms:modified xsi:type="dcterms:W3CDTF">2022-04-20T15:23:00Z</dcterms:modified>
</cp:coreProperties>
</file>