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79E78" w14:textId="77777777" w:rsidR="00AE6EF7" w:rsidRDefault="00AE6EF7" w:rsidP="00AE6EF7">
      <w:pPr>
        <w:pStyle w:val="NormalWeb"/>
        <w:shd w:val="clear" w:color="auto" w:fill="FFFFFF"/>
        <w:spacing w:before="0" w:beforeAutospacing="0" w:after="0" w:afterAutospacing="0" w:line="480" w:lineRule="auto"/>
        <w:contextualSpacing/>
        <w:jc w:val="center"/>
        <w:textAlignment w:val="baseline"/>
        <w:outlineLvl w:val="0"/>
        <w:rPr>
          <w:color w:val="000000"/>
          <w:shd w:val="clear" w:color="auto" w:fill="FFFFFF"/>
        </w:rPr>
      </w:pPr>
      <w:bookmarkStart w:id="0" w:name="_GoBack"/>
      <w:bookmarkEnd w:id="0"/>
    </w:p>
    <w:p w14:paraId="4F272208" w14:textId="77777777" w:rsidR="00AE6EF7" w:rsidRDefault="00AE6EF7" w:rsidP="00AE6EF7">
      <w:pPr>
        <w:pStyle w:val="NormalWeb"/>
        <w:shd w:val="clear" w:color="auto" w:fill="FFFFFF"/>
        <w:spacing w:before="0" w:beforeAutospacing="0" w:after="0" w:afterAutospacing="0" w:line="480" w:lineRule="auto"/>
        <w:contextualSpacing/>
        <w:jc w:val="center"/>
        <w:textAlignment w:val="baseline"/>
        <w:outlineLvl w:val="0"/>
        <w:rPr>
          <w:color w:val="000000"/>
          <w:shd w:val="clear" w:color="auto" w:fill="FFFFFF"/>
        </w:rPr>
      </w:pPr>
    </w:p>
    <w:p w14:paraId="2B516ED7" w14:textId="77777777" w:rsidR="00AE6EF7" w:rsidRDefault="00AE6EF7" w:rsidP="00AE6EF7">
      <w:pPr>
        <w:pStyle w:val="NormalWeb"/>
        <w:shd w:val="clear" w:color="auto" w:fill="FFFFFF"/>
        <w:spacing w:before="0" w:beforeAutospacing="0" w:after="0" w:afterAutospacing="0" w:line="480" w:lineRule="auto"/>
        <w:contextualSpacing/>
        <w:jc w:val="center"/>
        <w:textAlignment w:val="baseline"/>
        <w:outlineLvl w:val="0"/>
        <w:rPr>
          <w:color w:val="000000"/>
          <w:shd w:val="clear" w:color="auto" w:fill="FFFFFF"/>
        </w:rPr>
      </w:pPr>
    </w:p>
    <w:p w14:paraId="6E15F117" w14:textId="77777777" w:rsidR="00AE6EF7" w:rsidRDefault="00AE6EF7" w:rsidP="00AE6EF7">
      <w:pPr>
        <w:pStyle w:val="NormalWeb"/>
        <w:shd w:val="clear" w:color="auto" w:fill="FFFFFF"/>
        <w:spacing w:before="0" w:beforeAutospacing="0" w:after="0" w:afterAutospacing="0" w:line="480" w:lineRule="auto"/>
        <w:contextualSpacing/>
        <w:jc w:val="center"/>
        <w:textAlignment w:val="baseline"/>
        <w:outlineLvl w:val="0"/>
        <w:rPr>
          <w:color w:val="000000"/>
          <w:shd w:val="clear" w:color="auto" w:fill="FFFFFF"/>
        </w:rPr>
      </w:pPr>
    </w:p>
    <w:p w14:paraId="5ACEE807" w14:textId="77777777" w:rsidR="00AE6EF7" w:rsidRDefault="00AE6EF7" w:rsidP="00AE6EF7">
      <w:pPr>
        <w:pStyle w:val="NormalWeb"/>
        <w:shd w:val="clear" w:color="auto" w:fill="FFFFFF"/>
        <w:spacing w:before="0" w:beforeAutospacing="0" w:after="0" w:afterAutospacing="0" w:line="480" w:lineRule="auto"/>
        <w:contextualSpacing/>
        <w:jc w:val="center"/>
        <w:textAlignment w:val="baseline"/>
        <w:outlineLvl w:val="0"/>
        <w:rPr>
          <w:color w:val="000000"/>
          <w:shd w:val="clear" w:color="auto" w:fill="FFFFFF"/>
        </w:rPr>
      </w:pPr>
    </w:p>
    <w:p w14:paraId="4EA84B4E" w14:textId="77777777" w:rsidR="00AE6EF7" w:rsidRPr="00AE6EF7" w:rsidRDefault="00AE6EF7" w:rsidP="00AE6EF7">
      <w:pPr>
        <w:pStyle w:val="NormalWeb"/>
        <w:shd w:val="clear" w:color="auto" w:fill="FFFFFF"/>
        <w:spacing w:before="0" w:beforeAutospacing="0" w:after="0" w:afterAutospacing="0" w:line="480" w:lineRule="auto"/>
        <w:contextualSpacing/>
        <w:jc w:val="center"/>
        <w:textAlignment w:val="baseline"/>
        <w:outlineLvl w:val="0"/>
        <w:rPr>
          <w:color w:val="000000"/>
          <w:shd w:val="clear" w:color="auto" w:fill="FFFFFF"/>
        </w:rPr>
      </w:pPr>
      <w:r w:rsidRPr="00AE6EF7">
        <w:rPr>
          <w:color w:val="000000"/>
          <w:shd w:val="clear" w:color="auto" w:fill="FFFFFF"/>
        </w:rPr>
        <w:t>Assessing psychological inflexibility in hoarding: The Acceptance and Action Questionnaire for Hoarding (AAQH)</w:t>
      </w:r>
    </w:p>
    <w:p w14:paraId="295DC55B" w14:textId="77777777" w:rsidR="00AE6EF7" w:rsidRPr="00AE6EF7" w:rsidRDefault="00AE6EF7" w:rsidP="008D45C7">
      <w:pPr>
        <w:pStyle w:val="NormalWeb"/>
        <w:shd w:val="clear" w:color="auto" w:fill="FFFFFF"/>
        <w:spacing w:before="0" w:beforeAutospacing="0" w:after="0" w:afterAutospacing="0" w:line="480" w:lineRule="auto"/>
        <w:contextualSpacing/>
        <w:jc w:val="center"/>
        <w:textAlignment w:val="baseline"/>
        <w:outlineLvl w:val="0"/>
        <w:rPr>
          <w:color w:val="000000"/>
          <w:shd w:val="clear" w:color="auto" w:fill="FFFFFF"/>
        </w:rPr>
      </w:pPr>
    </w:p>
    <w:p w14:paraId="171FDA8A" w14:textId="77777777" w:rsidR="00A672C3" w:rsidRPr="00AE6EF7" w:rsidRDefault="00A672C3" w:rsidP="00A672C3">
      <w:pPr>
        <w:pStyle w:val="NormalWeb"/>
        <w:shd w:val="clear" w:color="auto" w:fill="FFFFFF"/>
        <w:spacing w:before="0" w:beforeAutospacing="0" w:after="0" w:afterAutospacing="0" w:line="480" w:lineRule="auto"/>
        <w:contextualSpacing/>
        <w:jc w:val="center"/>
        <w:textAlignment w:val="baseline"/>
        <w:outlineLvl w:val="0"/>
        <w:rPr>
          <w:color w:val="000000"/>
          <w:shd w:val="clear" w:color="auto" w:fill="FFFFFF"/>
        </w:rPr>
      </w:pPr>
      <w:r w:rsidRPr="00AE6EF7">
        <w:rPr>
          <w:color w:val="000000"/>
          <w:shd w:val="clear" w:color="auto" w:fill="FFFFFF"/>
        </w:rPr>
        <w:t>Jennifer Krafft</w:t>
      </w:r>
      <w:r w:rsidRPr="009F70DA">
        <w:rPr>
          <w:vertAlign w:val="superscript"/>
        </w:rPr>
        <w:t>a</w:t>
      </w:r>
    </w:p>
    <w:p w14:paraId="3C0FA3CB" w14:textId="77777777" w:rsidR="00A672C3" w:rsidRPr="00AE6EF7" w:rsidRDefault="00A672C3" w:rsidP="00A672C3">
      <w:pPr>
        <w:pStyle w:val="NormalWeb"/>
        <w:shd w:val="clear" w:color="auto" w:fill="FFFFFF"/>
        <w:spacing w:before="0" w:beforeAutospacing="0" w:after="0" w:afterAutospacing="0" w:line="480" w:lineRule="auto"/>
        <w:contextualSpacing/>
        <w:jc w:val="center"/>
        <w:textAlignment w:val="baseline"/>
        <w:outlineLvl w:val="0"/>
        <w:rPr>
          <w:color w:val="000000"/>
          <w:shd w:val="clear" w:color="auto" w:fill="FFFFFF"/>
        </w:rPr>
      </w:pPr>
      <w:r w:rsidRPr="00AE6EF7">
        <w:rPr>
          <w:color w:val="000000"/>
          <w:shd w:val="clear" w:color="auto" w:fill="FFFFFF"/>
        </w:rPr>
        <w:t>Clarissa W. Ong</w:t>
      </w:r>
      <w:r w:rsidRPr="009F70DA">
        <w:rPr>
          <w:vertAlign w:val="superscript"/>
        </w:rPr>
        <w:t>a</w:t>
      </w:r>
    </w:p>
    <w:p w14:paraId="3F0B7D69" w14:textId="77777777" w:rsidR="00A672C3" w:rsidRPr="00AE6EF7" w:rsidRDefault="00A672C3" w:rsidP="00A672C3">
      <w:pPr>
        <w:pStyle w:val="NormalWeb"/>
        <w:shd w:val="clear" w:color="auto" w:fill="FFFFFF"/>
        <w:spacing w:before="0" w:beforeAutospacing="0" w:after="0" w:afterAutospacing="0" w:line="480" w:lineRule="auto"/>
        <w:contextualSpacing/>
        <w:jc w:val="center"/>
        <w:textAlignment w:val="baseline"/>
        <w:outlineLvl w:val="0"/>
        <w:rPr>
          <w:color w:val="000000"/>
          <w:shd w:val="clear" w:color="auto" w:fill="FFFFFF"/>
        </w:rPr>
      </w:pPr>
      <w:r w:rsidRPr="00AE6EF7">
        <w:rPr>
          <w:color w:val="000000"/>
          <w:shd w:val="clear" w:color="auto" w:fill="FFFFFF"/>
        </w:rPr>
        <w:t>Michael P. Twohig</w:t>
      </w:r>
      <w:r w:rsidRPr="009F70DA">
        <w:rPr>
          <w:vertAlign w:val="superscript"/>
        </w:rPr>
        <w:t>a</w:t>
      </w:r>
    </w:p>
    <w:p w14:paraId="36D6F6BE" w14:textId="77777777" w:rsidR="00A672C3" w:rsidRPr="00AE6EF7" w:rsidRDefault="00A672C3" w:rsidP="00A672C3">
      <w:pPr>
        <w:pStyle w:val="NormalWeb"/>
        <w:shd w:val="clear" w:color="auto" w:fill="FFFFFF"/>
        <w:spacing w:before="0" w:beforeAutospacing="0" w:after="0" w:afterAutospacing="0" w:line="480" w:lineRule="auto"/>
        <w:contextualSpacing/>
        <w:jc w:val="center"/>
        <w:textAlignment w:val="baseline"/>
        <w:outlineLvl w:val="0"/>
        <w:rPr>
          <w:color w:val="000000"/>
          <w:shd w:val="clear" w:color="auto" w:fill="FFFFFF"/>
        </w:rPr>
      </w:pPr>
      <w:r w:rsidRPr="00AE6EF7">
        <w:rPr>
          <w:color w:val="000000"/>
          <w:shd w:val="clear" w:color="auto" w:fill="FFFFFF"/>
        </w:rPr>
        <w:t>Michael E. Levin</w:t>
      </w:r>
      <w:r w:rsidRPr="009F70DA">
        <w:rPr>
          <w:vertAlign w:val="superscript"/>
        </w:rPr>
        <w:t>a</w:t>
      </w:r>
    </w:p>
    <w:p w14:paraId="6FC4A971" w14:textId="77777777" w:rsidR="00A672C3" w:rsidRDefault="00A672C3" w:rsidP="00A672C3">
      <w:pPr>
        <w:spacing w:line="480" w:lineRule="auto"/>
        <w:jc w:val="center"/>
        <w:outlineLvl w:val="0"/>
        <w:rPr>
          <w:vertAlign w:val="superscript"/>
        </w:rPr>
      </w:pPr>
    </w:p>
    <w:p w14:paraId="66A54CC2" w14:textId="77777777" w:rsidR="00A672C3" w:rsidRPr="00AE6EF7" w:rsidRDefault="00A672C3" w:rsidP="00A672C3">
      <w:pPr>
        <w:spacing w:line="480" w:lineRule="auto"/>
        <w:jc w:val="center"/>
        <w:outlineLvl w:val="0"/>
      </w:pPr>
      <w:r w:rsidRPr="00AE6EF7">
        <w:rPr>
          <w:vertAlign w:val="superscript"/>
        </w:rPr>
        <w:t>a</w:t>
      </w:r>
      <w:r w:rsidRPr="00AE6EF7">
        <w:t>Department of Psychology</w:t>
      </w:r>
    </w:p>
    <w:p w14:paraId="6E7EA04A" w14:textId="77777777" w:rsidR="00A672C3" w:rsidRPr="00AE6EF7" w:rsidRDefault="00A672C3" w:rsidP="00A672C3">
      <w:pPr>
        <w:spacing w:line="480" w:lineRule="auto"/>
        <w:jc w:val="center"/>
        <w:outlineLvl w:val="0"/>
      </w:pPr>
      <w:r w:rsidRPr="00AE6EF7">
        <w:t>Utah State University</w:t>
      </w:r>
    </w:p>
    <w:p w14:paraId="0AD833B8" w14:textId="77777777" w:rsidR="00A672C3" w:rsidRPr="00AE6EF7" w:rsidRDefault="00A672C3" w:rsidP="00A672C3">
      <w:pPr>
        <w:spacing w:line="480" w:lineRule="auto"/>
        <w:jc w:val="center"/>
        <w:outlineLvl w:val="0"/>
      </w:pPr>
      <w:r w:rsidRPr="00AE6EF7">
        <w:t>2810 Old Main Hill</w:t>
      </w:r>
    </w:p>
    <w:p w14:paraId="2344BEA3" w14:textId="77777777" w:rsidR="00A672C3" w:rsidRPr="00AE6EF7" w:rsidRDefault="00A672C3" w:rsidP="00A672C3">
      <w:pPr>
        <w:spacing w:line="480" w:lineRule="auto"/>
        <w:jc w:val="center"/>
        <w:outlineLvl w:val="0"/>
      </w:pPr>
      <w:r>
        <w:t>Logan, UT</w:t>
      </w:r>
      <w:r w:rsidRPr="00AE6EF7">
        <w:t xml:space="preserve"> 84322</w:t>
      </w:r>
    </w:p>
    <w:p w14:paraId="1F522DD0" w14:textId="77777777" w:rsidR="00A672C3" w:rsidRDefault="00A672C3" w:rsidP="00A672C3">
      <w:pPr>
        <w:pStyle w:val="NormalWeb"/>
        <w:shd w:val="clear" w:color="auto" w:fill="FFFFFF"/>
        <w:spacing w:before="0" w:beforeAutospacing="0" w:after="0" w:afterAutospacing="0" w:line="480" w:lineRule="auto"/>
        <w:contextualSpacing/>
        <w:jc w:val="center"/>
        <w:textAlignment w:val="baseline"/>
        <w:outlineLvl w:val="0"/>
        <w:rPr>
          <w:b/>
          <w:color w:val="000000"/>
          <w:shd w:val="clear" w:color="auto" w:fill="FFFFFF"/>
        </w:rPr>
      </w:pPr>
    </w:p>
    <w:p w14:paraId="2EB439B0" w14:textId="77777777" w:rsidR="00A672C3" w:rsidRDefault="00A672C3" w:rsidP="00A672C3">
      <w:pPr>
        <w:spacing w:line="480" w:lineRule="auto"/>
      </w:pPr>
      <w:r w:rsidRPr="00AE6EF7">
        <w:tab/>
        <w:t xml:space="preserve">Correspondence concerning this article should be addressed to </w:t>
      </w:r>
      <w:r>
        <w:t>Jennifer Krafft</w:t>
      </w:r>
      <w:r w:rsidRPr="00AE6EF7">
        <w:t xml:space="preserve">, Department of Psychology, Utah State University, 2810 Old Main Hill, Logan, UT, 84322. Email: </w:t>
      </w:r>
      <w:r w:rsidRPr="006F4F96">
        <w:t>jennifer.krafft@aggiemail.usu.edu</w:t>
      </w:r>
    </w:p>
    <w:p w14:paraId="0D68FB9E" w14:textId="77777777" w:rsidR="00AE6EF7" w:rsidRDefault="00AE6EF7" w:rsidP="00AE6EF7">
      <w:pPr>
        <w:spacing w:line="480" w:lineRule="auto"/>
        <w:jc w:val="center"/>
        <w:outlineLvl w:val="0"/>
        <w:rPr>
          <w:vertAlign w:val="superscript"/>
        </w:rPr>
      </w:pPr>
    </w:p>
    <w:p w14:paraId="0F89A1C9" w14:textId="77777777" w:rsidR="00AE6EF7" w:rsidRDefault="00AE6EF7" w:rsidP="008D45C7">
      <w:pPr>
        <w:pStyle w:val="NormalWeb"/>
        <w:shd w:val="clear" w:color="auto" w:fill="FFFFFF"/>
        <w:spacing w:before="0" w:beforeAutospacing="0" w:after="0" w:afterAutospacing="0" w:line="480" w:lineRule="auto"/>
        <w:contextualSpacing/>
        <w:jc w:val="center"/>
        <w:textAlignment w:val="baseline"/>
        <w:outlineLvl w:val="0"/>
        <w:rPr>
          <w:b/>
          <w:color w:val="000000"/>
          <w:shd w:val="clear" w:color="auto" w:fill="FFFFFF"/>
        </w:rPr>
      </w:pPr>
    </w:p>
    <w:p w14:paraId="2E105724" w14:textId="4CF0EE47" w:rsidR="008B225E" w:rsidRPr="00AE6EF7" w:rsidRDefault="008B225E" w:rsidP="00AE6EF7">
      <w:pPr>
        <w:spacing w:line="480" w:lineRule="auto"/>
        <w:sectPr w:rsidR="008B225E" w:rsidRPr="00AE6EF7" w:rsidSect="005604D9">
          <w:headerReference w:type="default" r:id="rId8"/>
          <w:pgSz w:w="12240" w:h="15840"/>
          <w:pgMar w:top="1440" w:right="1440" w:bottom="1440" w:left="1440" w:header="720" w:footer="720" w:gutter="0"/>
          <w:cols w:space="720"/>
          <w:docGrid w:linePitch="360"/>
        </w:sectPr>
      </w:pPr>
    </w:p>
    <w:p w14:paraId="43EBBF9E" w14:textId="296C8278" w:rsidR="008B225E" w:rsidRDefault="00A672C3" w:rsidP="00921940">
      <w:pPr>
        <w:pStyle w:val="NormalWeb"/>
        <w:shd w:val="clear" w:color="auto" w:fill="FFFFFF"/>
        <w:spacing w:before="0" w:beforeAutospacing="0" w:after="0" w:afterAutospacing="0" w:line="480" w:lineRule="auto"/>
        <w:contextualSpacing/>
        <w:jc w:val="center"/>
        <w:textAlignment w:val="baseline"/>
        <w:outlineLvl w:val="0"/>
        <w:rPr>
          <w:color w:val="000000"/>
          <w:shd w:val="clear" w:color="auto" w:fill="FFFFFF"/>
        </w:rPr>
      </w:pPr>
      <w:r>
        <w:rPr>
          <w:color w:val="000000"/>
          <w:shd w:val="clear" w:color="auto" w:fill="FFFFFF"/>
        </w:rPr>
        <w:lastRenderedPageBreak/>
        <w:t>Abs</w:t>
      </w:r>
      <w:r w:rsidR="008B225E">
        <w:rPr>
          <w:color w:val="000000"/>
          <w:shd w:val="clear" w:color="auto" w:fill="FFFFFF"/>
        </w:rPr>
        <w:t>tract</w:t>
      </w:r>
    </w:p>
    <w:p w14:paraId="4622EB70" w14:textId="016BCFFF" w:rsidR="008B225E" w:rsidRDefault="00D60A4B" w:rsidP="008B225E">
      <w:pPr>
        <w:pStyle w:val="NormalWeb"/>
        <w:shd w:val="clear" w:color="auto" w:fill="FFFFFF"/>
        <w:spacing w:before="0" w:beforeAutospacing="0" w:after="0" w:afterAutospacing="0" w:line="480" w:lineRule="auto"/>
        <w:contextualSpacing/>
        <w:textAlignment w:val="baseline"/>
        <w:outlineLvl w:val="0"/>
        <w:rPr>
          <w:color w:val="000000"/>
          <w:shd w:val="clear" w:color="auto" w:fill="FFFFFF"/>
        </w:rPr>
      </w:pPr>
      <w:r>
        <w:rPr>
          <w:color w:val="000000"/>
          <w:shd w:val="clear" w:color="auto" w:fill="FFFFFF"/>
        </w:rPr>
        <w:t xml:space="preserve">Psychological inflexibility is a psychopathological process referring to the tendency for behavior to be overly controlled by internal </w:t>
      </w:r>
      <w:r w:rsidR="002B1232">
        <w:rPr>
          <w:color w:val="000000"/>
          <w:shd w:val="clear" w:color="auto" w:fill="FFFFFF"/>
        </w:rPr>
        <w:t xml:space="preserve">experiences to an extent that interferes with </w:t>
      </w:r>
      <w:r w:rsidR="004F7325">
        <w:rPr>
          <w:color w:val="000000"/>
          <w:shd w:val="clear" w:color="auto" w:fill="FFFFFF"/>
        </w:rPr>
        <w:t>quality of life</w:t>
      </w:r>
      <w:r>
        <w:rPr>
          <w:color w:val="000000"/>
          <w:shd w:val="clear" w:color="auto" w:fill="FFFFFF"/>
        </w:rPr>
        <w:t xml:space="preserve">. Some studies indicate that psychological inflexibility is linked to hoarding, but findings have been mixed. This inconsistency may be due to reliance on general measures of psychological inflexibility in prior research as there was previously no validated measure to assess psychological inflexibility as it relates to hoarding. </w:t>
      </w:r>
      <w:r w:rsidR="002B1232">
        <w:rPr>
          <w:color w:val="000000"/>
          <w:shd w:val="clear" w:color="auto" w:fill="FFFFFF"/>
        </w:rPr>
        <w:t>T</w:t>
      </w:r>
      <w:r>
        <w:rPr>
          <w:color w:val="000000"/>
          <w:shd w:val="clear" w:color="auto" w:fill="FFFFFF"/>
        </w:rPr>
        <w:t>he present study develop</w:t>
      </w:r>
      <w:r w:rsidR="005A1168">
        <w:rPr>
          <w:color w:val="000000"/>
          <w:shd w:val="clear" w:color="auto" w:fill="FFFFFF"/>
        </w:rPr>
        <w:t>ed</w:t>
      </w:r>
      <w:r>
        <w:rPr>
          <w:color w:val="000000"/>
          <w:shd w:val="clear" w:color="auto" w:fill="FFFFFF"/>
        </w:rPr>
        <w:t xml:space="preserve"> and validate</w:t>
      </w:r>
      <w:r w:rsidR="005A1168">
        <w:rPr>
          <w:color w:val="000000"/>
          <w:shd w:val="clear" w:color="auto" w:fill="FFFFFF"/>
        </w:rPr>
        <w:t>d</w:t>
      </w:r>
      <w:r>
        <w:rPr>
          <w:color w:val="000000"/>
          <w:shd w:val="clear" w:color="auto" w:fill="FFFFFF"/>
        </w:rPr>
        <w:t xml:space="preserve"> a measure of hoarding-related psychological inflexibility</w:t>
      </w:r>
      <w:r w:rsidR="002B1232">
        <w:rPr>
          <w:color w:val="000000"/>
          <w:shd w:val="clear" w:color="auto" w:fill="FFFFFF"/>
        </w:rPr>
        <w:t xml:space="preserve">, the Acceptance and Action Questionnaire for Hoarding (AAQH) in a college student sample </w:t>
      </w:r>
      <w:r w:rsidR="00E87188">
        <w:rPr>
          <w:color w:val="000000"/>
          <w:shd w:val="clear" w:color="auto" w:fill="FFFFFF"/>
        </w:rPr>
        <w:t xml:space="preserve">with elevated hoarding symptoms </w:t>
      </w:r>
      <w:r w:rsidR="002B1232">
        <w:rPr>
          <w:color w:val="000000"/>
          <w:shd w:val="clear" w:color="auto" w:fill="FFFFFF"/>
        </w:rPr>
        <w:t>(</w:t>
      </w:r>
      <w:r w:rsidR="002B1232" w:rsidRPr="00F5279C">
        <w:rPr>
          <w:i/>
          <w:color w:val="000000"/>
          <w:shd w:val="clear" w:color="auto" w:fill="FFFFFF"/>
        </w:rPr>
        <w:t>n</w:t>
      </w:r>
      <w:r w:rsidR="00F5279C">
        <w:rPr>
          <w:color w:val="000000"/>
          <w:shd w:val="clear" w:color="auto" w:fill="FFFFFF"/>
        </w:rPr>
        <w:t xml:space="preserve"> </w:t>
      </w:r>
      <w:r w:rsidR="002B1232">
        <w:rPr>
          <w:color w:val="000000"/>
          <w:shd w:val="clear" w:color="auto" w:fill="FFFFFF"/>
        </w:rPr>
        <w:t>=</w:t>
      </w:r>
      <w:r w:rsidR="00F5279C">
        <w:rPr>
          <w:color w:val="000000"/>
          <w:shd w:val="clear" w:color="auto" w:fill="FFFFFF"/>
        </w:rPr>
        <w:t xml:space="preserve"> </w:t>
      </w:r>
      <w:r w:rsidR="002B1232">
        <w:rPr>
          <w:color w:val="000000"/>
          <w:shd w:val="clear" w:color="auto" w:fill="FFFFFF"/>
        </w:rPr>
        <w:t xml:space="preserve">201). The AAQH demonstrated a </w:t>
      </w:r>
      <w:r w:rsidR="0012776E">
        <w:rPr>
          <w:color w:val="000000"/>
          <w:shd w:val="clear" w:color="auto" w:fill="FFFFFF"/>
        </w:rPr>
        <w:t>two</w:t>
      </w:r>
      <w:r w:rsidR="002B1232">
        <w:rPr>
          <w:color w:val="000000"/>
          <w:shd w:val="clear" w:color="auto" w:fill="FFFFFF"/>
        </w:rPr>
        <w:t>-factor structure and good internal consistency, construct validity, and incremental validity over a general measure of psychological inflexibility, the AAQ-II. The potential research and clinical utility of the AAQH as well as limitations of this preliminary validation study are discussed.</w:t>
      </w:r>
    </w:p>
    <w:p w14:paraId="44AEF5C3" w14:textId="77777777" w:rsidR="008B225E" w:rsidRPr="002B1232" w:rsidRDefault="008B225E" w:rsidP="002B1232">
      <w:pPr>
        <w:pStyle w:val="NormalWeb"/>
        <w:shd w:val="clear" w:color="auto" w:fill="FFFFFF"/>
        <w:spacing w:before="0" w:beforeAutospacing="0" w:after="0" w:afterAutospacing="0" w:line="480" w:lineRule="auto"/>
        <w:ind w:firstLine="720"/>
        <w:contextualSpacing/>
        <w:textAlignment w:val="baseline"/>
        <w:outlineLvl w:val="0"/>
        <w:rPr>
          <w:i/>
          <w:color w:val="000000"/>
          <w:shd w:val="clear" w:color="auto" w:fill="FFFFFF"/>
        </w:rPr>
      </w:pPr>
      <w:r>
        <w:rPr>
          <w:color w:val="000000"/>
          <w:shd w:val="clear" w:color="auto" w:fill="FFFFFF"/>
        </w:rPr>
        <w:t>Keywords</w:t>
      </w:r>
      <w:r w:rsidRPr="002B1232">
        <w:rPr>
          <w:i/>
          <w:color w:val="000000"/>
          <w:shd w:val="clear" w:color="auto" w:fill="FFFFFF"/>
        </w:rPr>
        <w:t xml:space="preserve">: </w:t>
      </w:r>
      <w:r w:rsidR="00D60A4B" w:rsidRPr="002B1232">
        <w:rPr>
          <w:i/>
          <w:color w:val="000000"/>
          <w:shd w:val="clear" w:color="auto" w:fill="FFFFFF"/>
        </w:rPr>
        <w:t>psychological inflexibility, hoarding, assessment, validation</w:t>
      </w:r>
    </w:p>
    <w:p w14:paraId="07171E06" w14:textId="77777777" w:rsidR="008B225E" w:rsidRDefault="008B225E">
      <w:pPr>
        <w:rPr>
          <w:b/>
          <w:color w:val="000000"/>
          <w:shd w:val="clear" w:color="auto" w:fill="FFFFFF"/>
        </w:rPr>
      </w:pPr>
      <w:r>
        <w:rPr>
          <w:b/>
          <w:color w:val="000000"/>
          <w:shd w:val="clear" w:color="auto" w:fill="FFFFFF"/>
        </w:rPr>
        <w:br w:type="page"/>
      </w:r>
    </w:p>
    <w:p w14:paraId="1CE77A0A" w14:textId="77777777" w:rsidR="0026310D" w:rsidRPr="00455254" w:rsidRDefault="00690498" w:rsidP="00921940">
      <w:pPr>
        <w:pStyle w:val="NormalWeb"/>
        <w:shd w:val="clear" w:color="auto" w:fill="FFFFFF"/>
        <w:spacing w:before="0" w:beforeAutospacing="0" w:after="0" w:afterAutospacing="0" w:line="480" w:lineRule="auto"/>
        <w:contextualSpacing/>
        <w:jc w:val="center"/>
        <w:textAlignment w:val="baseline"/>
        <w:outlineLvl w:val="0"/>
        <w:rPr>
          <w:color w:val="000000"/>
          <w:shd w:val="clear" w:color="auto" w:fill="FFFFFF"/>
        </w:rPr>
      </w:pPr>
      <w:r w:rsidRPr="00455254">
        <w:rPr>
          <w:color w:val="000000"/>
          <w:shd w:val="clear" w:color="auto" w:fill="FFFFFF"/>
        </w:rPr>
        <w:lastRenderedPageBreak/>
        <w:t>Assessing psychological inflexibility in hoarding: The</w:t>
      </w:r>
      <w:r w:rsidR="004557B7" w:rsidRPr="00455254">
        <w:rPr>
          <w:color w:val="000000"/>
          <w:shd w:val="clear" w:color="auto" w:fill="FFFFFF"/>
        </w:rPr>
        <w:t xml:space="preserve"> </w:t>
      </w:r>
      <w:r w:rsidR="0026310D" w:rsidRPr="00455254">
        <w:rPr>
          <w:color w:val="000000"/>
          <w:shd w:val="clear" w:color="auto" w:fill="FFFFFF"/>
        </w:rPr>
        <w:t>Acceptance and Action Questionnaire for Hoarding</w:t>
      </w:r>
      <w:r w:rsidR="004557B7" w:rsidRPr="00455254">
        <w:rPr>
          <w:color w:val="000000"/>
          <w:shd w:val="clear" w:color="auto" w:fill="FFFFFF"/>
        </w:rPr>
        <w:t xml:space="preserve"> (AAQH)</w:t>
      </w:r>
    </w:p>
    <w:p w14:paraId="77418B66" w14:textId="0FCB8F70" w:rsidR="009412D5" w:rsidRPr="00981D9A" w:rsidRDefault="009412D5" w:rsidP="00467D55">
      <w:pPr>
        <w:spacing w:line="480" w:lineRule="auto"/>
        <w:ind w:firstLine="720"/>
        <w:contextualSpacing/>
      </w:pPr>
      <w:r w:rsidRPr="00981D9A">
        <w:t>Hoarding disorder (HD) is characterized by difficulty letting go of possessions, resulting in clutter that precludes the use of living spaces for their intended purpose, and is accompanied by clinically significant distress and/or functional impairment</w:t>
      </w:r>
      <w:r w:rsidR="00233429">
        <w:t xml:space="preserve"> </w:t>
      </w:r>
      <w:r w:rsidR="00233429">
        <w:fldChar w:fldCharType="begin" w:fldLock="1"/>
      </w:r>
      <w:r w:rsidR="00233429">
        <w:instrText>ADDIN CSL_CITATION { "citationItems" : [ { "id" : "ITEM-1", "itemData" : { "author" : [ { "dropping-particle" : "", "family" : "American Psychiatric Association", "given" : "", "non-dropping-particle" : "", "parse-names" : false, "suffix" : "" } ], "edition" : "5th", "id" : "ITEM-1", "issued" : { "date-parts" : [ [ "2013" ] ] }, "publisher" : "American Psychiatric Publishing", "publisher-place" : "Washington, DC", "title" : "Diagnostic and statistical manual of mental disorders", "type" : "book" }, "uris" : [ "http://www.mendeley.com/documents/?uuid=f8e5c5af-ea35-430f-8139-4a4a77128f37" ] } ], "mendeley" : { "formattedCitation" : "(American Psychiatric Association, 2013)", "plainTextFormattedCitation" : "(American Psychiatric Association, 2013)", "previouslyFormattedCitation" : "(American Psychiatric Association, 2013)" }, "properties" : { "noteIndex" : 0 }, "schema" : "https://github.com/citation-style-language/schema/raw/master/csl-citation.json" }</w:instrText>
      </w:r>
      <w:r w:rsidR="00233429">
        <w:fldChar w:fldCharType="separate"/>
      </w:r>
      <w:r w:rsidR="00233429" w:rsidRPr="00233429">
        <w:rPr>
          <w:noProof/>
        </w:rPr>
        <w:t>(American Psychiatric Association, 2013)</w:t>
      </w:r>
      <w:r w:rsidR="00233429">
        <w:fldChar w:fldCharType="end"/>
      </w:r>
      <w:r w:rsidR="00233429">
        <w:t>.</w:t>
      </w:r>
      <w:r w:rsidR="009B4396">
        <w:t xml:space="preserve"> </w:t>
      </w:r>
      <w:r w:rsidR="00484CC2">
        <w:t>Beliefs about the meaning of possessions, emotional attachment to possessions, and</w:t>
      </w:r>
      <w:r w:rsidRPr="00981D9A">
        <w:t xml:space="preserve"> emotional distress related to loss of possessions</w:t>
      </w:r>
      <w:r w:rsidR="00484CC2">
        <w:t xml:space="preserve"> can result in hoarding when individuals regard such cognitions as</w:t>
      </w:r>
      <w:r w:rsidR="00580CF5">
        <w:t xml:space="preserve"> </w:t>
      </w:r>
      <w:r w:rsidR="00484CC2">
        <w:t>true or attempt to avoid the distress arising from letting go of possessions</w:t>
      </w:r>
      <w:r w:rsidRPr="00981D9A">
        <w:t xml:space="preserve"> </w:t>
      </w:r>
      <w:r w:rsidR="00484CC2">
        <w:t xml:space="preserve">by saving </w:t>
      </w:r>
      <w:r w:rsidR="00233429">
        <w:fldChar w:fldCharType="begin" w:fldLock="1"/>
      </w:r>
      <w:r w:rsidR="00625CD5">
        <w:instrText>ADDIN CSL_CITATION { "citationItems" : [ { "id" : "ITEM-1", "itemData" : { "DOI" : "10.1016/j.cpr.2003.08.002", "ISBN" : "0272-7358", "ISSN" : "02727358", "PMID" : "14624821", "abstract" : "This article reviews the literature on compulsive hoarding, including the definition and manifestations of the problem and a conceptual model for understanding hoarding behavior. This model addresses information processing deficits (e.g., attention, organization, memory, decision-making), beliefs about and emotional attachments to possessions, and distress and avoidance. Research regarding the diagnostic categorization of hoarding, its course and phenomenology, and evidence to support the model is presented. The limited research on treatment provides evidence that current serotonergic medications for OCD are largely ineffective for treating hoarding, but cognitive and behavioral treatments, especially those focused on deficits identified in the model, have some utility. Recommendations for further research on the psychopathology and treatment of hoarding are provided. ?? 2003 Elsevier Ltd. All rights reserved.", "author" : [ { "dropping-particle" : "", "family" : "Steketee", "given" : "Gail", "non-dropping-particle" : "", "parse-names" : false, "suffix" : "" }, { "dropping-particle" : "", "family" : "Frost", "given" : "Randy", "non-dropping-particle" : "", "parse-names" : false, "suffix" : "" } ], "container-title" : "Clinical Psychology Review", "id" : "ITEM-1", "issued" : { "date-parts" : [ [ "2003" ] ] }, "page" : "905-927", "title" : "Compulsive hoarding: Current status of the research", "type" : "article-journal", "volume" : "23" }, "uris" : [ "http://www.mendeley.com/documents/?uuid=79bcc282-a26a-4a44-8076-e46fa61fe364" ] } ], "mendeley" : { "formattedCitation" : "(Steketee &amp; Frost, 2003)", "plainTextFormattedCitation" : "(Steketee &amp; Frost, 2003)", "previouslyFormattedCitation" : "(Steketee &amp; Frost, 2003)" }, "properties" : { "noteIndex" : 0 }, "schema" : "https://github.com/citation-style-language/schema/raw/master/csl-citation.json" }</w:instrText>
      </w:r>
      <w:r w:rsidR="00233429">
        <w:fldChar w:fldCharType="separate"/>
      </w:r>
      <w:r w:rsidR="00233429" w:rsidRPr="00233429">
        <w:rPr>
          <w:noProof/>
        </w:rPr>
        <w:t>(Steketee &amp; Frost, 2003)</w:t>
      </w:r>
      <w:r w:rsidR="00233429">
        <w:fldChar w:fldCharType="end"/>
      </w:r>
      <w:r w:rsidRPr="00981D9A">
        <w:t xml:space="preserve">. </w:t>
      </w:r>
      <w:r w:rsidR="00484CC2">
        <w:t>I</w:t>
      </w:r>
      <w:r w:rsidRPr="00981D9A">
        <w:t xml:space="preserve">ndividuals with HD have been found to report higher levels of negative affect and </w:t>
      </w:r>
      <w:r w:rsidR="00A87CA2">
        <w:t>anticipate experiencing</w:t>
      </w:r>
      <w:r w:rsidR="00A87CA2" w:rsidRPr="00981D9A">
        <w:t xml:space="preserve"> </w:t>
      </w:r>
      <w:r w:rsidRPr="00981D9A">
        <w:t xml:space="preserve">a longer duration of negative affect </w:t>
      </w:r>
      <w:r w:rsidR="00A87CA2">
        <w:t xml:space="preserve">prior to a discarding task, compared to controls </w:t>
      </w:r>
      <w:r w:rsidR="00625CD5">
        <w:fldChar w:fldCharType="begin" w:fldLock="1"/>
      </w:r>
      <w:r w:rsidR="005B13B8">
        <w:instrText>ADDIN CSL_CITATION { "citationItems" : [ { "id" : "ITEM-1", "itemData" : { "DOI" : "10.1016/j.brat.2016.08.003", "ISSN" : "0005-7967", "author" : [ { "dropping-particle" : "", "family" : "Frost", "given" : "Randy O", "non-dropping-particle" : "", "parse-names" : false, "suffix" : "" }, { "dropping-particle" : "", "family" : "Ong", "given" : "Clarissa", "non-dropping-particle" : "", "parse-names" : false, "suffix" : "" }, { "dropping-particle" : "", "family" : "Steketee", "given" : "Gail", "non-dropping-particle" : "", "parse-names" : false, "suffix" : "" }, { "dropping-particle" : "", "family" : "Tolin", "given" : "David F", "non-dropping-particle" : "", "parse-names" : false, "suffix" : "" } ], "container-title" : "Behaviour Research and Therapy", "id" : "ITEM-1", "issued" : { "date-parts" : [ [ "2016" ] ] }, "page" : "13-22", "publisher" : "Elsevier Ltd", "title" : "Behavioral and emotional consequences of thought listing versus cognitive restructuring during discarding decisions in hoarding disorder", "type" : "article-journal", "volume" : "85" }, "uris" : [ "http://www.mendeley.com/documents/?uuid=ce1f4826-e94a-4695-95b5-20bb5ed96c5e" ] } ], "mendeley" : { "formattedCitation" : "(Frost, Ong, Steketee, &amp; Tolin, 2016)", "plainTextFormattedCitation" : "(Frost, Ong, Steketee, &amp; Tolin, 2016)", "previouslyFormattedCitation" : "(Frost, Ong, Steketee, &amp; Tolin, 2016)" }, "properties" : { "noteIndex" : 0 }, "schema" : "https://github.com/citation-style-language/schema/raw/master/csl-citation.json" }</w:instrText>
      </w:r>
      <w:r w:rsidR="00625CD5">
        <w:fldChar w:fldCharType="separate"/>
      </w:r>
      <w:r w:rsidR="00625CD5" w:rsidRPr="00625CD5">
        <w:rPr>
          <w:noProof/>
        </w:rPr>
        <w:t>(Frost, Ong, Steketee, &amp; Tolin, 2016)</w:t>
      </w:r>
      <w:r w:rsidR="00625CD5">
        <w:fldChar w:fldCharType="end"/>
      </w:r>
      <w:r w:rsidRPr="00981D9A">
        <w:t>, which suggests that the act of discarding may be more emotionally activating for these individuals. In addition, emotion dysregulation and intolerance of distress appear to be linked to hoarding severity</w:t>
      </w:r>
      <w:r w:rsidR="007463C0">
        <w:t xml:space="preserve"> </w:t>
      </w:r>
      <w:r w:rsidR="007463C0">
        <w:fldChar w:fldCharType="begin" w:fldLock="1"/>
      </w:r>
      <w:r w:rsidR="001A3811">
        <w:instrText>ADDIN CSL_CITATION { "citationItems" : [ { "id" : "ITEM-1", "itemData" : { "DOI" : "10.1016/j.biotechadv.2011.08.021.Secreted", "ISBN" : "2122633255", "ISSN" : "15378276", "PMID" : "1000000221", "author" : [ { "dropping-particle" : "", "family" : "Timpano", "given" : "K. R.", "non-dropping-particle" : "", "parse-names" : false, "suffix" : "" }, { "dropping-particle" : "", "family" : "Buckner", "given" : "J. D.", "non-dropping-particle" : "", "parse-names" : false, "suffix" : "" }, { "dropping-particle" : "", "family" : "Richey", "given" : "J. A.", "non-dropping-particle" : "", "parse-names" : false, "suffix" : "" }, { "dropping-particle" : "", "family" : "Murphy", "given" : "D. L.", "non-dropping-particle" : "", "parse-names" : false, "suffix" : "" }, { "dropping-particle" : "", "family" : "Schmidt", "given" : "N. B.", "non-dropping-particle" : "", "parse-names" : false, "suffix" : "" } ], "container-title" : "Depression and Anxiety", "id" : "ITEM-1", "issue" : "4", "issued" : { "date-parts" : [ [ "2009" ] ] }, "page" : "343-353", "title" : "Exploration of anxiety sensitivity and distress tolerance as vulnerability factors for hoarding behaviors", "type" : "article-journal", "volume" : "26" }, "uris" : [ "http://www.mendeley.com/documents/?uuid=a4863e19-8ae5-46a5-991f-134f6c03e5cf" ] }, { "id" : "ITEM-2", "itemData" : { "DOI" : "10.1016/j.beth.2014.04.002", "ISSN" : "00057894", "author" : [ { "dropping-particle" : "", "family" : "Timpano", "given" : "Kiara R.", "non-dropping-particle" : "", "parse-names" : false, "suffix" : "" }, { "dropping-particle" : "", "family" : "Shaw", "given" : "Ashley M.", "non-dropping-particle" : "", "parse-names" : false, "suffix" : "" }, { "dropping-particle" : "", "family" : "Cougle", "given" : "Jesse R.", "non-dropping-particle" : "", "parse-names" : false, "suffix" : "" }, { "dropping-particle" : "", "family" : "Fitch", "given" : "Kristin E.", "non-dropping-particle" : "", "parse-names" : false, "suffix" : "" } ], "container-title" : "Behavior Therapy", "id" : "ITEM-2", "issued" : { "date-parts" : [ [ "2014" ] ] }, "page" : "690-699", "publisher" : "Elsevier B.V.", "title" : "A multifaceted assessment of emotional tolerance and intensity in hoarding", "type" : "article-journal", "volume" : "45" }, "uris" : [ "http://www.mendeley.com/documents/?uuid=ce936080-24f4-45dd-ac2b-dba5adcfd0d8" ] } ], "mendeley" : { "formattedCitation" : "(K. R. Timpano, Buckner, Richey, Murphy, &amp; Schmidt, 2009; Kiara R. Timpano, Shaw, Cougle, &amp; Fitch, 2014)", "manualFormatting" : "(Timpano, Buckner, Richey, Murphy, &amp; Schmidt, 2009; Timpano, Shaw, Cougle, &amp; Fitch, 2014)", "plainTextFormattedCitation" : "(K. R. Timpano, Buckner, Richey, Murphy, &amp; Schmidt, 2009; Kiara R. Timpano, Shaw, Cougle, &amp; Fitch, 2014)", "previouslyFormattedCitation" : "(K. R. Timpano, Buckner, Richey, Murphy, &amp; Schmidt, 2009; Kiara R. Timpano, Shaw, Cougle, &amp; Fitch, 2014)" }, "properties" : { "noteIndex" : 0 }, "schema" : "https://github.com/citation-style-language/schema/raw/master/csl-citation.json" }</w:instrText>
      </w:r>
      <w:r w:rsidR="007463C0">
        <w:fldChar w:fldCharType="separate"/>
      </w:r>
      <w:r w:rsidR="007463C0">
        <w:rPr>
          <w:noProof/>
        </w:rPr>
        <w:t>(</w:t>
      </w:r>
      <w:r w:rsidR="007463C0" w:rsidRPr="007463C0">
        <w:rPr>
          <w:noProof/>
        </w:rPr>
        <w:t>Timpano, Buckner, Richey, Murphy, &amp; Schmidt, 2009; Timpano, Shaw, Cougle, &amp; Fitch, 2014)</w:t>
      </w:r>
      <w:r w:rsidR="007463C0">
        <w:fldChar w:fldCharType="end"/>
      </w:r>
      <w:r w:rsidRPr="00981D9A">
        <w:t xml:space="preserve">. Thus, </w:t>
      </w:r>
      <w:r w:rsidR="009B4396">
        <w:t xml:space="preserve">research indicates that hoarding may develop and </w:t>
      </w:r>
      <w:r w:rsidR="00580CF5">
        <w:t>be maintained</w:t>
      </w:r>
      <w:r w:rsidR="009B4396">
        <w:t xml:space="preserve"> due to both internal experiences (e.g., cognitions, distress) and how individuals respond to these internal experiences</w:t>
      </w:r>
      <w:r w:rsidRPr="00981D9A">
        <w:t xml:space="preserve">. </w:t>
      </w:r>
    </w:p>
    <w:p w14:paraId="288DC9FB" w14:textId="7A4058F8" w:rsidR="009412D5" w:rsidRPr="00981D9A" w:rsidRDefault="009412D5" w:rsidP="00467D55">
      <w:pPr>
        <w:spacing w:line="480" w:lineRule="auto"/>
        <w:ind w:firstLine="720"/>
        <w:contextualSpacing/>
      </w:pPr>
      <w:r w:rsidRPr="00981D9A">
        <w:t xml:space="preserve">The inability to respond to internal experiences in an effective way can be described as </w:t>
      </w:r>
      <w:r w:rsidR="008A471E">
        <w:t>psychological inflexibility</w:t>
      </w:r>
      <w:r w:rsidRPr="00981D9A">
        <w:t xml:space="preserve">, wherein behaviors are controlled by thoughts and feelings, rather than important life domains or values </w:t>
      </w:r>
      <w:r w:rsidRPr="00981D9A">
        <w:fldChar w:fldCharType="begin"/>
      </w:r>
      <w:r w:rsidR="00A9449A">
        <w:instrText xml:space="preserve"> ADDIN EN.CITE &lt;EndNote&gt;&lt;Cite&gt;&lt;Author&gt;Hayes&lt;/Author&gt;&lt;Year&gt;2006&lt;/Year&gt;&lt;RecNum&gt;266&lt;/RecNum&gt;&lt;DisplayText&gt;(Hayes, Luoma, Bond, Masuda, &amp;amp; Lillis, 2006)&lt;/DisplayText&gt;&lt;record&gt;&lt;rec-number&gt;266&lt;/rec-number&gt;&lt;foreign-keys&gt;&lt;key app="EN" db-id="sftfe0ewbpe5txea5e0x00d3v0pwz2rfw90s" timestamp="1499914360"&gt;266&lt;/key&gt;&lt;key app="ENWeb" db-id=""&gt;0&lt;/key&gt;&lt;/foreign-keys&gt;&lt;ref-type name="Journal Article"&gt;17&lt;/ref-type&gt;&lt;contributors&gt;&lt;authors&gt;&lt;author&gt;Hayes, S. C.&lt;/author&gt;&lt;author&gt;Luoma, J. B.&lt;/author&gt;&lt;author&gt;Bond, F. W.&lt;/author&gt;&lt;author&gt;Masuda, A.&lt;/author&gt;&lt;author&gt;Lillis, J.&lt;/author&gt;&lt;/authors&gt;&lt;/contributors&gt;&lt;auth-address&gt;Department of Psychology, University of Nevada, Reno, NV 89557-0062, USA. hayes@unr.edu&lt;/auth-address&gt;&lt;titles&gt;&lt;title&gt;Acceptance and commitment therapy: model, processes and outcomes&lt;/title&gt;&lt;secondary-title&gt;Behav Res Ther&lt;/secondary-title&gt;&lt;/titles&gt;&lt;periodical&gt;&lt;full-title&gt;Behav Res Ther&lt;/full-title&gt;&lt;/periodical&gt;&lt;pages&gt;1-25&lt;/pages&gt;&lt;volume&gt;44&lt;/volume&gt;&lt;number&gt;1&lt;/number&gt;&lt;keywords&gt;&lt;keyword&gt;Cognitive Therapy/*methods&lt;/keyword&gt;&lt;keyword&gt;Humans&lt;/keyword&gt;&lt;keyword&gt;Mental Disorders/psychology/*therapy&lt;/keyword&gt;&lt;keyword&gt;*Models, Psychological&lt;/keyword&gt;&lt;keyword&gt;Randomized Controlled Trials as Topic&lt;/keyword&gt;&lt;keyword&gt;Self Concept&lt;/keyword&gt;&lt;keyword&gt;Treatment Outcome&lt;/keyword&gt;&lt;/keywords&gt;&lt;dates&gt;&lt;year&gt;2006&lt;/year&gt;&lt;pub-dates&gt;&lt;date&gt;Jan&lt;/date&gt;&lt;/pub-dates&gt;&lt;/dates&gt;&lt;isbn&gt;0005-7967 (Print)&amp;#xD;0005-7967 (Linking)&lt;/isbn&gt;&lt;accession-num&gt;16300724&lt;/accession-num&gt;&lt;urls&gt;&lt;related-urls&gt;&lt;url&gt;https://www.ncbi.nlm.nih.gov/pubmed/16300724&lt;/url&gt;&lt;/related-urls&gt;&lt;/urls&gt;&lt;electronic-resource-num&gt;10.1016/j.brat.2005.06.006&lt;/electronic-resource-num&gt;&lt;/record&gt;&lt;/Cite&gt;&lt;/EndNote&gt;</w:instrText>
      </w:r>
      <w:r w:rsidRPr="00981D9A">
        <w:fldChar w:fldCharType="separate"/>
      </w:r>
      <w:r w:rsidR="00A9449A">
        <w:rPr>
          <w:noProof/>
        </w:rPr>
        <w:t>(Hayes, Luoma, Bond, Masuda, &amp; Lillis, 2006)</w:t>
      </w:r>
      <w:r w:rsidRPr="00981D9A">
        <w:fldChar w:fldCharType="end"/>
      </w:r>
      <w:r w:rsidRPr="00981D9A">
        <w:t xml:space="preserve">. </w:t>
      </w:r>
      <w:r w:rsidR="008A471E">
        <w:t xml:space="preserve">Psychological inflexibility is hypothesized to be a primary cause of psychopathology, and includes multiple component processes: experiential avoidance, cognitive fusion, attachment to a conceptualized self, unclear values, lack of valued action, and inflexible attention to the </w:t>
      </w:r>
      <w:r w:rsidR="008A471E">
        <w:lastRenderedPageBreak/>
        <w:t xml:space="preserve">conceptualized past/future (Hayes et al., 2006).  </w:t>
      </w:r>
      <w:r w:rsidR="00484CC2">
        <w:t>In the context of hoarding, psychological inflexibility may manifest as responding to thoughts as if they reflect reality (e.g., “I would not be able to live without this diary”) rather than as thoughts that show up in the mind, which then lead</w:t>
      </w:r>
      <w:r w:rsidR="00580CF5">
        <w:t>s</w:t>
      </w:r>
      <w:r w:rsidR="00484CC2">
        <w:t xml:space="preserve"> to saving. Individuals may also hoard as a means to control distress (e.g., saving to avoid sadness from discarding), at the expense of valued life outcomes</w:t>
      </w:r>
      <w:r w:rsidR="00D32749">
        <w:t xml:space="preserve">, </w:t>
      </w:r>
      <w:r w:rsidR="008A471E">
        <w:t xml:space="preserve">which would be a form of </w:t>
      </w:r>
      <w:r w:rsidR="00D32749">
        <w:t>experiential avoidance</w:t>
      </w:r>
      <w:r w:rsidR="00484CC2">
        <w:t xml:space="preserve">. </w:t>
      </w:r>
      <w:r w:rsidRPr="00981D9A">
        <w:t>Psychological inflexibility has been associated with a range of mental health concerns and life outcomes, including anxiety, depression, and job performanc</w:t>
      </w:r>
      <w:r w:rsidR="007463C0">
        <w:t xml:space="preserve">e </w:t>
      </w:r>
      <w:r w:rsidR="007463C0">
        <w:fldChar w:fldCharType="begin" w:fldLock="1"/>
      </w:r>
      <w:r w:rsidR="008E3E28">
        <w:instrText>ADDIN CSL_CITATION { "citationItems" : [ { "id" : "ITEM-1", "itemData" : { "DOI" : "10.1016/j.beth.2011.03.007", "ISBN" : "0005-7894", "ISSN" : "00057894", "PMID" : "22035996", "abstract" : "The present research describes the development and psychometric evaluation of a second version of the Acceptance and Action Questionnaire (AAQ-II), which assesses the construct referred to as, variously, acceptance, experiential avoidance, and psychological inflexibility. Results from 2,816 participants across six samples indicate the satisfactory structure, reliability, and validity of this measure. For example, the mean alpha coefficient is .84 (.78-.88), and the 3- and 12-month test-retest reliability is .81 and .79, respectively. Results indicate that AAQ-II scores concurrently, longitudinally, and incrementally predict a range of outcomes, from mental health to work absence rates, that are consistent with its underlying theory. The AAQ-II also demonstrates appropriate discriminant validity. The AAQ-II appears to measure the same concept as the AAQ-I (r=.97) but with better psychometric consistency. \u00a9 2011.", "author" : [ { "dropping-particle" : "", "family" : "Bond", "given" : "Frank W.", "non-dropping-particle" : "", "parse-names" : false, "suffix" : "" }, { "dropping-particle" : "", "family" : "Hayes", "given" : "Steven C.", "non-dropping-particle" : "", "parse-names" : false, "suffix" : "" }, { "dropping-particle" : "", "family" : "Baer", "given" : "Ruth A.", "non-dropping-particle" : "", "parse-names" : false, "suffix" : "" }, { "dropping-particle" : "", "family" : "Carpenter", "given" : "Kenneth M.", "non-dropping-particle" : "", "parse-names" : false, "suffix" : "" }, { "dropping-particle" : "", "family" : "Guenole", "given" : "Nigel", "non-dropping-particle" : "", "parse-names" : false, "suffix" : "" }, { "dropping-particle" : "", "family" : "Orcutt", "given" : "Holly K.", "non-dropping-particle" : "", "parse-names" : false, "suffix" : "" }, { "dropping-particle" : "", "family" : "Waltz", "given" : "Tom", "non-dropping-particle" : "", "parse-names" : false, "suffix" : "" }, { "dropping-particle" : "", "family" : "Zettle", "given" : "Robert D.", "non-dropping-particle" : "", "parse-names" : false, "suffix" : "" } ], "container-title" : "Behavior Therapy", "id" : "ITEM-1", "issued" : { "date-parts" : [ [ "2011" ] ] }, "page" : "676-688", "publisher" : "Elsevier B.V.", "title" : "Preliminary psychometric properties of the Acceptance and Action Questionnaire-II: A revised measure of psychological inflexibility and experiential avoidance", "type" : "article-journal", "volume" : "42" }, "uris" : [ "http://www.mendeley.com/documents/?uuid=c525203b-e6dc-466f-abf6-e13ef29ed472" ] }, { "id" : "ITEM-2", "itemData" : { "DOI" : "10.1016/j.cpr.2010.03.001.Psychological", "author" : [ { "dropping-particle" : "", "family" : "Kashdan", "given" : "Todd B", "non-dropping-particle" : "", "parse-names" : false, "suffix" : "" }, { "dropping-particle" : "", "family" : "Rottenberg", "given" : "Jonathan", "non-dropping-particle" : "", "parse-names" : false, "suffix" : "" } ], "container-title" : "Clinical Psychology Review", "id" : "ITEM-2", "issued" : { "date-parts" : [ [ "2011" ] ] }, "page" : "865-878", "title" : "Psychological flexibility as a fundamental aspect of health", "type" : "article-journal", "volume" : "30" }, "uris" : [ "http://www.mendeley.com/documents/?uuid=418a192a-68b7-442d-ae6a-96daa98247d4" ] }, { "id" : "ITEM-3", "itemData" : { "DOI" : "10.1016/j.jcbs.2014.06.003", "ISSN" : "22121447", "abstract" : "The current cross-sectional study examined psychological inflexibility, a process in which behavior is rigidly guided by psychological reactions rather than direct contingencies or personal values, as a transdiagnostic process relevant to a range of depressive, anxiety, substance use and eating disorders. A sample of 972 first-year college students between 17 and 20 years of age completed self-report measures of psychological inflexibility and psychological distress as well as a structured diagnostic interview. Psychological inflexibility was significantly higher across a range of current and lifetime depressive and anxiety disorders as well as lifetime history of eating disorders, relative to students with no disorder, even after controlling for general psychological distress. Findings were mixed for substance use disorders, with a more consistent pattern for lifetime history than for current disorders. Psychological inflexibility was also related to having comorbid depressive, anxiety, and substance use disorders relative to only having one of these diagnoses. Results are discussed in relation to research on psychological inflexibility as a transdiagnostic pathological process and target for interventions. \u00a9 2014 Association for Contextual Behavioral Science.", "author" : [ { "dropping-particle" : "", "family" : "Levin", "given" : "Michael E.", "non-dropping-particle" : "", "parse-names" : false, "suffix" : "" }, { "dropping-particle" : "", "family" : "MacLane", "given" : "Chelsea", "non-dropping-particle" : "", "parse-names" : false, "suffix" : "" }, { "dropping-particle" : "", "family" : "Daflos", "given" : "Susan", "non-dropping-particle" : "", "parse-names" : false, "suffix" : "" }, { "dropping-particle" : "", "family" : "Seeley", "given" : "John R.", "non-dropping-particle" : "", "parse-names" : false, "suffix" : "" }, { "dropping-particle" : "", "family" : "Hayes", "given" : "Steven C.", "non-dropping-particle" : "", "parse-names" : false, "suffix" : "" }, { "dropping-particle" : "", "family" : "Biglan", "given" : "Anthony", "non-dropping-particle" : "", "parse-names" : false, "suffix" : "" }, { "dropping-particle" : "", "family" : "Pistorello", "given" : "Jacqueline", "non-dropping-particle" : "", "parse-names" : false, "suffix" : "" } ], "container-title" : "Journal of Contextual Behavioral Science", "id" : "ITEM-3", "issued" : { "date-parts" : [ [ "2014" ] ] }, "page" : "155-163", "title" : "Examining psychological inflexibility as a transdiagnostic process across psychological disorders", "type" : "article-journal", "volume" : "3" }, "uris" : [ "http://www.mendeley.com/documents/?uuid=ccce21fe-5664-4fba-a47f-b331b08014b5" ] }, { "id" : "ITEM-4", "itemData" : { "DOI" : "10.1016/j.janxdis.2014.06.008", "ISSN" : "18737897", "PMID" : "25041735", "abstract" : "A fair amount of research exists on acceptance and commitment therapy (ACT) as a model and a treatment for anxiety disorders and OCD spectrum disorders; this paper offers a quantitative account of this research. A meta-analysis is presented examining the relationship between psychological flexibility, measured by versions of the Acceptance and Action Questionnaire (AAQ and AAQ-II) and measures of anxiety. Meta-analytic results showed positive and significant relationships between the AAQ and general measures of anxiety as well as disorder specific measures. Additionally, all outcome data to date on ACT for anxiety and OCD spectrum disorders are reviewed, as are data on mediation and moderation within ACT. Preliminary meta-analytic results show that ACT is equally effective as manualized treatments such as cognitive behavioral therapy. Future directions and limitations of the research are discussed. \u00a9 2014.", "author" : [ { "dropping-particle" : "", "family" : "Bluett", "given" : "Ellen J.", "non-dropping-particle" : "", "parse-names" : false, "suffix" : "" }, { "dropping-particle" : "", "family" : "Homan", "given" : "Kendra J.", "non-dropping-particle" : "", "parse-names" : false, "suffix" : "" }, { "dropping-particle" : "", "family" : "Morrison", "given" : "Kate L.", "non-dropping-particle" : "", "parse-names" : false, "suffix" : "" }, { "dropping-particle" : "", "family" : "Levin", "given" : "Michael E.", "non-dropping-particle" : "", "parse-names" : false, "suffix" : "" }, { "dropping-particle" : "", "family" : "Twohig", "given" : "Michael P.", "non-dropping-particle" : "", "parse-names" : false, "suffix" : "" } ], "container-title" : "Journal of Anxiety Disorders", "id" : "ITEM-4", "issue" : "6", "issued" : { "date-parts" : [ [ "2014" ] ] }, "page" : "612-624", "publisher" : "Elsevier Ltd", "title" : "Acceptance and commitment therapy for anxiety and OCD spectrum disorders: An empirical review", "type" : "article-journal", "volume" : "28" }, "uris" : [ "http://www.mendeley.com/documents/?uuid=1de5d9f0-e1a7-4dcf-83c0-5fc57b41b7d0" ] } ], "mendeley" : { "formattedCitation" : "(Bluett, Homan, Morrison, Levin, &amp; Twohig, 2014; Bond et al., 2011; Kashdan &amp; Rottenberg, 2011; Michael E. Levin et al., 2014)", "manualFormatting" : "(Bond et al., 2011; Kashdan &amp; Rottenberg, 2011; Levin, MacLane et al., 2014)", "plainTextFormattedCitation" : "(Bluett, Homan, Morrison, Levin, &amp; Twohig, 2014; Bond et al., 2011; Kashdan &amp; Rottenberg, 2011; Michael E. Levin et al., 2014)", "previouslyFormattedCitation" : "(Bluett, Homan, Morrison, Levin, &amp; Twohig, 2014; Bond et al., 2011; Kashdan &amp; Rottenberg, 2011; Michael E. Levin et al., 2014)" }, "properties" : { "noteIndex" : 0 }, "schema" : "https://github.com/citation-style-language/schema/raw/master/csl-citation.json" }</w:instrText>
      </w:r>
      <w:r w:rsidR="007463C0">
        <w:fldChar w:fldCharType="separate"/>
      </w:r>
      <w:r w:rsidR="007463C0" w:rsidRPr="007463C0">
        <w:rPr>
          <w:noProof/>
        </w:rPr>
        <w:t>(</w:t>
      </w:r>
      <w:r w:rsidR="008E3E28">
        <w:rPr>
          <w:noProof/>
        </w:rPr>
        <w:t xml:space="preserve">Bluett et al., 2014; </w:t>
      </w:r>
      <w:r w:rsidR="007463C0" w:rsidRPr="007463C0">
        <w:rPr>
          <w:noProof/>
        </w:rPr>
        <w:t>Bond et al., 2011; Kashdan &amp; Rottenberg, 2011; Levin</w:t>
      </w:r>
      <w:r w:rsidR="00194ED1">
        <w:rPr>
          <w:noProof/>
        </w:rPr>
        <w:t>, MacLane</w:t>
      </w:r>
      <w:r w:rsidR="007463C0" w:rsidRPr="007463C0">
        <w:rPr>
          <w:noProof/>
        </w:rPr>
        <w:t xml:space="preserve"> et al., 2014)</w:t>
      </w:r>
      <w:r w:rsidR="007463C0">
        <w:fldChar w:fldCharType="end"/>
      </w:r>
      <w:r w:rsidR="005B13B8">
        <w:t>.</w:t>
      </w:r>
      <w:r w:rsidRPr="00981D9A">
        <w:t xml:space="preserve"> </w:t>
      </w:r>
    </w:p>
    <w:p w14:paraId="628A7AD2" w14:textId="0688F0D2" w:rsidR="009412D5" w:rsidRPr="00981D9A" w:rsidRDefault="005C41B1" w:rsidP="00C87B6D">
      <w:pPr>
        <w:spacing w:line="480" w:lineRule="auto"/>
        <w:ind w:firstLine="720"/>
        <w:contextualSpacing/>
      </w:pPr>
      <w:r>
        <w:t xml:space="preserve">Psychological inflexibility is a promising pathological process to study in hoarding because treatments have been developed to specifically target inflexibility, most notably </w:t>
      </w:r>
      <w:r w:rsidR="009412D5" w:rsidRPr="00981D9A">
        <w:t xml:space="preserve">acceptance and commitment therapy </w:t>
      </w:r>
      <w:r w:rsidR="009412D5" w:rsidRPr="00981D9A">
        <w:fldChar w:fldCharType="begin"/>
      </w:r>
      <w:r w:rsidR="00A9449A">
        <w:instrText xml:space="preserve"> ADDIN EN.CITE &lt;EndNote&gt;&lt;Cite&gt;&lt;Author&gt;Hayes&lt;/Author&gt;&lt;Year&gt;2006&lt;/Year&gt;&lt;RecNum&gt;266&lt;/RecNum&gt;&lt;Prefix&gt;ACT`; &lt;/Prefix&gt;&lt;DisplayText&gt;(ACT; Hayes et al., 2006)&lt;/DisplayText&gt;&lt;record&gt;&lt;rec-number&gt;266&lt;/rec-number&gt;&lt;foreign-keys&gt;&lt;key app="EN" db-id="sftfe0ewbpe5txea5e0x00d3v0pwz2rfw90s" timestamp="1499914360"&gt;266&lt;/key&gt;&lt;key app="ENWeb" db-id=""&gt;0&lt;/key&gt;&lt;/foreign-keys&gt;&lt;ref-type name="Journal Article"&gt;17&lt;/ref-type&gt;&lt;contributors&gt;&lt;authors&gt;&lt;author&gt;Hayes, S. C.&lt;/author&gt;&lt;author&gt;Luoma, J. B.&lt;/author&gt;&lt;author&gt;Bond, F. W.&lt;/author&gt;&lt;author&gt;Masuda, A.&lt;/author&gt;&lt;author&gt;Lillis, J.&lt;/author&gt;&lt;/authors&gt;&lt;/contributors&gt;&lt;auth-address&gt;Department of Psychology, University of Nevada, Reno, NV 89557-0062, USA. hayes@unr.edu&lt;/auth-address&gt;&lt;titles&gt;&lt;title&gt;Acceptance and commitment therapy: model, processes and outcomes&lt;/title&gt;&lt;secondary-title&gt;Behav Res Ther&lt;/secondary-title&gt;&lt;/titles&gt;&lt;periodical&gt;&lt;full-title&gt;Behav Res Ther&lt;/full-title&gt;&lt;/periodical&gt;&lt;pages&gt;1-25&lt;/pages&gt;&lt;volume&gt;44&lt;/volume&gt;&lt;number&gt;1&lt;/number&gt;&lt;keywords&gt;&lt;keyword&gt;Cognitive Therapy/*methods&lt;/keyword&gt;&lt;keyword&gt;Humans&lt;/keyword&gt;&lt;keyword&gt;Mental Disorders/psychology/*therapy&lt;/keyword&gt;&lt;keyword&gt;*Models, Psychological&lt;/keyword&gt;&lt;keyword&gt;Randomized Controlled Trials as Topic&lt;/keyword&gt;&lt;keyword&gt;Self Concept&lt;/keyword&gt;&lt;keyword&gt;Treatment Outcome&lt;/keyword&gt;&lt;/keywords&gt;&lt;dates&gt;&lt;year&gt;2006&lt;/year&gt;&lt;pub-dates&gt;&lt;date&gt;Jan&lt;/date&gt;&lt;/pub-dates&gt;&lt;/dates&gt;&lt;isbn&gt;0005-7967 (Print)&amp;#xD;0005-7967 (Linking)&lt;/isbn&gt;&lt;accession-num&gt;16300724&lt;/accession-num&gt;&lt;urls&gt;&lt;related-urls&gt;&lt;url&gt;https://www.ncbi.nlm.nih.gov/pubmed/16300724&lt;/url&gt;&lt;/related-urls&gt;&lt;/urls&gt;&lt;electronic-resource-num&gt;10.1016/j.brat.2005.06.006&lt;/electronic-resource-num&gt;&lt;/record&gt;&lt;/Cite&gt;&lt;/EndNote&gt;</w:instrText>
      </w:r>
      <w:r w:rsidR="009412D5" w:rsidRPr="00981D9A">
        <w:fldChar w:fldCharType="separate"/>
      </w:r>
      <w:r w:rsidR="00A9449A">
        <w:rPr>
          <w:noProof/>
        </w:rPr>
        <w:t>(ACT; Hayes et al., 2006)</w:t>
      </w:r>
      <w:r w:rsidR="009412D5" w:rsidRPr="00981D9A">
        <w:fldChar w:fldCharType="end"/>
      </w:r>
      <w:r w:rsidR="009412D5" w:rsidRPr="00981D9A">
        <w:t xml:space="preserve">. ACT has been used with individuals with anxiety disorders, obsessive-compulsive and related disorders, and depression, with clinical findings indicating that ACT performs similarly to existing treatments (e.g., cognitive behavioral therapy) for those conditions </w:t>
      </w:r>
      <w:r w:rsidR="00C87B6D">
        <w:fldChar w:fldCharType="begin" w:fldLock="1"/>
      </w:r>
      <w:r w:rsidR="008E3E28">
        <w:instrText>ADDIN CSL_CITATION { "citationItems" : [ { "id" : "ITEM-1", "itemData" : { "DOI" : "10.1159/000365764", "author" : [ { "dropping-particle" : "", "family" : "A-Tjak", "given" : "Jacqueline G. L.", "non-dropping-particle" : "", "parse-names" : false, "suffix" : "" }, { "dropping-particle" : "", "family" : "Davis", "given" : "Michelle L.", "non-dropping-particle" : "", "parse-names" : false, "suffix" : "" }, { "dropping-particle" : "", "family" : "Morina", "given" : "Nexhmedin", "non-dropping-particle" : "", "parse-names" : false, "suffix" : "" }, { "dropping-particle" : "", "family" : "Powers", "given" : "Mark B.", "non-dropping-particle" : "", "parse-names" : false, "suffix" : "" }, { "dropping-particle" : "", "family" : "Smits", "given" : "Jasper A. J.", "non-dropping-particle" : "", "parse-names" : false, "suffix" : "" }, { "dropping-particle" : "", "family" : "Emmelkamp", "given" : "Paul M G", "non-dropping-particle" : "", "parse-names" : false, "suffix" : "" } ], "container-title" : "Psychotherapy and Psychosomatics", "id" : "ITEM-1", "issued" : { "date-parts" : [ [ "2015" ] ] }, "page" : "30-36", "title" : "A meta-analysis of the efficacy of acceptance and commitment therapy for clinically relevant mental and physical health problems", "type" : "article-journal", "volume" : "84" }, "uris" : [ "http://www.mendeley.com/documents/?uuid=fa9bd44c-f90c-4acb-9845-a91c80bf069f" ] }, { "id" : "ITEM-2", "itemData" : { "DOI" : "10.1016/j.janxdis.2014.06.008", "ISSN" : "18737897", "PMID" : "25041735", "abstract" : "A fair amount of research exists on acceptance and commitment therapy (ACT) as a model and a treatment for anxiety disorders and OCD spectrum disorders; this paper offers a quantitative account of this research. A meta-analysis is presented examining the relationship between psychological flexibility, measured by versions of the Acceptance and Action Questionnaire (AAQ and AAQ-II) and measures of anxiety. Meta-analytic results showed positive and significant relationships between the AAQ and general measures of anxiety as well as disorder specific measures. Additionally, all outcome data to date on ACT for anxiety and OCD spectrum disorders are reviewed, as are data on mediation and moderation within ACT. Preliminary meta-analytic results show that ACT is equally effective as manualized treatments such as cognitive behavioral therapy. Future directions and limitations of the research are discussed. \u00a9 2014.", "author" : [ { "dropping-particle" : "", "family" : "Bluett", "given" : "Ellen J.", "non-dropping-particle" : "", "parse-names" : false, "suffix" : "" }, { "dropping-particle" : "", "family" : "Homan", "given" : "Kendra J.", "non-dropping-particle" : "", "parse-names" : false, "suffix" : "" }, { "dropping-particle" : "", "family" : "Morrison", "given" : "Kate L.", "non-dropping-particle" : "", "parse-names" : false, "suffix" : "" }, { "dropping-particle" : "", "family" : "Levin", "given" : "Michael E.", "non-dropping-particle" : "", "parse-names" : false, "suffix" : "" }, { "dropping-particle" : "", "family" : "Twohig", "given" : "Michael P.", "non-dropping-particle" : "", "parse-names" : false, "suffix" : "" } ], "container-title" : "Journal of Anxiety Disorders", "id" : "ITEM-2", "issue" : "6", "issued" : { "date-parts" : [ [ "2014" ] ] }, "page" : "612-624", "publisher" : "Elsevier Ltd", "title" : "Acceptance and commitment therapy for anxiety and OCD spectrum disorders: An empirical review", "type" : "article-journal", "volume" : "28" }, "uris" : [ "http://www.mendeley.com/documents/?uuid=1de5d9f0-e1a7-4dcf-83c0-5fc57b41b7d0" ] }, { "id" : "ITEM-3", "itemData" : { "DOI" : "10.1177/0145445507302202", "ISBN" : "0145-4455", "ISSN" : "0145-4455", "PMID" : "17932235", "abstract" : "Acceptance and commitment therapy (ACT) has a small but growing database of support. One hundred and one heterogeneous outpatients reporting moderate to severe levels of anxiety or depression were randomly assigned to traditional cognitive therapy (CT) or to ACT. To maximize external validity, the authors utilized very minimal exclusion criteria. Participants receiving CT and ACT evidenced large, equivalent improvements in depression, anxiety, functioning difficulties, quality of life, life satisfaction, and clinician-rated functioning. Whereas improvements were equivalent across the two groups, the mechanisms of action appeared to differ. Changes in \"observing\" and \"describing\" one's experiences appeared to mediate outcomes for the CT group relative to the ACT group, whereas \"experiential avoidance,\" \"acting with awareness,\" and \"acceptance\" mediated outcomes for the ACT group. Overall, the results suggest that ACT is a viable and disseminable treatment, the effectiveness of which appears equivalent to that of CT, even as its mechanisms appear to be distinct.", "author" : [ { "dropping-particle" : "", "family" : "Forman", "given" : "Evan M", "non-dropping-particle" : "", "parse-names" : false, "suffix" : "" }, { "dropping-particle" : "", "family" : "Herbert", "given" : "James D", "non-dropping-particle" : "", "parse-names" : false, "suffix" : "" }, { "dropping-particle" : "", "family" : "Moitra", "given" : "Ethan", "non-dropping-particle" : "", "parse-names" : false, "suffix" : "" }, { "dropping-particle" : "", "family" : "Yeomans", "given" : "Peter D", "non-dropping-particle" : "", "parse-names" : false, "suffix" : "" }, { "dropping-particle" : "", "family" : "Geller", "given" : "Pamela a", "non-dropping-particle" : "", "parse-names" : false, "suffix" : "" } ], "container-title" : "Behavior modification", "id" : "ITEM-3", "issue" : "6", "issued" : { "date-parts" : [ [ "2007" ] ] }, "page" : "772-799", "title" : "A randomized controlled effectiveness trial of acceptance and commitment therapy and cognitive therapy for anxiety and depression.", "type" : "article-journal", "volume" : "31" }, "uris" : [ "http://www.mendeley.com/documents/?uuid=f00af71d-aa98-44c7-b4d9-3249302626b5" ] } ], "mendeley" : { "formattedCitation" : "(A-Tjak et al., 2015; Bluett et al., 2014; Forman, Herbert, Moitra, Yeomans, &amp; Geller, 2007)", "plainTextFormattedCitation" : "(A-Tjak et al., 2015; Bluett et al., 2014; Forman, Herbert, Moitra, Yeomans, &amp; Geller, 2007)", "previouslyFormattedCitation" : "(A-Tjak et al., 2015; Bluett et al., 2014; Forman, Herbert, Moitra, Yeomans, &amp; Geller, 2007)" }, "properties" : { "noteIndex" : 0 }, "schema" : "https://github.com/citation-style-language/schema/raw/master/csl-citation.json" }</w:instrText>
      </w:r>
      <w:r w:rsidR="00C87B6D">
        <w:fldChar w:fldCharType="separate"/>
      </w:r>
      <w:r w:rsidR="008E3E28" w:rsidRPr="008E3E28">
        <w:rPr>
          <w:noProof/>
        </w:rPr>
        <w:t>(A-Tjak et al., 2015; Bluett et al., 2014; Forman, Herbert, Moitra, Yeomans, &amp; Geller, 2007)</w:t>
      </w:r>
      <w:r w:rsidR="00C87B6D">
        <w:fldChar w:fldCharType="end"/>
      </w:r>
      <w:r w:rsidR="009412D5" w:rsidRPr="00981D9A">
        <w:t>. Of note, these disorders are often comorbid with HD; 50.7% of a sample of individuals with HD were assigned a diagnosis of major depressive disorder, and 53.5% had an anxiety disorder diagnosis</w:t>
      </w:r>
      <w:r w:rsidR="00C87B6D">
        <w:t xml:space="preserve"> </w:t>
      </w:r>
      <w:r w:rsidR="00C87B6D">
        <w:fldChar w:fldCharType="begin" w:fldLock="1"/>
      </w:r>
      <w:r w:rsidR="004A5D63">
        <w:instrText>ADDIN CSL_CITATION { "citationItems" : [ { "id" : "ITEM-1", "itemData" : { "DOI" : "10.1002/da.20861", "ISBN" : "1091-4269\\r1520-6394", "ISSN" : "10914269", "PMID" : "21770000", "abstract" : "BACKGROUND: Hoarding Disorder (HD) is currently under consideration for inclusion as a distinct disorder in DSM-5 (1). Few studies have examined comorbidity patterns in people who hoard, and the ones that have suffer from serious methodological shortcomings including drawing from populations already diagnosed with obsessive compulsive disorder (OCD), using outdated definitions of hoarding, and relying on inadequate assessments of hoarding. The present study is the first large-scale study of comorbidity in a sample of people meeting recently proposed criteria for hoarding disorder (1) and relying on validated assessment procedures.\\n\\nMETHODS: We compared psychiatric comorbidity in a large HD sample (n = 217) to 96 participants meeting criteria for OCD without HD.\\n\\nRESULTS: High comorbidity rates were observed for major depressive disorder (MDD) as well as acquisition-related impulse control disorders (compulsive buying, kleptomania, and acquiring free things). Fewer than 20% of HD participants met criteria for OCD, and the rate of OCD in HD was higher for men than women. Rates of MDD and acquisition-related impulse control disorders were higher among HD than OCD participants. No specific anxiety disorder was more frequent in HD, but social phobia was more frequent among men with HD than among men with OCD. Inattentive ADHD was diagnosed in 28% of HD participants and was significantly more frequent than among OCD participants (3%).\\n\\nCONCLUSIONS: These findings form important base rates for developing research and treatments for hoarding disorder.", "author" : [ { "dropping-particle" : "", "family" : "Frost", "given" : "Randy O.", "non-dropping-particle" : "", "parse-names" : false, "suffix" : "" }, { "dropping-particle" : "", "family" : "Steketee", "given" : "Gail", "non-dropping-particle" : "", "parse-names" : false, "suffix" : "" }, { "dropping-particle" : "", "family" : "Tolin", "given" : "David F.", "non-dropping-particle" : "", "parse-names" : false, "suffix" : "" } ], "container-title" : "Depression and Anxiety", "id" : "ITEM-1", "issued" : { "date-parts" : [ [ "2011" ] ] }, "page" : "876-884", "title" : "Comorbidity in hoarding disorder", "type" : "article-journal", "volume" : "28" }, "uris" : [ "http://www.mendeley.com/documents/?uuid=dda0f664-d594-4c64-97d0-748d05925e4d" ] } ], "mendeley" : { "formattedCitation" : "(Frost, Steketee, &amp; Tolin, 2011)", "plainTextFormattedCitation" : "(Frost, Steketee, &amp; Tolin, 2011)", "previouslyFormattedCitation" : "(Frost, Steketee, &amp; Tolin, 2011)" }, "properties" : { "noteIndex" : 0 }, "schema" : "https://github.com/citation-style-language/schema/raw/master/csl-citation.json" }</w:instrText>
      </w:r>
      <w:r w:rsidR="00C87B6D">
        <w:fldChar w:fldCharType="separate"/>
      </w:r>
      <w:r w:rsidR="00C87B6D" w:rsidRPr="00C87B6D">
        <w:rPr>
          <w:noProof/>
        </w:rPr>
        <w:t>(Frost, Steketee, &amp; Tolin, 2011)</w:t>
      </w:r>
      <w:r w:rsidR="00C87B6D">
        <w:fldChar w:fldCharType="end"/>
      </w:r>
      <w:r w:rsidR="009412D5" w:rsidRPr="00981D9A">
        <w:t xml:space="preserve">. </w:t>
      </w:r>
      <w:r>
        <w:t xml:space="preserve">Furthermore, mediational analyses consistently demonstrate that the impact of ACT on clinical outcomes in depression and anxiety disorders is mediated through reductions in psychological inflexibility (Twohig &amp; Levin, </w:t>
      </w:r>
      <w:r w:rsidR="003727A7">
        <w:t>2017</w:t>
      </w:r>
      <w:r>
        <w:t>).</w:t>
      </w:r>
    </w:p>
    <w:p w14:paraId="7596C5EB" w14:textId="7C344C27" w:rsidR="009412D5" w:rsidRPr="00981D9A" w:rsidRDefault="005C41B1" w:rsidP="00467D55">
      <w:pPr>
        <w:spacing w:line="480" w:lineRule="auto"/>
        <w:ind w:firstLine="720"/>
        <w:contextualSpacing/>
      </w:pPr>
      <w:r>
        <w:t xml:space="preserve">Psychological inflexibility may be an overarching pathological process relevant to treatment that accounts for how </w:t>
      </w:r>
      <w:r w:rsidR="009412D5" w:rsidRPr="00981D9A">
        <w:t xml:space="preserve">distress, maladaptive cognitions, and </w:t>
      </w:r>
      <w:r>
        <w:t>other internal experiences contribute to hoarding</w:t>
      </w:r>
      <w:r w:rsidR="009412D5" w:rsidRPr="00981D9A">
        <w:t xml:space="preserve">. However, empirical results on the relationship between psychological </w:t>
      </w:r>
      <w:r w:rsidR="009412D5" w:rsidRPr="00981D9A">
        <w:lastRenderedPageBreak/>
        <w:t>inflexibility and hoarding are mixed. One study did not find a significant association between psychological inflexibility and hoarding severity among individuals with HD, controlling for general psychopathology and hoarding beliefs</w:t>
      </w:r>
      <w:r w:rsidR="00FC2943">
        <w:t xml:space="preserve"> </w:t>
      </w:r>
      <w:r w:rsidR="004A5D63">
        <w:fldChar w:fldCharType="begin" w:fldLock="1"/>
      </w:r>
      <w:r w:rsidR="004A5D63">
        <w:instrText>ADDIN CSL_CITATION { "citationItems" : [ { "id" : "ITEM-1", "itemData" : { "DOI" : "10.1007/s10608-012-9511-2", "ISBN" : "0147-5916\\r1573-2819", "ISSN" : "01475916", "PMID" : "2013491293", "abstract" : "Hoarding disorder (HD) has received increased research attention. A cognitive-behavioral model implicates dysfunctional beliefs about possessions in these problems. Although this model has received growing support, other perspectives are needed. A recent investigation in an undergraduate sample reported that experiential avoidance (EA) predicted hoarding symptoms above and beyond hoarding-specific beliefs. The present study attempted to replicate and extend those findings in a clinical sample. We compared individuals meeting diagnostic criteria for HD (N = 33) to matched healthy controls (N = 30), as well as other anxiety disorders (N = 32). Results revealed that the HD group experienced less EA compared to individuals with other anxiety disorders. Compared to healthy control individuals, those with HD experienced heightened EA, but this difference was attributable to group differences in the symptoms of depression, anxiety and stress. Within the HD group, EA was not related to any domain of hoarding symptoms. In contrast, beliefs about possessions predicted hoarding behaviors (particularly excessive acquisition and difficulty discarding) above and beyond general distress. Implications for the role of EA in HD are discussed. \u00a9 2012 Springer Science+Business Media New York.", "author" : [ { "dropping-particle" : "", "family" : "Wheaton", "given" : "Michael G.", "non-dropping-particle" : "", "parse-names" : false, "suffix" : "" }, { "dropping-particle" : "", "family" : "Fabricant", "given" : "Laura E.", "non-dropping-particle" : "", "parse-names" : false, "suffix" : "" }, { "dropping-particle" : "", "family" : "Berman", "given" : "Noah C.", "non-dropping-particle" : "", "parse-names" : false, "suffix" : "" }, { "dropping-particle" : "", "family" : "Abramowitz", "given" : "Jonathan S.", "non-dropping-particle" : "", "parse-names" : false, "suffix" : "" } ], "container-title" : "Cognitive Therapy and Research", "id" : "ITEM-1", "issue" : "4", "issued" : { "date-parts" : [ [ "2013" ] ] }, "page" : "779-785", "title" : "Experiential avoidance in individuals with hoarding disorder", "type" : "article-journal", "volume" : "37" }, "uris" : [ "http://www.mendeley.com/documents/?uuid=2d6d630a-5e85-4d32-845b-4fbda0d4c87c" ] } ], "mendeley" : { "formattedCitation" : "(Wheaton, Fabricant, Berman, &amp; Abramowitz, 2013)", "plainTextFormattedCitation" : "(Wheaton, Fabricant, Berman, &amp; Abramowitz, 2013)", "previouslyFormattedCitation" : "(Wheaton, Fabricant, Berman, &amp; Abramowitz, 2013)" }, "properties" : { "noteIndex" : 0 }, "schema" : "https://github.com/citation-style-language/schema/raw/master/csl-citation.json" }</w:instrText>
      </w:r>
      <w:r w:rsidR="004A5D63">
        <w:fldChar w:fldCharType="separate"/>
      </w:r>
      <w:r w:rsidR="004A5D63" w:rsidRPr="004A5D63">
        <w:rPr>
          <w:noProof/>
        </w:rPr>
        <w:t>(Wheaton, Fabricant, Berman, &amp; Abramowitz, 2013)</w:t>
      </w:r>
      <w:r w:rsidR="004A5D63">
        <w:fldChar w:fldCharType="end"/>
      </w:r>
      <w:r w:rsidR="00032C8F">
        <w:t xml:space="preserve">. Yet, </w:t>
      </w:r>
      <w:r w:rsidR="009412D5" w:rsidRPr="00981D9A">
        <w:t>another study reported significant positive relations between psychological inflexibility and difficulty discarding as well as acquisition in a clinical sample, even after accounting for anxiety and depression</w:t>
      </w:r>
      <w:r w:rsidR="004A5D63">
        <w:t xml:space="preserve"> </w:t>
      </w:r>
      <w:r w:rsidR="004A5D63">
        <w:fldChar w:fldCharType="begin" w:fldLock="1"/>
      </w:r>
      <w:r w:rsidR="004A5D63">
        <w:instrText>ADDIN CSL_CITATION { "citationItems" : [ { "id" : "ITEM-1", "itemData" : { "DOI" : "10.1016/j.jbtep.2014.04.005", "ISSN" : "18737943", "PMID" : "24828750", "abstract" : "Background and objectives This study examined the relationship between experiential and behavioral avoidance and hoarding symptom severity, controlling for anxiety and depression symptoms, in 66 adult individuals (M age = 61.41; SD = 9.03) with HD. Methods Hierarchical regression was used to test the associations between hoarding severity, as defined by the Savings Inventory-Revised (SI-R) total and its three subscales, and avoidance, as defined by the Acceptance and Action Questionnaire II (AAQ-II) and two scales from the Brief COPE (Self-Distraction and Behavioral Disengagement) when controlling for anxiety and depression symptoms. Results Experiential avoidance (AAQ-II) and behavioral avoidance (Brief COPE subscales Self-Distraction and Behavioral Disengagement) uniquely accounted for aspects of hoarding severity (SI-R) in regression models. Behavioral avoidance contributed significant additional variance to the SI-R Clutter subscale, whereas experiential avoidance was uniquely predictive of additional variance in the SI-R Difficulty Discarding and the SI-R Acquisition subscales. Limitations Future research should examine the effect of experiential avoidance on hoarding behaviors experimentally. Conclusions Given that the AAQ-II and Self-Distraction and Behavioral Disengagement subscales were not correlated, these findings suggest that experiential and behavioral avoidance are two distinct processes contributing to the severity of specific HD. Results support the utility of avoidance in the cognitive-behavioral model for HD. \u00a9 2014 Elsevier Ltd. All rights reserved.", "author" : [ { "dropping-particle" : "", "family" : "Ayers", "given" : "Catherine R.", "non-dropping-particle" : "", "parse-names" : false, "suffix" : "" }, { "dropping-particle" : "", "family" : "Castriotta", "given" : "Natalie", "non-dropping-particle" : "", "parse-names" : false, "suffix" : "" }, { "dropping-particle" : "", "family" : "Dozier", "given" : "Mary E.", "non-dropping-particle" : "", "parse-names" : false, "suffix" : "" }, { "dropping-particle" : "", "family" : "Espejo", "given" : "Emmanuel P.", "non-dropping-particle" : "", "parse-names" : false, "suffix" : "" }, { "dropping-particle" : "", "family" : "Porter", "given" : "Ben", "non-dropping-particle" : "", "parse-names" : false, "suffix" : "" } ], "container-title" : "Journal of Behavior Therapy and Experimental Psychiatry", "id" : "ITEM-1", "issue" : "3", "issued" : { "date-parts" : [ [ "2014" ] ] }, "page" : "408-414", "publisher" : "Elsevier Ltd", "title" : "Behavioral and experiential avoidance in patients with hoarding disorder", "type" : "article-journal", "volume" : "45" }, "uris" : [ "http://www.mendeley.com/documents/?uuid=4c88640e-fe68-4f91-a7f3-abb2f3cfe816" ] } ], "mendeley" : { "formattedCitation" : "(Ayers, Castriotta, Dozier, Espejo, &amp; Porter, 2014)", "plainTextFormattedCitation" : "(Ayers, Castriotta, Dozier, Espejo, &amp; Porter, 2014)", "previouslyFormattedCitation" : "(Ayers, Castriotta, Dozier, Espejo, &amp; Porter, 2014)" }, "properties" : { "noteIndex" : 0 }, "schema" : "https://github.com/citation-style-language/schema/raw/master/csl-citation.json" }</w:instrText>
      </w:r>
      <w:r w:rsidR="004A5D63">
        <w:fldChar w:fldCharType="separate"/>
      </w:r>
      <w:r w:rsidR="004A5D63" w:rsidRPr="004A5D63">
        <w:rPr>
          <w:noProof/>
        </w:rPr>
        <w:t>(Ayers, Castriotta, Dozier, Espejo, &amp; Porter, 2014)</w:t>
      </w:r>
      <w:r w:rsidR="004A5D63">
        <w:fldChar w:fldCharType="end"/>
      </w:r>
      <w:r w:rsidR="00DC442F">
        <w:t>.</w:t>
      </w:r>
      <w:r w:rsidR="009412D5" w:rsidRPr="00981D9A">
        <w:fldChar w:fldCharType="begin">
          <w:fldData xml:space="preserve">PEVuZE5vdGU+PENpdGU+PEF1dGhvcj5BeWVyczwvQXV0aG9yPjxZZWFyPjIwMTQ8L1llYXI+PFJl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</w:fldData>
        </w:fldChar>
      </w:r>
      <w:r w:rsidR="00C12017">
        <w:instrText xml:space="preserve"> ADDIN EN.CITE </w:instrText>
      </w:r>
      <w:r w:rsidR="00C12017">
        <w:fldChar w:fldCharType="begin">
          <w:fldData xml:space="preserve">PEVuZE5vdGU+PENpdGU+PEF1dGhvcj5BeWVyczwvQXV0aG9yPjxZZWFyPjIwMTQ8L1llYXI+PFJl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</w:fldData>
        </w:fldChar>
      </w:r>
      <w:r w:rsidR="00C12017">
        <w:instrText xml:space="preserve"> ADDIN EN.CITE.DATA </w:instrText>
      </w:r>
      <w:r w:rsidR="00C12017">
        <w:fldChar w:fldCharType="end"/>
      </w:r>
      <w:r w:rsidR="009412D5" w:rsidRPr="00981D9A">
        <w:fldChar w:fldCharType="end"/>
      </w:r>
      <w:r w:rsidR="009412D5" w:rsidRPr="00981D9A">
        <w:t xml:space="preserve"> </w:t>
      </w:r>
      <w:r w:rsidR="00C66138">
        <w:t>The</w:t>
      </w:r>
      <w:r w:rsidR="00060961">
        <w:t>se</w:t>
      </w:r>
      <w:r w:rsidR="00C66138">
        <w:t xml:space="preserve"> studies have differed in multiple ways, including the samples examined and the </w:t>
      </w:r>
      <w:r w:rsidR="00060961">
        <w:t xml:space="preserve">covariates included. </w:t>
      </w:r>
      <w:r w:rsidR="00C66138">
        <w:t>However, o</w:t>
      </w:r>
      <w:r w:rsidR="009412D5" w:rsidRPr="00981D9A">
        <w:t>ne possible explanation for these</w:t>
      </w:r>
      <w:r w:rsidR="00060961">
        <w:t xml:space="preserve"> inconsistent</w:t>
      </w:r>
      <w:r w:rsidR="009412D5" w:rsidRPr="00981D9A">
        <w:t xml:space="preserve"> findings is that the generalized measure of psychological inflexibility used in these studies, the Acceptance and Action Questionnaire – II</w:t>
      </w:r>
      <w:r w:rsidR="004A5D63">
        <w:t xml:space="preserve"> (AAQ-II; </w:t>
      </w:r>
      <w:r w:rsidR="004A5D63">
        <w:fldChar w:fldCharType="begin" w:fldLock="1"/>
      </w:r>
      <w:r w:rsidR="004A5D63">
        <w:instrText>ADDIN CSL_CITATION { "citationItems" : [ { "id" : "ITEM-1", "itemData" : { "DOI" : "10.1016/j.beth.2011.03.007", "ISBN" : "0005-7894", "ISSN" : "00057894", "PMID" : "22035996", "abstract" : "The present research describes the development and psychometric evaluation of a second version of the Acceptance and Action Questionnaire (AAQ-II), which assesses the construct referred to as, variously, acceptance, experiential avoidance, and psychological inflexibility. Results from 2,816 participants across six samples indicate the satisfactory structure, reliability, and validity of this measure. For example, the mean alpha coefficient is .84 (.78-.88), and the 3- and 12-month test-retest reliability is .81 and .79, respectively. Results indicate that AAQ-II scores concurrently, longitudinally, and incrementally predict a range of outcomes, from mental health to work absence rates, that are consistent with its underlying theory. The AAQ-II also demonstrates appropriate discriminant validity. The AAQ-II appears to measure the same concept as the AAQ-I (r=.97) but with better psychometric consistency. \u00a9 2011.", "author" : [ { "dropping-particle" : "", "family" : "Bond", "given" : "Frank W.", "non-dropping-particle" : "", "parse-names" : false, "suffix" : "" }, { "dropping-particle" : "", "family" : "Hayes", "given" : "Steven C.", "non-dropping-particle" : "", "parse-names" : false, "suffix" : "" }, { "dropping-particle" : "", "family" : "Baer", "given" : "Ruth A.", "non-dropping-particle" : "", "parse-names" : false, "suffix" : "" }, { "dropping-particle" : "", "family" : "Carpenter", "given" : "Kenneth M.", "non-dropping-particle" : "", "parse-names" : false, "suffix" : "" }, { "dropping-particle" : "", "family" : "Guenole", "given" : "Nigel", "non-dropping-particle" : "", "parse-names" : false, "suffix" : "" }, { "dropping-particle" : "", "family" : "Orcutt", "given" : "Holly K.", "non-dropping-particle" : "", "parse-names" : false, "suffix" : "" }, { "dropping-particle" : "", "family" : "Waltz", "given" : "Tom", "non-dropping-particle" : "", "parse-names" : false, "suffix" : "" }, { "dropping-particle" : "", "family" : "Zettle", "given" : "Robert D.", "non-dropping-particle" : "", "parse-names" : false, "suffix" : "" } ], "container-title" : "Behavior Therapy", "id" : "ITEM-1", "issued" : { "date-parts" : [ [ "2011" ] ] }, "page" : "676-688", "publisher" : "Elsevier B.V.", "title" : "Preliminary psychometric properties of the Acceptance and Action Questionnaire-II: A revised measure of psychological inflexibility and experiential avoidance", "type" : "article-journal", "volume" : "42" }, "uris" : [ "http://www.mendeley.com/documents/?uuid=c525203b-e6dc-466f-abf6-e13ef29ed472" ] } ], "mendeley" : { "formattedCitation" : "(Bond et al., 2011)", "manualFormatting" : "Bond et al., 2011)", "plainTextFormattedCitation" : "(Bond et al., 2011)", "previouslyFormattedCitation" : "(Bond et al., 2011)" }, "properties" : { "noteIndex" : 0 }, "schema" : "https://github.com/citation-style-language/schema/raw/master/csl-citation.json" }</w:instrText>
      </w:r>
      <w:r w:rsidR="004A5D63">
        <w:fldChar w:fldCharType="separate"/>
      </w:r>
      <w:r w:rsidR="004A5D63" w:rsidRPr="004A5D63">
        <w:rPr>
          <w:noProof/>
        </w:rPr>
        <w:t>Bond et al., 2011)</w:t>
      </w:r>
      <w:r w:rsidR="004A5D63">
        <w:fldChar w:fldCharType="end"/>
      </w:r>
      <w:r w:rsidR="009412D5" w:rsidRPr="00981D9A">
        <w:t xml:space="preserve"> failed to adequately capture the construct of psychological inflexibility as it relates to hoarding. </w:t>
      </w:r>
    </w:p>
    <w:p w14:paraId="6326A1C8" w14:textId="77777777" w:rsidR="0093011D" w:rsidRDefault="009412D5" w:rsidP="00467D55">
      <w:pPr>
        <w:spacing w:line="480" w:lineRule="auto"/>
        <w:ind w:firstLine="720"/>
        <w:contextualSpacing/>
      </w:pPr>
      <w:r w:rsidRPr="00981D9A">
        <w:t>The AAQ-II is designed to be used in various samples, spanning nonclinical and clinical populations</w:t>
      </w:r>
      <w:r w:rsidR="004A5D63">
        <w:t xml:space="preserve"> </w:t>
      </w:r>
      <w:r w:rsidR="004A5D63">
        <w:fldChar w:fldCharType="begin" w:fldLock="1"/>
      </w:r>
      <w:r w:rsidR="004A5D63">
        <w:instrText>ADDIN CSL_CITATION { "citationItems" : [ { "id" : "ITEM-1", "itemData" : { "DOI" : "10.1016/j.beth.2011.03.007", "ISBN" : "0005-7894", "ISSN" : "00057894", "PMID" : "22035996", "abstract" : "The present research describes the development and psychometric evaluation of a second version of the Acceptance and Action Questionnaire (AAQ-II), which assesses the construct referred to as, variously, acceptance, experiential avoidance, and psychological inflexibility. Results from 2,816 participants across six samples indicate the satisfactory structure, reliability, and validity of this measure. For example, the mean alpha coefficient is .84 (.78-.88), and the 3- and 12-month test-retest reliability is .81 and .79, respectively. Results indicate that AAQ-II scores concurrently, longitudinally, and incrementally predict a range of outcomes, from mental health to work absence rates, that are consistent with its underlying theory. The AAQ-II also demonstrates appropriate discriminant validity. The AAQ-II appears to measure the same concept as the AAQ-I (r=.97) but with better psychometric consistency. \u00a9 2011.", "author" : [ { "dropping-particle" : "", "family" : "Bond", "given" : "Frank W.", "non-dropping-particle" : "", "parse-names" : false, "suffix" : "" }, { "dropping-particle" : "", "family" : "Hayes", "given" : "Steven C.", "non-dropping-particle" : "", "parse-names" : false, "suffix" : "" }, { "dropping-particle" : "", "family" : "Baer", "given" : "Ruth A.", "non-dropping-particle" : "", "parse-names" : false, "suffix" : "" }, { "dropping-particle" : "", "family" : "Carpenter", "given" : "Kenneth M.", "non-dropping-particle" : "", "parse-names" : false, "suffix" : "" }, { "dropping-particle" : "", "family" : "Guenole", "given" : "Nigel", "non-dropping-particle" : "", "parse-names" : false, "suffix" : "" }, { "dropping-particle" : "", "family" : "Orcutt", "given" : "Holly K.", "non-dropping-particle" : "", "parse-names" : false, "suffix" : "" }, { "dropping-particle" : "", "family" : "Waltz", "given" : "Tom", "non-dropping-particle" : "", "parse-names" : false, "suffix" : "" }, { "dropping-particle" : "", "family" : "Zettle", "given" : "Robert D.", "non-dropping-particle" : "", "parse-names" : false, "suffix" : "" } ], "container-title" : "Behavior Therapy", "id" : "ITEM-1", "issued" : { "date-parts" : [ [ "2011" ] ] }, "page" : "676-688", "publisher" : "Elsevier B.V.", "title" : "Preliminary psychometric properties of the Acceptance and Action Questionnaire-II: A revised measure of psychological inflexibility and experiential avoidance", "type" : "article-journal", "volume" : "42" }, "uris" : [ "http://www.mendeley.com/documents/?uuid=c525203b-e6dc-466f-abf6-e13ef29ed472" ] } ], "mendeley" : { "formattedCitation" : "(Bond et al., 2011)", "plainTextFormattedCitation" : "(Bond et al., 2011)", "previouslyFormattedCitation" : "(Bond et al., 2011)" }, "properties" : { "noteIndex" : 0 }, "schema" : "https://github.com/citation-style-language/schema/raw/master/csl-citation.json" }</w:instrText>
      </w:r>
      <w:r w:rsidR="004A5D63">
        <w:fldChar w:fldCharType="separate"/>
      </w:r>
      <w:r w:rsidR="004A5D63" w:rsidRPr="004A5D63">
        <w:rPr>
          <w:noProof/>
        </w:rPr>
        <w:t>(Bond et al., 2011)</w:t>
      </w:r>
      <w:r w:rsidR="004A5D63">
        <w:fldChar w:fldCharType="end"/>
      </w:r>
      <w:r w:rsidRPr="00981D9A">
        <w:t>. As such, it operationalizes psychological inflexibility broadly, with items asking about responses to thoughts and feelings in general. The lack of domain specificity in the AAQ-II may obscure the function of psychological inflexibility in the context of a particular condition. For example, individuals with problematic hoarding may struggle more specifically with thoughts about possessions and feelings about parting with possessions, rather than “worries” and “painful memories”</w:t>
      </w:r>
      <w:r w:rsidR="004A5D63">
        <w:t xml:space="preserve"> (selected phrasing from the AAQ-II; </w:t>
      </w:r>
      <w:r w:rsidR="004A5D63">
        <w:fldChar w:fldCharType="begin" w:fldLock="1"/>
      </w:r>
      <w:r w:rsidR="004A5D63">
        <w:instrText>ADDIN CSL_CITATION { "citationItems" : [ { "id" : "ITEM-1", "itemData" : { "DOI" : "10.1016/j.beth.2011.03.007", "ISBN" : "0005-7894", "ISSN" : "00057894", "PMID" : "22035996", "abstract" : "The present research describes the development and psychometric evaluation of a second version of the Acceptance and Action Questionnaire (AAQ-II), which assesses the construct referred to as, variously, acceptance, experiential avoidance, and psychological inflexibility. Results from 2,816 participants across six samples indicate the satisfactory structure, reliability, and validity of this measure. For example, the mean alpha coefficient is .84 (.78-.88), and the 3- and 12-month test-retest reliability is .81 and .79, respectively. Results indicate that AAQ-II scores concurrently, longitudinally, and incrementally predict a range of outcomes, from mental health to work absence rates, that are consistent with its underlying theory. The AAQ-II also demonstrates appropriate discriminant validity. The AAQ-II appears to measure the same concept as the AAQ-I (r=.97) but with better psychometric consistency. \u00a9 2011.", "author" : [ { "dropping-particle" : "", "family" : "Bond", "given" : "Frank W.", "non-dropping-particle" : "", "parse-names" : false, "suffix" : "" }, { "dropping-particle" : "", "family" : "Hayes", "given" : "Steven C.", "non-dropping-particle" : "", "parse-names" : false, "suffix" : "" }, { "dropping-particle" : "", "family" : "Baer", "given" : "Ruth A.", "non-dropping-particle" : "", "parse-names" : false, "suffix" : "" }, { "dropping-particle" : "", "family" : "Carpenter", "given" : "Kenneth M.", "non-dropping-particle" : "", "parse-names" : false, "suffix" : "" }, { "dropping-particle" : "", "family" : "Guenole", "given" : "Nigel", "non-dropping-particle" : "", "parse-names" : false, "suffix" : "" }, { "dropping-particle" : "", "family" : "Orcutt", "given" : "Holly K.", "non-dropping-particle" : "", "parse-names" : false, "suffix" : "" }, { "dropping-particle" : "", "family" : "Waltz", "given" : "Tom", "non-dropping-particle" : "", "parse-names" : false, "suffix" : "" }, { "dropping-particle" : "", "family" : "Zettle", "given" : "Robert D.", "non-dropping-particle" : "", "parse-names" : false, "suffix" : "" } ], "container-title" : "Behavior Therapy", "id" : "ITEM-1", "issued" : { "date-parts" : [ [ "2011" ] ] }, "page" : "676-688", "publisher" : "Elsevier B.V.", "title" : "Preliminary psychometric properties of the Acceptance and Action Questionnaire-II: A revised measure of psychological inflexibility and experiential avoidance", "type" : "article-journal", "volume" : "42" }, "uris" : [ "http://www.mendeley.com/documents/?uuid=c525203b-e6dc-466f-abf6-e13ef29ed472" ] } ], "mendeley" : { "formattedCitation" : "(Bond et al., 2011)", "manualFormatting" : "Bond et al., 2011)", "plainTextFormattedCitation" : "(Bond et al., 2011)", "previouslyFormattedCitation" : "(Bond et al., 2011)" }, "properties" : { "noteIndex" : 0 }, "schema" : "https://github.com/citation-style-language/schema/raw/master/csl-citation.json" }</w:instrText>
      </w:r>
      <w:r w:rsidR="004A5D63">
        <w:fldChar w:fldCharType="separate"/>
      </w:r>
      <w:r w:rsidR="004A5D63" w:rsidRPr="004A5D63">
        <w:rPr>
          <w:noProof/>
        </w:rPr>
        <w:t>Bond et al., 2011)</w:t>
      </w:r>
      <w:r w:rsidR="004A5D63">
        <w:fldChar w:fldCharType="end"/>
      </w:r>
      <w:r w:rsidRPr="00981D9A">
        <w:t>.</w:t>
      </w:r>
    </w:p>
    <w:p w14:paraId="452CCC89" w14:textId="300F0C5F" w:rsidR="0093011D" w:rsidRDefault="0093011D" w:rsidP="00467D55">
      <w:pPr>
        <w:spacing w:line="480" w:lineRule="auto"/>
        <w:ind w:firstLine="720"/>
        <w:contextualSpacing/>
      </w:pPr>
      <w:r>
        <w:t>There are several aspects of hoarding that may contribute to difficulty in accurately measuring hoarding-related psychological inflexibility using a general measure. People who hoard have lower emotional clarity (</w:t>
      </w:r>
      <w:r>
        <w:rPr>
          <w:color w:val="000000"/>
        </w:rPr>
        <w:t xml:space="preserve">Fernández de la Cruz et al., </w:t>
      </w:r>
      <w:r w:rsidRPr="00455FD7">
        <w:rPr>
          <w:color w:val="000000"/>
        </w:rPr>
        <w:t>2013)</w:t>
      </w:r>
      <w:r>
        <w:rPr>
          <w:color w:val="000000"/>
        </w:rPr>
        <w:t xml:space="preserve"> and</w:t>
      </w:r>
      <w:r w:rsidRPr="00455FD7">
        <w:rPr>
          <w:color w:val="000000"/>
        </w:rPr>
        <w:t xml:space="preserve"> </w:t>
      </w:r>
      <w:r>
        <w:t xml:space="preserve">are frequently described as having poor insight (see Frost, Tolin, &amp; Maltby, 2010 for a review). This may make it particularly difficult for people with hoarding disorder to accurately report their overall stance </w:t>
      </w:r>
      <w:r>
        <w:lastRenderedPageBreak/>
        <w:t>towards their emotional experiences, while it might be easier to report their stance toward hoarding-related thoughts and feelings specifically. In addition, AAQ-II items are largely focused on how one responds to distressing experiences (e.g., “My painful memories prevent me from having a fulfilling life”), but hoarding involves symptoms that are both distress-related and urge-related (e.g., feeling compelled to acquire something</w:t>
      </w:r>
      <w:r w:rsidR="0048680C">
        <w:t>; Raines, Allan, Oglesby, Short, &amp; Schmidt</w:t>
      </w:r>
      <w:r>
        <w:t>, 2015), and flexibility in response to urges may not be well-captured by the AAQ-II or other distress-focused measures of psychological flexibility.</w:t>
      </w:r>
    </w:p>
    <w:p w14:paraId="4961B6A3" w14:textId="7D5A7976" w:rsidR="0093011D" w:rsidRDefault="000D5265" w:rsidP="00467D55">
      <w:pPr>
        <w:spacing w:line="480" w:lineRule="auto"/>
        <w:ind w:firstLine="720"/>
        <w:contextualSpacing/>
      </w:pPr>
      <w:r>
        <w:t xml:space="preserve">Although psychological inflexibility is a transdiagnostic process, it is theorized to vary in its form (e.g., someone may be fused with thoughts about clutter, but relatively defused from </w:t>
      </w:r>
      <w:r w:rsidR="001551AE">
        <w:t>thoughts about substance use</w:t>
      </w:r>
      <w:r>
        <w:t>)</w:t>
      </w:r>
      <w:r w:rsidR="00E00EB0">
        <w:t xml:space="preserve"> and accordingly treatment may focus on psychological inflexibility in a specific domain if it fits the client</w:t>
      </w:r>
      <w:r w:rsidR="00DC442F">
        <w:t>’s</w:t>
      </w:r>
      <w:r w:rsidR="00E00EB0">
        <w:t xml:space="preserve"> concerns (e.g., obsessions in OCD; Twohig, 2009).</w:t>
      </w:r>
      <w:r w:rsidR="009412D5" w:rsidRPr="00981D9A">
        <w:t xml:space="preserve"> </w:t>
      </w:r>
      <w:r w:rsidR="00E00EB0">
        <w:t>A</w:t>
      </w:r>
      <w:r w:rsidR="009412D5" w:rsidRPr="00981D9A">
        <w:t xml:space="preserve"> domain-specific measure is expected to more accurately measure the role of psychological inflexibility in hoarding</w:t>
      </w:r>
      <w:r w:rsidR="00E00EB0">
        <w:t xml:space="preserve"> and provide more useful information for using ACT to address hoarding</w:t>
      </w:r>
      <w:r w:rsidR="009412D5" w:rsidRPr="00981D9A">
        <w:t>. Domain-specific measures for other conditions, including trichotillomania and body image concerns</w:t>
      </w:r>
      <w:r w:rsidR="004A5D63">
        <w:t xml:space="preserve"> </w:t>
      </w:r>
      <w:r w:rsidR="009417BD">
        <w:fldChar w:fldCharType="begin" w:fldLock="1"/>
      </w:r>
      <w:r w:rsidR="008E3E28">
        <w:instrText>ADDIN CSL_CITATION { "citationItems" : [ { "id" : "ITEM-1", "itemData" : { "DOI" : "10.1016/j.psychres.2014.08.003.Measuring", "author" : [ { "dropping-particle" : "", "family" : "Houghton", "given" : "David C", "non-dropping-particle" : "", "parse-names" : false, "suffix" : "" }, { "dropping-particle" : "", "family" : "Compton", "given" : "Scott N", "non-dropping-particle" : "", "parse-names" : false, "suffix" : "" }, { "dropping-particle" : "", "family" : "Twohig", "given" : "Michael P.", "non-dropping-particle" : "", "parse-names" : false, "suffix" : "" }, { "dropping-particle" : "", "family" : "Saunders", "given" : "Stephen M", "non-dropping-particle" : "", "parse-names" : false, "suffix" : "" }, { "dropping-particle" : "", "family" : "Franklin", "given" : "Martin E.", "non-dropping-particle" : "", "parse-names" : false, "suffix" : "" }, { "dropping-particle" : "", "family" : "Neal-Barnett", "given" : "Angela M", "non-dropping-particle" : "", "parse-names" : false, "suffix" : "" }, { "dropping-particle" : "", "family" : "Ely", "given" : "Laura", "non-dropping-particle" : "", "parse-names" : false, "suffix" : "" }, { "dropping-particle" : "", "family" : "Capriotti", "given" : "Matthew R", "non-dropping-particle" : "", "parse-names" : false, "suffix" : "" }, { "dropping-particle" : "", "family" : "Woods", "given" : "Douglas W.", "non-dropping-particle" : "", "parse-names" : false, "suffix" : "" } ], "container-title" : "Psychiatry Research", "id" : "ITEM-1", "issued" : { "date-parts" : [ [ "2014" ] ] }, "page" : "356-361", "title" : "Measuring the role of psychological inflexibility in trichotilliomania", "type" : "article-journal", "volume" : "220" }, "uris" : [ "http://www.mendeley.com/documents/?uuid=cfc65a33-955f-499d-9e48-6f40eb1503ad" ] }, { "id" : "ITEM-2", "itemData" : { "DOI" : "10.1016/j.jcbs.2013.03.002", "ISBN" : "2212-1447", "ISSN" : "22121447", "abstract" : "Acceptance and mindfulness components are increasingly incorporated into treatment for eating disorders with promising results. The development of measures of proposed change processes would facilitate ongoing scientific progress. The current series of studies evaluated one such instrument, the Body Image-Acceptance and Action Questionnaire (BI-AAQ), which was designed to measure body image flexibility. Study one focused on the generation and reduction of items for the BI-AAQ and a demonstration of construct validity. Body image flexibility was associated with increased psychological flexibility, decreased body image dissatisfaction, and less disordered eating. Study two demonstrated adequate internal consistency and test-retest reliability of BI-AAQ. Study three extended findings related to structural and construct validity, and demonstrated an indirect effect of body image dissatisfaction on disordered eating via body image flexibility. Research and clinical utility of the BI-AAQ are discussed. The BI-AAQ is proposed as a measure of body image flexibility, a potential change process in acceptance-oriented treatments of eating disorders. ?? 2013.", "author" : [ { "dropping-particle" : "", "family" : "Sandoz", "given" : "Emily K.", "non-dropping-particle" : "", "parse-names" : false, "suffix" : "" }, { "dropping-particle" : "", "family" : "Wilson", "given" : "Kelly G.", "non-dropping-particle" : "", "parse-names" : false, "suffix" : "" }, { "dropping-particle" : "", "family" : "Merwin", "given" : "Rhonda M.", "non-dropping-particle" : "", "parse-names" : false, "suffix" : "" }, { "dropping-particle" : "", "family" : "Kellum", "given" : "Karen Kate", "non-dropping-particle" : "", "parse-names" : false, "suffix" : "" } ], "container-title" : "Journal of Contextual Behavioral Science", "id" : "ITEM-2", "issue" : "1-2", "issued" : { "date-parts" : [ [ "2013" ] ] }, "page" : "39-48", "publisher" : "Elsevier", "title" : "Assessment of body image flexibility: The Body Image-Acceptance and Action Questionnaire", "type" : "article-journal", "volume" : "2" }, "uris" : [ "http://www.mendeley.com/documents/?uuid=174b539e-dba4-419e-b2e5-74eeb1190580" ] } ], "mendeley" : { "formattedCitation" : "(Houghton et al., 2014; Sandoz, Wilson, Merwin, &amp; Kellum, 2013)", "plainTextFormattedCitation" : "(Houghton et al., 2014; Sandoz, Wilson, Merwin, &amp; Kellum, 2013)", "previouslyFormattedCitation" : "(Houghton et al., 2014; Sandoz, Wilson, Merwin, &amp; Kellum, 2013)" }, "properties" : { "noteIndex" : 0 }, "schema" : "https://github.com/citation-style-language/schema/raw/master/csl-citation.json" }</w:instrText>
      </w:r>
      <w:r w:rsidR="009417BD">
        <w:fldChar w:fldCharType="separate"/>
      </w:r>
      <w:r w:rsidR="0010616C" w:rsidRPr="0010616C">
        <w:rPr>
          <w:noProof/>
        </w:rPr>
        <w:t>(Houghton et al., 2014; Sandoz, Wilson, Merwin, &amp; Kellum, 2013)</w:t>
      </w:r>
      <w:r w:rsidR="009417BD">
        <w:fldChar w:fldCharType="end"/>
      </w:r>
      <w:r w:rsidR="009412D5" w:rsidRPr="00981D9A">
        <w:t>, seem to provide a more precise measurement of their respective constructs of interest. For instance, the trichotillomania-specific version of the AAQ was found to be more strongly correlated with trichotillomania severity than the AAQ-II, whereas the AAQ-II was more strongly correlated with general psychopathology</w:t>
      </w:r>
      <w:r w:rsidR="009417BD">
        <w:t xml:space="preserve"> </w:t>
      </w:r>
      <w:r w:rsidR="009417BD">
        <w:fldChar w:fldCharType="begin" w:fldLock="1"/>
      </w:r>
      <w:r w:rsidR="008E3E28">
        <w:instrText>ADDIN CSL_CITATION { "citationItems" : [ { "id" : "ITEM-1", "itemData" : { "DOI" : "10.1016/j.psychres.2014.08.003.Measuring", "author" : [ { "dropping-particle" : "", "family" : "Houghton", "given" : "David C", "non-dropping-particle" : "", "parse-names" : false, "suffix" : "" }, { "dropping-particle" : "", "family" : "Compton", "given" : "Scott N", "non-dropping-particle" : "", "parse-names" : false, "suffix" : "" }, { "dropping-particle" : "", "family" : "Twohig", "given" : "Michael P.", "non-dropping-particle" : "", "parse-names" : false, "suffix" : "" }, { "dropping-particle" : "", "family" : "Saunders", "given" : "Stephen M", "non-dropping-particle" : "", "parse-names" : false, "suffix" : "" }, { "dropping-particle" : "", "family" : "Franklin", "given" : "Martin E.", "non-dropping-particle" : "", "parse-names" : false, "suffix" : "" }, { "dropping-particle" : "", "family" : "Neal-Barnett", "given" : "Angela M", "non-dropping-particle" : "", "parse-names" : false, "suffix" : "" }, { "dropping-particle" : "", "family" : "Ely", "given" : "Laura", "non-dropping-particle" : "", "parse-names" : false, "suffix" : "" }, { "dropping-particle" : "", "family" : "Capriotti", "given" : "Matthew R", "non-dropping-particle" : "", "parse-names" : false, "suffix" : "" }, { "dropping-particle" : "", "family" : "Woods", "given" : "Douglas W.", "non-dropping-particle" : "", "parse-names" : false, "suffix" : "" } ], "container-title" : "Psychiatry Research", "id" : "ITEM-1", "issued" : { "date-parts" : [ [ "2014" ] ] }, "page" : "356-361", "title" : "Measuring the role of psychological inflexibility in trichotilliomania", "type" : "article-journal", "volume" : "220" }, "uris" : [ "http://www.mendeley.com/documents/?uuid=cfc65a33-955f-499d-9e48-6f40eb1503ad" ] } ], "mendeley" : { "formattedCitation" : "(Houghton et al., 2014)", "plainTextFormattedCitation" : "(Houghton et al., 2014)", "previouslyFormattedCitation" : "(Houghton et al., 2014)" }, "properties" : { "noteIndex" : 0 }, "schema" : "https://github.com/citation-style-language/schema/raw/master/csl-citation.json" }</w:instrText>
      </w:r>
      <w:r w:rsidR="009417BD">
        <w:fldChar w:fldCharType="separate"/>
      </w:r>
      <w:r w:rsidR="0010616C" w:rsidRPr="0010616C">
        <w:rPr>
          <w:noProof/>
        </w:rPr>
        <w:t>(Houghton et al., 2014)</w:t>
      </w:r>
      <w:r w:rsidR="009417BD">
        <w:fldChar w:fldCharType="end"/>
      </w:r>
      <w:r w:rsidR="009417BD">
        <w:t>.</w:t>
      </w:r>
      <w:r w:rsidR="001A0778">
        <w:t xml:space="preserve"> These measurement issues have also been found in the context of treatment, with domain</w:t>
      </w:r>
      <w:r w:rsidR="00D32749">
        <w:t>-</w:t>
      </w:r>
      <w:r w:rsidR="001A0778">
        <w:t>specific versions of the AAQ being more sensitive to detecting treatment effects in targeted populations than the general AAQ (e.g.,</w:t>
      </w:r>
      <w:r w:rsidR="00F03221">
        <w:t xml:space="preserve"> </w:t>
      </w:r>
      <w:r w:rsidR="001A3811">
        <w:fldChar w:fldCharType="begin" w:fldLock="1"/>
      </w:r>
      <w:r w:rsidR="00A1516A">
        <w:instrText>ADDIN CSL_CITATION { "citationItems" : [ { "id" : "ITEM-1", "itemData" : { "DOI" : "10.1007/s12160-009-9083-x", "ISBN" : "08836612", "ISSN" : "08836612", "PMID" : "19252962", "abstract" : "BACKGROUND: Obesity is a growing epidemic. Weight control interventions can achieve weight loss, but most is regained over time. Stigma and low quality of life are significant problems that are rarely targeted. PURPOSE: A new model aimed at reducing avoidant behavior and increasing psychological flexibility, has shown to be relevant in the treatment of other chronic health problems and is worth examining for improving the lives of obese persons. METHODS: Patients who had completed at least 6 months of a weight loss program (N = 84) were randomly assigned to receive a 1-day, mindfulness and acceptance-based workshop targeting obesity-related stigma and psychological distress or be placed on a waiting list. RESULTS: At a 3-month follow-up, workshop participants showed greater improvements in obesity-related stigma, quality of life, psychological distress, and body mass, as well as improvements in distress tolerance, and both general and weight-specific acceptance and psychological flexibility. Effects on distress, stigma, and quality of life were above and beyond the effects due to improved weight control. Mediational analyses indicated that changes in weight-specific acceptance coping and psychological flexibility mediated changes in outcomes. CONCLUSION: Results provide preliminary support for the role of acceptance and mindfulness in improving the quality of life of obese individuals while simultaneously augmenting their weight control efforts.", "author" : [ { "dropping-particle" : "", "family" : "Lillis", "given" : "Jason", "non-dropping-particle" : "", "parse-names" : false, "suffix" : "" }, { "dropping-particle" : "", "family" : "Hayes", "given" : "Steven C.", "non-dropping-particle" : "", "parse-names" : false, "suffix" : "" }, { "dropping-particle" : "", "family" : "Bunting", "given" : "Kara", "non-dropping-particle" : "", "parse-names" : false, "suffix" : "" }, { "dropping-particle" : "", "family" : "Masuda", "given" : "Akihiko", "non-dropping-particle" : "", "parse-names" : false, "suffix" : "" } ], "container-title" : "Annals of Behavioral Medicine", "id" : "ITEM-1", "issued" : { "date-parts" : [ [ "2009" ] ] }, "page" : "58-69", "title" : "Teaching acceptance and mindfulness to improve the lives of the obese: A preliminary test of a theoretical model", "type" : "article-journal", "volume" : "37" }, "uris" : [ "http://www.mendeley.com/documents/?uuid=38f5b751-1d38-4b89-8578-8ef901f457f6" ] } ], "mendeley" : { "formattedCitation" : "(Lillis, Hayes, Bunting, &amp; Masuda, 2009)", "manualFormatting" : "Lillis, Hayes, Bunting, &amp; Masuda, 2009)", "plainTextFormattedCitation" : "(Lillis, Hayes, Bunting, &amp; Masuda, 2009)", "previouslyFormattedCitation" : "(Lillis, Hayes, Bunting, &amp; Masuda, 2009)" }, "properties" : { "noteIndex" : 0 }, "schema" : "https://github.com/citation-style-language/schema/raw/master/csl-citation.json" }</w:instrText>
      </w:r>
      <w:r w:rsidR="001A3811">
        <w:fldChar w:fldCharType="separate"/>
      </w:r>
      <w:r w:rsidR="001A3811" w:rsidRPr="001A3811">
        <w:rPr>
          <w:noProof/>
        </w:rPr>
        <w:t>Lillis, Hayes, Bunting, &amp; Masuda, 2009)</w:t>
      </w:r>
      <w:r w:rsidR="001A3811">
        <w:fldChar w:fldCharType="end"/>
      </w:r>
      <w:r w:rsidR="001A0778">
        <w:t xml:space="preserve">. </w:t>
      </w:r>
    </w:p>
    <w:p w14:paraId="4B05A532" w14:textId="5040461A" w:rsidR="00CC6DD0" w:rsidRDefault="009412D5" w:rsidP="00467D55">
      <w:pPr>
        <w:spacing w:line="480" w:lineRule="auto"/>
        <w:ind w:firstLine="720"/>
        <w:contextualSpacing/>
      </w:pPr>
      <w:r w:rsidRPr="00981D9A">
        <w:t xml:space="preserve">Currently, no measure of hoarding-specific psychological inflexibility exists, which makes it difficult to accurately assess the contribution of psychological inflexibility to hoarding. </w:t>
      </w:r>
      <w:r w:rsidR="006F7EB5">
        <w:t>Most measures of hoa</w:t>
      </w:r>
      <w:r w:rsidR="00573A34">
        <w:t>rding</w:t>
      </w:r>
      <w:r w:rsidR="00CC6DD0">
        <w:t xml:space="preserve"> are outcome-focused, including</w:t>
      </w:r>
      <w:r w:rsidR="00573A34">
        <w:t xml:space="preserve"> </w:t>
      </w:r>
      <w:r w:rsidR="006F7EB5">
        <w:t>the Saving Inventory-Revised (</w:t>
      </w:r>
      <w:r w:rsidR="00CC6DD0">
        <w:t>SI-R; Frost, Steketee, &amp; Grisham, 2004</w:t>
      </w:r>
      <w:r w:rsidR="00573A34">
        <w:t>), which measures overall hoarding severity; the Clutter Image Rating (CIR; Frost, Steketee, Tolin, &amp; Renaud, 2008), which measures clutter; and the Activities of Daily Living for Hoarding (ADL-H</w:t>
      </w:r>
      <w:r w:rsidR="00CC6DD0">
        <w:t>; Frost, Hristova, Steketee, &amp; Tolin, 2013</w:t>
      </w:r>
      <w:r w:rsidR="00573A34">
        <w:t>) scale, which measures functional impairment.</w:t>
      </w:r>
      <w:r w:rsidR="00CC6DD0">
        <w:t xml:space="preserve"> To the best of our knowledge the only existing process measure for hoarding disorder is the Saving Cognitions Inventory (SCI; Steketee, Frost, &amp; Kyrios, 2003), which assesses the degree to which certain thoughts occur when considering discarding. The SCI is a highly focused on the content of thoughts, and is therefore a useful process measure for cognitive-behavioral treatment (CBT) for hoarding, which is intended to work in part through changing hoarding-related thoughts (</w:t>
      </w:r>
      <w:r w:rsidR="002979E1">
        <w:t xml:space="preserve">Steketee &amp; Frost, </w:t>
      </w:r>
      <w:r w:rsidR="0048680C">
        <w:t>2007</w:t>
      </w:r>
      <w:r w:rsidR="00CC6DD0">
        <w:t>). However, it would not be appropriate as a process measure for a contextual CBT</w:t>
      </w:r>
      <w:r w:rsidR="00573A34">
        <w:t xml:space="preserve"> </w:t>
      </w:r>
      <w:r w:rsidR="00CC6DD0">
        <w:t xml:space="preserve">such as ACT, since it examines whether or not certain thoughts occur rather than how one responds to those thoughts. </w:t>
      </w:r>
    </w:p>
    <w:p w14:paraId="3FF3548C" w14:textId="025C0EFA" w:rsidR="009412D5" w:rsidRPr="00981D9A" w:rsidRDefault="009412D5" w:rsidP="00467D55">
      <w:pPr>
        <w:spacing w:line="480" w:lineRule="auto"/>
        <w:ind w:firstLine="720"/>
        <w:contextualSpacing/>
      </w:pPr>
      <w:r w:rsidRPr="00981D9A">
        <w:t xml:space="preserve">Given that there is a solid theoretical basis to hypothesize a relationship between psychological inflexibility and hoarding, a precise means of testing this hypothesis via empirical methods is needed. </w:t>
      </w:r>
      <w:r w:rsidR="0093011D">
        <w:t>In light of the mixed findings that have been obtained with general AAQ measures and the unique clinical aspects of hoarding such as low insight, a</w:t>
      </w:r>
      <w:r w:rsidRPr="00981D9A">
        <w:t xml:space="preserve"> hoarding-specific version of the AAQ </w:t>
      </w:r>
      <w:r w:rsidR="0093011D">
        <w:t>may be necessary</w:t>
      </w:r>
      <w:r w:rsidRPr="00981D9A">
        <w:t xml:space="preserve"> to measure psychologically inflexible responses to thoughts and feelings pertinent to hoarding (e.g., distress related to discarding). </w:t>
      </w:r>
      <w:r w:rsidR="00D46836">
        <w:t xml:space="preserve">Such a measure could also be used for future clinical trial research evaluating the efficacy of ACT in reducing psychological inflexibility and symptoms related to hoarding. </w:t>
      </w:r>
    </w:p>
    <w:p w14:paraId="74FF638F" w14:textId="77777777" w:rsidR="00467D55" w:rsidRPr="00981D9A" w:rsidRDefault="009412D5" w:rsidP="00467D55">
      <w:pPr>
        <w:spacing w:line="480" w:lineRule="auto"/>
        <w:ind w:firstLine="720"/>
        <w:contextualSpacing/>
      </w:pPr>
      <w:r w:rsidRPr="00981D9A">
        <w:t>The aims of the present study were to (1) develop a measure of psychological inflexibility for hoarding (AAQH) and (2) evaluate the preliminary psychometric properties of the AAQH in a nonclinical sample</w:t>
      </w:r>
      <w:r w:rsidR="00D46836">
        <w:t xml:space="preserve"> with elevated hoarding symptoms</w:t>
      </w:r>
      <w:r w:rsidRPr="00981D9A">
        <w:t xml:space="preserve">. </w:t>
      </w:r>
    </w:p>
    <w:p w14:paraId="049B69F3" w14:textId="77777777" w:rsidR="000C092B" w:rsidRPr="00981D9A" w:rsidRDefault="000C092B" w:rsidP="00467D55">
      <w:pPr>
        <w:spacing w:line="480" w:lineRule="auto"/>
        <w:ind w:firstLine="720"/>
        <w:contextualSpacing/>
        <w:jc w:val="center"/>
      </w:pPr>
      <w:r w:rsidRPr="00981D9A">
        <w:rPr>
          <w:b/>
          <w:color w:val="000000"/>
        </w:rPr>
        <w:t>Methods</w:t>
      </w:r>
    </w:p>
    <w:p w14:paraId="593C52A3" w14:textId="77777777" w:rsidR="000C092B" w:rsidRPr="00C6071D" w:rsidRDefault="00455254" w:rsidP="00467D55">
      <w:pPr>
        <w:spacing w:line="480" w:lineRule="auto"/>
        <w:contextualSpacing/>
        <w:rPr>
          <w:b/>
          <w:color w:val="000000"/>
        </w:rPr>
      </w:pPr>
      <w:r>
        <w:rPr>
          <w:b/>
          <w:color w:val="000000"/>
        </w:rPr>
        <w:t>Participants and P</w:t>
      </w:r>
      <w:r w:rsidR="000C092B" w:rsidRPr="00C6071D">
        <w:rPr>
          <w:b/>
          <w:color w:val="000000"/>
        </w:rPr>
        <w:t>rocedures</w:t>
      </w:r>
    </w:p>
    <w:p w14:paraId="00B48741" w14:textId="20B75102" w:rsidR="001142C6" w:rsidRDefault="00C56AD2" w:rsidP="004259C2">
      <w:pPr>
        <w:spacing w:line="480" w:lineRule="auto"/>
        <w:contextualSpacing/>
        <w:rPr>
          <w:color w:val="000000"/>
          <w:shd w:val="clear" w:color="auto" w:fill="FFFFFF"/>
        </w:rPr>
      </w:pPr>
      <w:r w:rsidRPr="00F45A07">
        <w:rPr>
          <w:color w:val="000000"/>
        </w:rPr>
        <w:tab/>
        <w:t xml:space="preserve">This study used a sample of </w:t>
      </w:r>
      <w:r w:rsidR="00F10A37" w:rsidRPr="00F45A07">
        <w:rPr>
          <w:color w:val="000000"/>
        </w:rPr>
        <w:t xml:space="preserve">201 </w:t>
      </w:r>
      <w:r w:rsidR="00A44E26" w:rsidRPr="00F45A07">
        <w:rPr>
          <w:color w:val="000000"/>
        </w:rPr>
        <w:t xml:space="preserve">undergraduate students </w:t>
      </w:r>
      <w:r w:rsidR="00F10A37" w:rsidRPr="00F45A07">
        <w:rPr>
          <w:color w:val="000000"/>
        </w:rPr>
        <w:t xml:space="preserve">scoring above the mean on a measure of hoarding symptoms (Saving Inventory-Revised; </w:t>
      </w:r>
      <w:r w:rsidR="00F10A37" w:rsidRPr="00F45A07">
        <w:rPr>
          <w:color w:val="000000"/>
        </w:rPr>
        <w:fldChar w:fldCharType="begin" w:fldLock="1"/>
      </w:r>
      <w:r w:rsidR="00F10A37" w:rsidRPr="00F45A07">
        <w:rPr>
          <w:color w:val="000000"/>
        </w:rPr>
        <w:instrText>ADDIN CSL_CITATION { "citationItems" : [ { "id" : "ITEM-1", "itemData" : { "DOI" : "10.1016/j.brat.2003.07.006", "ISSN" : "00057967", "author" : [ { "dropping-particle" : "", "family" : "Frost", "given" : "Randy O.", "non-dropping-particle" : "", "parse-names" : false, "suffix" : "" }, { "dropping-particle" : "", "family" : "Steketee", "given" : "Gail", "non-dropping-particle" : "", "parse-names" : false, "suffix" : "" }, { "dropping-particle" : "", "family" : "Grisham", "given" : "Jessica", "non-dropping-particle" : "", "parse-names" : false, "suffix" : "" } ], "container-title" : "Behaviour Research and Therapy", "id" : "ITEM-1", "issued" : { "date-parts" : [ [ "2004" ] ] }, "page" : "1163-1182", "title" : "Measurement of compulsive hoarding: Saving inventory-revised", "type" : "article-journal", "volume" : "42" }, "uris" : [ "http://www.mendeley.com/documents/?uuid=f95b1376-a1ef-4340-9cf1-bed5e88c20a6" ] } ], "mendeley" : { "formattedCitation" : "(Frost, Steketee, &amp; Grisham, 2004)", "manualFormatting" : "Frost, Steketee, &amp; Grisham, 2004)", "plainTextFormattedCitation" : "(Frost, Steketee, &amp; Grisham, 2004)", "previouslyFormattedCitation" : "(Frost, Steketee, &amp; Grisham, 2004)" }, "properties" : { "noteIndex" : 0 }, "schema" : "https://github.com/citation-style-language/schema/raw/master/csl-citation.json" }</w:instrText>
      </w:r>
      <w:r w:rsidR="00F10A37" w:rsidRPr="00F45A07">
        <w:rPr>
          <w:color w:val="000000"/>
        </w:rPr>
        <w:fldChar w:fldCharType="separate"/>
      </w:r>
      <w:r w:rsidR="00F10A37" w:rsidRPr="00F45A07">
        <w:rPr>
          <w:noProof/>
          <w:color w:val="000000"/>
        </w:rPr>
        <w:t>Frost</w:t>
      </w:r>
      <w:r w:rsidR="0048680C">
        <w:rPr>
          <w:noProof/>
          <w:color w:val="000000"/>
        </w:rPr>
        <w:t xml:space="preserve"> et al.</w:t>
      </w:r>
      <w:r w:rsidR="00F10A37" w:rsidRPr="00F45A07">
        <w:rPr>
          <w:noProof/>
          <w:color w:val="000000"/>
        </w:rPr>
        <w:t>, 2004)</w:t>
      </w:r>
      <w:r w:rsidR="00F10A37" w:rsidRPr="00F45A07">
        <w:rPr>
          <w:color w:val="000000"/>
        </w:rPr>
        <w:fldChar w:fldCharType="end"/>
      </w:r>
      <w:r w:rsidR="00F10A37" w:rsidRPr="00F45A07">
        <w:rPr>
          <w:color w:val="000000"/>
        </w:rPr>
        <w:t xml:space="preserve"> </w:t>
      </w:r>
      <w:r w:rsidR="00A44E26" w:rsidRPr="00F45A07">
        <w:rPr>
          <w:color w:val="000000"/>
        </w:rPr>
        <w:t>who participat</w:t>
      </w:r>
      <w:r w:rsidR="00F10A37" w:rsidRPr="00F45A07">
        <w:rPr>
          <w:color w:val="000000"/>
        </w:rPr>
        <w:t>ed</w:t>
      </w:r>
      <w:r w:rsidR="00A44E26" w:rsidRPr="00F45A07">
        <w:rPr>
          <w:color w:val="000000"/>
        </w:rPr>
        <w:t xml:space="preserve"> in an online survey to receive research participation credit. </w:t>
      </w:r>
      <w:r w:rsidR="006B4DF4" w:rsidRPr="00F45A07">
        <w:rPr>
          <w:color w:val="000000"/>
        </w:rPr>
        <w:t xml:space="preserve">This </w:t>
      </w:r>
      <w:r w:rsidR="008A471E">
        <w:rPr>
          <w:color w:val="000000"/>
        </w:rPr>
        <w:t>sample</w:t>
      </w:r>
      <w:r w:rsidR="008A471E" w:rsidRPr="00F45A07">
        <w:rPr>
          <w:color w:val="000000"/>
        </w:rPr>
        <w:t xml:space="preserve"> </w:t>
      </w:r>
      <w:r w:rsidR="006B4DF4" w:rsidRPr="00F45A07">
        <w:rPr>
          <w:color w:val="000000"/>
        </w:rPr>
        <w:t>was selected from a larger sample of undergraduate students (</w:t>
      </w:r>
      <w:r w:rsidR="008A471E">
        <w:rPr>
          <w:i/>
          <w:color w:val="000000"/>
        </w:rPr>
        <w:t>N</w:t>
      </w:r>
      <w:r w:rsidR="006B4DF4" w:rsidRPr="00F45A07">
        <w:rPr>
          <w:color w:val="000000"/>
        </w:rPr>
        <w:t xml:space="preserve"> = 489) </w:t>
      </w:r>
      <w:r w:rsidR="006B4DF4" w:rsidRPr="00F45A07">
        <w:rPr>
          <w:color w:val="000000"/>
          <w:shd w:val="clear" w:color="auto" w:fill="FFFFFF"/>
        </w:rPr>
        <w:t xml:space="preserve">in order to </w:t>
      </w:r>
      <w:r w:rsidR="00DC442F">
        <w:rPr>
          <w:color w:val="000000"/>
          <w:shd w:val="clear" w:color="auto" w:fill="FFFFFF"/>
        </w:rPr>
        <w:t>provide</w:t>
      </w:r>
      <w:r w:rsidR="006B4DF4" w:rsidRPr="00F45A07">
        <w:rPr>
          <w:color w:val="000000"/>
          <w:shd w:val="clear" w:color="auto" w:fill="FFFFFF"/>
        </w:rPr>
        <w:t xml:space="preserve"> sufficient sample size </w:t>
      </w:r>
      <w:r w:rsidR="00F45A07" w:rsidRPr="00F45A07">
        <w:rPr>
          <w:color w:val="000000"/>
          <w:shd w:val="clear" w:color="auto" w:fill="FFFFFF"/>
        </w:rPr>
        <w:t>for factor analysis</w:t>
      </w:r>
      <w:r w:rsidR="006B4DF4" w:rsidRPr="00F45A07">
        <w:rPr>
          <w:color w:val="000000"/>
          <w:shd w:val="clear" w:color="auto" w:fill="FFFFFF"/>
        </w:rPr>
        <w:t xml:space="preserve"> while </w:t>
      </w:r>
      <w:r w:rsidR="001142C6">
        <w:rPr>
          <w:color w:val="000000"/>
          <w:shd w:val="clear" w:color="auto" w:fill="FFFFFF"/>
        </w:rPr>
        <w:t>ensuring that participants were experiencing at least average levels of a</w:t>
      </w:r>
      <w:r w:rsidR="00DC442F">
        <w:rPr>
          <w:color w:val="000000"/>
          <w:shd w:val="clear" w:color="auto" w:fill="FFFFFF"/>
        </w:rPr>
        <w:t>cquisition and saving behaviors</w:t>
      </w:r>
      <w:r w:rsidR="006B4DF4" w:rsidRPr="00F45A07">
        <w:rPr>
          <w:color w:val="000000"/>
          <w:shd w:val="clear" w:color="auto" w:fill="FFFFFF"/>
        </w:rPr>
        <w:t xml:space="preserve"> (SI-R; </w:t>
      </w:r>
      <w:r w:rsidR="006B4DF4" w:rsidRPr="00F45A07">
        <w:rPr>
          <w:i/>
          <w:color w:val="000000"/>
          <w:shd w:val="clear" w:color="auto" w:fill="FFFFFF"/>
        </w:rPr>
        <w:t>M</w:t>
      </w:r>
      <w:r w:rsidR="006B4DF4" w:rsidRPr="00F45A07">
        <w:rPr>
          <w:color w:val="000000"/>
          <w:shd w:val="clear" w:color="auto" w:fill="FFFFFF"/>
        </w:rPr>
        <w:t xml:space="preserve"> = 32.32, </w:t>
      </w:r>
      <w:r w:rsidR="006B4DF4" w:rsidRPr="00F45A07">
        <w:rPr>
          <w:i/>
          <w:color w:val="000000"/>
          <w:shd w:val="clear" w:color="auto" w:fill="FFFFFF"/>
        </w:rPr>
        <w:t>SD</w:t>
      </w:r>
      <w:r w:rsidR="006B4DF4" w:rsidRPr="00F45A07">
        <w:rPr>
          <w:color w:val="000000"/>
          <w:shd w:val="clear" w:color="auto" w:fill="FFFFFF"/>
        </w:rPr>
        <w:t xml:space="preserve"> = 9.03, range: 22-61)</w:t>
      </w:r>
      <w:r w:rsidR="009D54B9">
        <w:rPr>
          <w:color w:val="000000"/>
          <w:shd w:val="clear" w:color="auto" w:fill="FFFFFF"/>
        </w:rPr>
        <w:t xml:space="preserve">. </w:t>
      </w:r>
    </w:p>
    <w:p w14:paraId="2C23F76B" w14:textId="5EECA846" w:rsidR="001142C6" w:rsidRDefault="001142C6" w:rsidP="004259C2">
      <w:pPr>
        <w:spacing w:line="480" w:lineRule="auto"/>
        <w:contextualSpacing/>
        <w:rPr>
          <w:color w:val="000000"/>
          <w:shd w:val="clear" w:color="auto" w:fill="FFFFFF"/>
        </w:rPr>
      </w:pPr>
      <w:r>
        <w:rPr>
          <w:color w:val="000000"/>
          <w:shd w:val="clear" w:color="auto" w:fill="FFFFFF"/>
        </w:rPr>
        <w:tab/>
      </w:r>
      <w:r w:rsidR="009D54B9">
        <w:rPr>
          <w:color w:val="000000"/>
          <w:shd w:val="clear" w:color="auto" w:fill="FFFFFF"/>
        </w:rPr>
        <w:t>For factor analysis, experts have recommended at least 5 participants per variable and a minimum total sample of 100 (Streiner, 1994) or 200 (Gorsuch, 1983).</w:t>
      </w:r>
      <w:r w:rsidR="00E249B6">
        <w:rPr>
          <w:color w:val="000000"/>
          <w:shd w:val="clear" w:color="auto" w:fill="FFFFFF"/>
        </w:rPr>
        <w:t xml:space="preserve"> </w:t>
      </w:r>
      <w:r>
        <w:rPr>
          <w:color w:val="000000"/>
          <w:shd w:val="clear" w:color="auto" w:fill="FFFFFF"/>
        </w:rPr>
        <w:t>Factor solutions depend not just on sample size, but also on the number of items per factor and the item loadings (Guadagnoli &amp; Velicer, 1988) and it</w:t>
      </w:r>
      <w:r w:rsidR="00E249B6">
        <w:rPr>
          <w:color w:val="000000"/>
          <w:shd w:val="clear" w:color="auto" w:fill="FFFFFF"/>
        </w:rPr>
        <w:t xml:space="preserve"> has also been demonstrated</w:t>
      </w:r>
      <w:r w:rsidR="00E249B6" w:rsidRPr="00E249B6">
        <w:rPr>
          <w:color w:val="000000"/>
          <w:shd w:val="clear" w:color="auto" w:fill="FFFFFF"/>
        </w:rPr>
        <w:t xml:space="preserve"> that samp</w:t>
      </w:r>
      <w:r w:rsidR="00E249B6">
        <w:rPr>
          <w:color w:val="000000"/>
          <w:shd w:val="clear" w:color="auto" w:fill="FFFFFF"/>
        </w:rPr>
        <w:t>les of 150 provide</w:t>
      </w:r>
      <w:r w:rsidR="00E249B6" w:rsidRPr="00E249B6">
        <w:rPr>
          <w:color w:val="000000"/>
          <w:shd w:val="clear" w:color="auto" w:fill="FFFFFF"/>
        </w:rPr>
        <w:t xml:space="preserve"> </w:t>
      </w:r>
      <w:r>
        <w:rPr>
          <w:color w:val="000000"/>
          <w:shd w:val="clear" w:color="auto" w:fill="FFFFFF"/>
        </w:rPr>
        <w:t>stable</w:t>
      </w:r>
      <w:r w:rsidR="00E249B6" w:rsidRPr="00E249B6">
        <w:rPr>
          <w:color w:val="000000"/>
          <w:shd w:val="clear" w:color="auto" w:fill="FFFFFF"/>
        </w:rPr>
        <w:t xml:space="preserve"> solutions </w:t>
      </w:r>
      <w:r w:rsidR="00E249B6">
        <w:rPr>
          <w:color w:val="000000"/>
          <w:shd w:val="clear" w:color="auto" w:fill="FFFFFF"/>
        </w:rPr>
        <w:t xml:space="preserve">in factor analysis when 1) a minimum of </w:t>
      </w:r>
      <w:r w:rsidR="00E249B6" w:rsidRPr="00E249B6">
        <w:rPr>
          <w:color w:val="000000"/>
          <w:shd w:val="clear" w:color="auto" w:fill="FFFFFF"/>
        </w:rPr>
        <w:t xml:space="preserve">10 variables </w:t>
      </w:r>
      <w:r w:rsidR="00E249B6">
        <w:rPr>
          <w:color w:val="000000"/>
          <w:shd w:val="clear" w:color="auto" w:fill="FFFFFF"/>
        </w:rPr>
        <w:t>load</w:t>
      </w:r>
      <w:r w:rsidR="00E249B6" w:rsidRPr="00E249B6">
        <w:rPr>
          <w:color w:val="000000"/>
          <w:shd w:val="clear" w:color="auto" w:fill="FFFFFF"/>
        </w:rPr>
        <w:t xml:space="preserve"> .4 on each factor or </w:t>
      </w:r>
      <w:r w:rsidR="00E249B6">
        <w:rPr>
          <w:color w:val="000000"/>
          <w:shd w:val="clear" w:color="auto" w:fill="FFFFFF"/>
        </w:rPr>
        <w:t xml:space="preserve">2) </w:t>
      </w:r>
      <w:r w:rsidR="00E249B6" w:rsidRPr="00E249B6">
        <w:rPr>
          <w:color w:val="000000"/>
          <w:shd w:val="clear" w:color="auto" w:fill="FFFFFF"/>
        </w:rPr>
        <w:t xml:space="preserve">when each component </w:t>
      </w:r>
      <w:r w:rsidR="00E249B6">
        <w:rPr>
          <w:color w:val="000000"/>
          <w:shd w:val="clear" w:color="auto" w:fill="FFFFFF"/>
        </w:rPr>
        <w:t>has</w:t>
      </w:r>
      <w:r w:rsidR="00E249B6" w:rsidRPr="00E249B6">
        <w:rPr>
          <w:color w:val="000000"/>
          <w:shd w:val="clear" w:color="auto" w:fill="FFFFFF"/>
        </w:rPr>
        <w:t xml:space="preserve"> </w:t>
      </w:r>
      <w:r>
        <w:rPr>
          <w:color w:val="000000"/>
          <w:shd w:val="clear" w:color="auto" w:fill="FFFFFF"/>
        </w:rPr>
        <w:t xml:space="preserve">a minimum of </w:t>
      </w:r>
      <w:r w:rsidR="00E249B6" w:rsidRPr="00E249B6">
        <w:rPr>
          <w:color w:val="000000"/>
          <w:shd w:val="clear" w:color="auto" w:fill="FFFFFF"/>
        </w:rPr>
        <w:t>four variables loading .6 or higher</w:t>
      </w:r>
      <w:r>
        <w:rPr>
          <w:color w:val="000000"/>
          <w:shd w:val="clear" w:color="auto" w:fill="FFFFFF"/>
        </w:rPr>
        <w:t xml:space="preserve"> (Guadagnoli &amp; Velicer, 1988)</w:t>
      </w:r>
      <w:r w:rsidR="00E249B6">
        <w:rPr>
          <w:color w:val="000000"/>
          <w:shd w:val="clear" w:color="auto" w:fill="FFFFFF"/>
        </w:rPr>
        <w:t>.</w:t>
      </w:r>
      <w:r w:rsidR="006B4DF4" w:rsidRPr="00F45A07">
        <w:rPr>
          <w:color w:val="000000"/>
          <w:shd w:val="clear" w:color="auto" w:fill="FFFFFF"/>
        </w:rPr>
        <w:t xml:space="preserve"> </w:t>
      </w:r>
      <w:r w:rsidR="0012776E">
        <w:rPr>
          <w:color w:val="000000"/>
          <w:shd w:val="clear" w:color="auto" w:fill="FFFFFF"/>
        </w:rPr>
        <w:t>As such, we anticipated that a sample of 200 would likely be sufficient.</w:t>
      </w:r>
    </w:p>
    <w:p w14:paraId="7A3B1C5D" w14:textId="38007838" w:rsidR="00C56AD2" w:rsidRDefault="001142C6" w:rsidP="004259C2">
      <w:pPr>
        <w:spacing w:line="480" w:lineRule="auto"/>
        <w:contextualSpacing/>
        <w:rPr>
          <w:color w:val="000000"/>
        </w:rPr>
      </w:pPr>
      <w:r>
        <w:rPr>
          <w:color w:val="000000"/>
          <w:shd w:val="clear" w:color="auto" w:fill="FFFFFF"/>
        </w:rPr>
        <w:tab/>
      </w:r>
      <w:r w:rsidR="006B4DF4" w:rsidRPr="00F45A07">
        <w:rPr>
          <w:color w:val="000000"/>
          <w:shd w:val="clear" w:color="auto" w:fill="FFFFFF"/>
        </w:rPr>
        <w:t>The mean score</w:t>
      </w:r>
      <w:r w:rsidR="00123045" w:rsidRPr="00F45A07">
        <w:rPr>
          <w:color w:val="000000"/>
          <w:shd w:val="clear" w:color="auto" w:fill="FFFFFF"/>
        </w:rPr>
        <w:t xml:space="preserve"> of 21.27</w:t>
      </w:r>
      <w:r w:rsidR="006B4DF4" w:rsidRPr="00F45A07">
        <w:rPr>
          <w:color w:val="000000"/>
          <w:shd w:val="clear" w:color="auto" w:fill="FFFFFF"/>
        </w:rPr>
        <w:t xml:space="preserve"> on the SI-R in the </w:t>
      </w:r>
      <w:r w:rsidR="00123045" w:rsidRPr="00F45A07">
        <w:rPr>
          <w:color w:val="000000"/>
          <w:shd w:val="clear" w:color="auto" w:fill="FFFFFF"/>
        </w:rPr>
        <w:t>larger</w:t>
      </w:r>
      <w:r w:rsidR="006B4DF4" w:rsidRPr="00F45A07">
        <w:rPr>
          <w:color w:val="000000"/>
          <w:shd w:val="clear" w:color="auto" w:fill="FFFFFF"/>
        </w:rPr>
        <w:t xml:space="preserve"> sample is similar to previous studies with unscreened college students (e.g.,</w:t>
      </w:r>
      <w:r w:rsidR="006B4DF4" w:rsidRPr="00F45A07">
        <w:rPr>
          <w:color w:val="000000"/>
          <w:shd w:val="clear" w:color="auto" w:fill="FFFFFF"/>
        </w:rPr>
        <w:fldChar w:fldCharType="begin" w:fldLock="1"/>
      </w:r>
      <w:r w:rsidR="00194ED1">
        <w:rPr>
          <w:color w:val="000000"/>
          <w:shd w:val="clear" w:color="auto" w:fill="FFFFFF"/>
        </w:rPr>
        <w:instrText>ADDIN CSL_CITATION { "citationItems" : [ { "id" : "ITEM-1", "itemData" : { "DOI" : "10.1016/S0005-7967(01)00136-X", "ISBN" : "0005-7967", "ISSN" : "00057967", "PMID" : "12547379", "abstract" : "Hoarding behaviors occur in many clinical syndromes but are most commonly linked to obsessive compulsive disorder. Surprisingly little empirical work has examined the nature of hoarding behaviors despite their association with significant distress and impairment. The current study examined hoarding in 563 unselected college students. Using principal components analysis, we identified four domains of hoarding behaviors as measured by the 26-item Saving Inventory-Revised: Difficulty Discarding, Acquisition Problems, Clutter, and Interference/Distress. All four domains and total hoarding behaviors were strongly related to hoarding beliefs and to obsessive compulsive (OC) symptoms. Hoarding behaviors were most strongly correlated with subscales of an OC disorder (OCD) measure assessing hoarding and obsessions and least strongly correlated with the washing subscale. Hoarding behaviors also showed significant, but more modest, correlations with social anxiety, depressive symptoms, and worry. However, worry was not found to contribute unique variance to the prediction of hoarding behaviors. Of greatest note, hoarding behaviors showed a surprisingly strong relationship with anxiety sensitivity, similar in magnitude to the relationship between hoarding and OCD symptoms. Results are interpreted and lines of future research are proposed, with particular emphasis on further elucidating the relationship between hoarding behaviors and anxiety sensitivity. \u00a9 2003 Elsevier Science Ltd. All rights reserved.", "author" : [ { "dropping-particle" : "", "family" : "Coles", "given" : "Meredith E.", "non-dropping-particle" : "", "parse-names" : false, "suffix" : "" }, { "dropping-particle" : "", "family" : "Frost", "given" : "Randy O.", "non-dropping-particle" : "", "parse-names" : false, "suffix" : "" }, { "dropping-particle" : "", "family" : "Heimberg", "given" : "Richard G.", "non-dropping-particle" : "", "parse-names" : false, "suffix" : "" }, { "dropping-particle" : "", "family" : "Steketee", "given" : "Gail", "non-dropping-particle" : "", "parse-names" : false, "suffix" : "" } ], "container-title" : "Behaviour Research and Therapy", "id" : "ITEM-1", "issued" : { "date-parts" : [ [ "2003" ] ] }, "page" : "179-194", "title" : "Hoarding behaviors in a large college sample", "type" : "article-journal", "volume" : "41" }, "uris" : [ "http://www.mendeley.com/documents/?uuid=2436e3c0-844c-4089-8909-a250597a8009" ] }, { "id" : "ITEM-2", "itemData" : { "DOI" : "10.1016/j.jad.2012.08.003", "ISBN" : "0165-0327\\r1573-2517", "ISSN" : "1573-2517", "PMID" : "22921482", "abstract" : "BACKGROUND: Intolerance of uncertainty (IU) has been identified as a key vulnerability factor among numerous anxiety related conditions. It has been suggested that individuals engage in uncertainty-motivated behaviors such as avoidance, as a way to cope with ambiguous and potentially distressing situations. Patterns of behavioral avoidance have also been observed in a substantial number of hoarding patients and are thought to directly contribute to the avoidance of discarding. However, no studies to date have examined the potential relationship between IU and hoarding. The primary aim of the current investigation was to examine the association between IU and hoarding behaviors.\\n\\nMETHOD: Participants consisted of 279 college students from a large southern university.\\n\\nRESULTS: Results revealed that IU was a significant predictor of hoarding severity after controlling for relevant covariates. Moreover, when looking at the relationships among IU subfactors and hoarding, results indicated that Factor 1 was significantly associated with hoarding severity whereas Factor 2 was not.\\n\\nLIMITATIONS: Future research should attempt to replicate the findings within clinical populations. Additionally, due to the cross sectional nature of the study, future work should utilize a longitudinal design.\\n\\nCONCLUSIONS: The current study provides additional evidence that IU is an important individual difference variable associated with various anxiety related conditions. Moreover, our findings revealed that IU is a unique and robust predictor of hoarding behaviors. Increasing our knowledge of vulnerability factors in compulsive hoarding has important implications for the classification of this disorder within DSM-V. Additionally, this information could inform future research and treatment programs.", "author" : [ { "dropping-particle" : "", "family" : "Oglesby", "given" : "Mary E", "non-dropping-particle" : "", "parse-names" : false, "suffix" : "" }, { "dropping-particle" : "", "family" : "Medley", "given" : "Amanda N", "non-dropping-particle" : "", "parse-names" : false, "suffix" : "" }, { "dropping-particle" : "", "family" : "Norr", "given" : "Aaron M", "non-dropping-particle" : "", "parse-names" : false, "suffix" : "" }, { "dropping-particle" : "", "family" : "Capron", "given" : "Daniel W", "non-dropping-particle" : "", "parse-names" : false, "suffix" : "" }, { "dropping-particle" : "", "family" : "Korte", "given" : "Kristina J", "non-dropping-particle" : "", "parse-names" : false, "suffix" : "" }, { "dropping-particle" : "", "family" : "Schmidt", "given" : "Norman B", "non-dropping-particle" : "", "parse-names" : false, "suffix" : "" } ], "container-title" : "Journal of Affective Disorders", "id" : "ITEM-2", "issued" : { "date-parts" : [ [ "2013" ] ] }, "page" : "227-231", "publisher" : "Elsevier", "title" : "Intolerance of uncertainty as a vulnerability factor for hoarding behaviors.", "type" : "article-journal", "volume" : "145" }, "uris" : [ "http://www.mendeley.com/documents/?uuid=85800660-75f5-46f2-ba17-e9568ccbd8ce" ] }, { "id" : "ITEM-3", "itemData" : { "DOI" : "10.1016/j.jpsychires.2012.10.017", "ISBN" : "0022-3956", "ISSN" : "1879-1379", "PMID" : "23168138", "abstract" : "The proposed hoarding disorder represents a serious psychiatric condition and considerable public health burden. Although tremendous strides have been made in understanding the phenomenology and treatment of this condition, many features regarding the etiology and nosology remain unclear. In particular, the association between impulsivity and hoarding, as well as the differential role of impulsivity versus compulsivity has yet to be fully considered. The current investigation sought to fill this gap in the literature by examining the relationship between hoarding and impulsivity across two independent, cross-cultural investigations. Two separate conceptualizations of the impulsivity construct were considered, including the Barratt Impulsivity Scale and the UPPS Impulsive Behavior Scale. Across Study 1 (US young adult sample; N = 372) and Study 2 (German young adult sample; N = 160) results revealed that hoarding was associated with greater rates of impulsivity, despite controlling for theoretically relevant covariates. More fined-grained analyses revealed a differential relationship with respect to the various facets of impulsivity, such that hoarding was most strongly linked with attentional and motor impulsivity, as well as urgency (i.e., impulsive behaviors in response to negative affect) and lack of perseverance. When considered simultaneously, both impulsivity and non-hoarding OCD symptoms explained unique variance in hoarding. The implications of impulsivity for hoarding are discussed from a classification perspective, as well as from a vulnerability standpoint.", "author" : [ { "dropping-particle" : "", "family" : "Timpano", "given" : "Kiara R", "non-dropping-particle" : "", "parse-names" : false, "suffix" : "" }, { "dropping-particle" : "", "family" : "Rasmussen", "given" : "Jessica", "non-dropping-particle" : "", "parse-names" : false, "suffix" : "" }, { "dropping-particle" : "", "family" : "Exner", "given" : "Cornelia", "non-dropping-particle" : "", "parse-names" : false, "suffix" : "" }, { "dropping-particle" : "", "family" : "Rief", "given" : "Winfried", "non-dropping-particle" : "", "parse-names" : false, "suffix" : "" }, { "dropping-particle" : "", "family" : "Schmidt", "given" : "Norman B", "non-dropping-particle" : "", "parse-names" : false, "suffix" : "" }, { "dropping-particle" : "", "family" : "Wilhelm", "given" : "Sabine", "non-dropping-particle" : "", "parse-names" : false, "suffix" : "" } ], "container-title" : "Journal of psychiatric research", "id" : "ITEM-3", "issue" : "3", "issued" : { "date-parts" : [ [ "2013" ] ] }, "page" : "363-70", "title" : "Hoarding and the multi-faceted construct of impulsivity: a cross-cultural investigation.", "type" : "article-journal", "volume" : "47" }, "uris" : [ "http://www.mendeley.com/documents/?uuid=202321bc-a9c3-41a8-8aa2-3952f4173484" ] }, { "id" : "ITEM-4", "itemData" : { "DOI" : "10.1016/j.beth.2014.04.002", "ISSN" : "00057894", "author" : [ { "dropping-particle" : "", "family" : "Timpano", "given" : "Kiara R.", "non-dropping-particle" : "", "parse-names" : false, "suffix" : "" }, { "dropping-particle" : "", "family" : "Shaw", "given" : "Ashley M.", "non-dropping-particle" : "", "parse-names" : false, "suffix" : "" }, { "dropping-particle" : "", "family" : "Cougle", "given" : "Jesse R.", "non-dropping-particle" : "", "parse-names" : false, "suffix" : "" }, { "dropping-particle" : "", "family" : "Fitch", "given" : "Kristin E.", "non-dropping-particle" : "", "parse-names" : false, "suffix" : "" } ], "container-title" : "Behavior Therapy", "id" : "ITEM-4", "issued" : { "date-parts" : [ [ "2014" ] ] }, "page" : "690-699", "publisher" : "Elsevier B.V.", "title" : "A multifaceted assessment of emotional tolerance and intensity in hoarding", "type" : "article-journal", "volume" : "45" }, "uris" : [ "http://www.mendeley.com/documents/?uuid=ce936080-24f4-45dd-ac2b-dba5adcfd0d8" ] } ], "mendeley" : { "formattedCitation" : "(Coles, Frost, Heimberg, &amp; Steketee, 2003; Oglesby et al., 2013; Kiara R. Timpano et al., 2014; Kiara R Timpano et al., 2013)", "manualFormatting" : "(Coles, Frost, Heimberg, &amp; Steketee, 2003; Oglesby et al., 2013; Timpano et al., 2014; Timpano, Rasmussen et al., 2013)", "plainTextFormattedCitation" : "(Coles, Frost, Heimberg, &amp; Steketee, 2003; Oglesby et al., 2013; Kiara R. Timpano et al., 2014; Kiara R Timpano et al., 2013)", "previouslyFormattedCitation" : "(Coles, Frost, Heimberg, &amp; Steketee, 2003; Oglesby et al., 2013; Kiara R. Timpano et al., 2014; Kiara R Timpano et al., 2013)" }, "properties" : { "noteIndex" : 0 }, "schema" : "https://github.com/citation-style-language/schema/raw/master/csl-citation.json" }</w:instrText>
      </w:r>
      <w:r w:rsidR="006B4DF4" w:rsidRPr="00F45A07">
        <w:rPr>
          <w:color w:val="000000"/>
          <w:shd w:val="clear" w:color="auto" w:fill="FFFFFF"/>
        </w:rPr>
        <w:fldChar w:fldCharType="separate"/>
      </w:r>
      <w:r w:rsidR="00194ED1" w:rsidRPr="00194ED1">
        <w:rPr>
          <w:noProof/>
          <w:color w:val="000000"/>
          <w:shd w:val="clear" w:color="auto" w:fill="FFFFFF"/>
        </w:rPr>
        <w:t>(Coles, Frost, Heimberg, &amp; Steketee, 2003; Oglesby et al., 2013; Timpano et al., 2014; Timpano</w:t>
      </w:r>
      <w:r w:rsidR="00194ED1">
        <w:rPr>
          <w:noProof/>
          <w:color w:val="000000"/>
          <w:shd w:val="clear" w:color="auto" w:fill="FFFFFF"/>
        </w:rPr>
        <w:t>, Rasmussen</w:t>
      </w:r>
      <w:r w:rsidR="00194ED1" w:rsidRPr="00194ED1">
        <w:rPr>
          <w:noProof/>
          <w:color w:val="000000"/>
          <w:shd w:val="clear" w:color="auto" w:fill="FFFFFF"/>
        </w:rPr>
        <w:t xml:space="preserve"> et al., 2013)</w:t>
      </w:r>
      <w:r w:rsidR="006B4DF4" w:rsidRPr="00F45A07">
        <w:rPr>
          <w:color w:val="000000"/>
          <w:shd w:val="clear" w:color="auto" w:fill="FFFFFF"/>
        </w:rPr>
        <w:fldChar w:fldCharType="end"/>
      </w:r>
      <w:r w:rsidR="006B4DF4" w:rsidRPr="00F45A07">
        <w:rPr>
          <w:color w:val="000000"/>
          <w:shd w:val="clear" w:color="auto" w:fill="FFFFFF"/>
        </w:rPr>
        <w:t xml:space="preserve">. </w:t>
      </w:r>
      <w:r w:rsidR="00A44E26" w:rsidRPr="00981D9A">
        <w:rPr>
          <w:color w:val="000000"/>
        </w:rPr>
        <w:t xml:space="preserve">Participants were recruited through fliers and the online SONA research participation platform. To be eligible participants had to be at least 18 years of age and fluent in English. </w:t>
      </w:r>
      <w:r w:rsidR="00441D59" w:rsidRPr="00981D9A">
        <w:rPr>
          <w:color w:val="000000"/>
        </w:rPr>
        <w:t xml:space="preserve">The mean age in the sample was 20.20 (SD=4.09, range: 18-54) and this sample was 73.6% female (26.4% male), and ethnically homogeneous (90.0% White, 3.5% Hispanic/Latino, 2.5% biracial/multiracial, 1.5% Asian American, 1.0% Native Hawaiian/Pacific Islander, 0.5% Native American, and 1.0% other). </w:t>
      </w:r>
      <w:r w:rsidR="00A44E26" w:rsidRPr="00981D9A">
        <w:rPr>
          <w:color w:val="000000"/>
        </w:rPr>
        <w:t xml:space="preserve">                       </w:t>
      </w:r>
    </w:p>
    <w:p w14:paraId="48BC243B" w14:textId="77777777" w:rsidR="00441D59" w:rsidRPr="00981D9A" w:rsidRDefault="00441D59" w:rsidP="00467D55">
      <w:pPr>
        <w:spacing w:line="480" w:lineRule="auto"/>
        <w:contextualSpacing/>
        <w:rPr>
          <w:color w:val="000000"/>
        </w:rPr>
      </w:pPr>
      <w:r w:rsidRPr="00981D9A">
        <w:rPr>
          <w:color w:val="000000"/>
        </w:rPr>
        <w:tab/>
        <w:t xml:space="preserve">The survey was hosted on the secure Qualtrics platform and completed anonymously online. </w:t>
      </w:r>
      <w:r w:rsidR="00271654" w:rsidRPr="00981D9A">
        <w:rPr>
          <w:color w:val="000000"/>
        </w:rPr>
        <w:t xml:space="preserve">Participants received research participation credit for their participation according to course policies. </w:t>
      </w:r>
      <w:r w:rsidRPr="00981D9A">
        <w:rPr>
          <w:color w:val="000000"/>
        </w:rPr>
        <w:t xml:space="preserve">Participants were required to provide informed consent at the start of the survey, and all study procedures were approved by the Institutional Review Board of the authors’ university.  </w:t>
      </w:r>
    </w:p>
    <w:p w14:paraId="74C6BC6E" w14:textId="77777777" w:rsidR="00204967" w:rsidRPr="00C6071D" w:rsidRDefault="00455254" w:rsidP="00467D55">
      <w:pPr>
        <w:spacing w:line="480" w:lineRule="auto"/>
        <w:contextualSpacing/>
        <w:rPr>
          <w:b/>
        </w:rPr>
      </w:pPr>
      <w:r>
        <w:rPr>
          <w:b/>
        </w:rPr>
        <w:t>Initial Scale D</w:t>
      </w:r>
      <w:r w:rsidR="00204967" w:rsidRPr="00C6071D">
        <w:rPr>
          <w:b/>
        </w:rPr>
        <w:t>evelopment</w:t>
      </w:r>
    </w:p>
    <w:p w14:paraId="0737AF5E" w14:textId="6CC3514C" w:rsidR="00204967" w:rsidRPr="00981D9A" w:rsidRDefault="008B30A4" w:rsidP="00467D55">
      <w:pPr>
        <w:spacing w:line="480" w:lineRule="auto"/>
        <w:contextualSpacing/>
      </w:pPr>
      <w:r w:rsidRPr="00981D9A">
        <w:rPr>
          <w:b/>
        </w:rPr>
        <w:tab/>
      </w:r>
      <w:r w:rsidRPr="00981D9A">
        <w:t xml:space="preserve">A pool of </w:t>
      </w:r>
      <w:r w:rsidR="00704E2A">
        <w:t>39</w:t>
      </w:r>
      <w:r w:rsidR="00704E2A" w:rsidRPr="00981D9A">
        <w:t xml:space="preserve"> </w:t>
      </w:r>
      <w:r w:rsidRPr="00981D9A">
        <w:t xml:space="preserve">items was developed to assess psychological inflexibility related to hoarding. Items were </w:t>
      </w:r>
      <w:r w:rsidR="004259C2">
        <w:t>written</w:t>
      </w:r>
      <w:r w:rsidRPr="00981D9A">
        <w:t xml:space="preserve"> to assess all facets of psychological inflexibility (experiential avoidance, cognitive fusion, rigid attention/inattention, self-as-content, disconnection from values, and lack of committed action) </w:t>
      </w:r>
      <w:r w:rsidR="007A44BB">
        <w:t>in relation to</w:t>
      </w:r>
      <w:r w:rsidR="007A44BB" w:rsidRPr="00981D9A">
        <w:t xml:space="preserve"> </w:t>
      </w:r>
      <w:r w:rsidRPr="00981D9A">
        <w:t xml:space="preserve">major features of hoarding (difficulty discarding, acquisition, and clutter). </w:t>
      </w:r>
      <w:r w:rsidR="00CA106D" w:rsidRPr="00981D9A">
        <w:t xml:space="preserve">As in other studies developing domain-specific measures of psychological flexibility </w:t>
      </w:r>
      <w:r w:rsidR="00BB04FC">
        <w:fldChar w:fldCharType="begin" w:fldLock="1"/>
      </w:r>
      <w:r w:rsidR="004259C2">
        <w:instrText>ADDIN CSL_CITATION { "citationItems" : [ { "id" : "ITEM-1", "itemData" : { "DOI" : "10.3109/16066359.2010.524956", "ISBN" : "1606-6359", "ISSN" : "1606-6359", "abstract" : "Psychological flexibility is a relatively new clinical construct targeted by Acceptance and Commitment Therapy, a behavior analytic treatment incorporat- ing mindfulness and values interventions, among other processes. Poor psychological flexibility has been shown to relate to clinical problems as well as normative life challenges, and efforts to increase psychological flexibility have correlated with improvements for a variety of psychological diffi- culties, including substance abuse. The Acceptance and Action Questionnaire (AAQ) is currently the standard measure of psychological flexibility, but in substance misusing samples, has not shown adequate psychometric properties. Content-specific variants of the AAQ have been effective in other treatment domains, suggesting that a substance abuse focused version of the AAQ may be useful. This article details the construction and initial validation of such a measure, the AAQ-SA, which demonstrated good internal consistency, factor structure, and construct validity. In addition, the AAQ-SA appeared to be empirically distinguishable from the AAQ. Future researchers are advised to address limitations of this study and encouraged to expand the empirical database on substance abuse treatment with this new measure.", "author" : [ { "dropping-particle" : "", "family" : "Luoma", "given" : "Jason", "non-dropping-particle" : "", "parse-names" : false, "suffix" : "" }, { "dropping-particle" : "", "family" : "Drake", "given" : "Chad E.", "non-dropping-particle" : "", "parse-names" : false, "suffix" : "" }, { "dropping-particle" : "", "family" : "Kohlenberg", "given" : "Barbara S.", "non-dropping-particle" : "", "parse-names" : false, "suffix" : "" }, { "dropping-particle" : "", "family" : "Hayes", "given" : "Steven C.", "non-dropping-particle" : "", "parse-names" : false, "suffix" : "" } ], "container-title" : "Addiction Research &amp; Theory", "id" : "ITEM-1", "issued" : { "date-parts" : [ [ "2011" ] ] }, "page" : "3-13", "title" : "Substance abuse and psychological flexibility: The development of a new measure", "type" : "article-journal", "volume" : "19" }, "uris" : [ "http://www.mendeley.com/documents/?uuid=37d30082-3592-4929-90a2-f44e71115d91" ] }, { "id" : "ITEM-2", "itemData" : { "DOI" : "10.1016/j.jcbs.2013.11.003.The", "author" : [ { "dropping-particle" : "", "family" : "Levin", "given" : "M. E.", "non-dropping-particle" : "", "parse-names" : false, "suffix" : "" }, { "dropping-particle" : "", "family" : "Luoma", "given" : "Jason B.", "non-dropping-particle" : "", "parse-names" : false, "suffix" : "" }, { "dropping-particle" : "", "family" : "Lillis", "given" : "J.", "non-dropping-particle" : "", "parse-names" : false, "suffix" : "" }, { "dropping-particle" : "", "family" : "Hayes", "given" : "Steven C.", "non-dropping-particle" : "", "parse-names" : false, "suffix" : "" }, { "dropping-particle" : "", "family" : "Vilardaga", "given" : "Roger", "non-dropping-particle" : "", "parse-names" : false, "suffix" : "" } ], "container-title" : "Journal of Contextual Behavioral Science", "id" : "ITEM-2", "issued" : { "date-parts" : [ [ "2014" ] ] }, "page" : "21-26", "title" : "The Acceptance and Action Questionnaire - Stigma (AAQ-S): Developing a measure of psychological flexibility with stigmatizing thoughts", "type" : "article-journal", "volume" : "3" }, "uris" : [ "http://www.mendeley.com/documents/?uuid=3a032df2-d3e9-4264-b201-82a85cef7c0a" ] } ], "mendeley" : { "formattedCitation" : "(M. E. Levin, Luoma, Lillis, Hayes, &amp; Vilardaga, 2014; Luoma, Drake, Kohlenberg, &amp; Hayes, 2011)", "manualFormatting" : "(Levin, Luoma, Lillis, Hayes, &amp; Vilardaga, 2014; Luoma, Drake, Kohlenberg, &amp; Hayes, 2011)", "plainTextFormattedCitation" : "(M. E. Levin, Luoma, Lillis, Hayes, &amp; Vilardaga, 2014; Luoma, Drake, Kohlenberg, &amp; Hayes, 2011)", "previouslyFormattedCitation" : "(M. E. Levin, Luoma, Lillis, Hayes, &amp; Vilardaga, 2014; Luoma, Drake, Kohlenberg, &amp; Hayes, 2011)" }, "properties" : { "noteIndex" : 0 }, "schema" : "https://github.com/citation-style-language/schema/raw/master/csl-citation.json" }</w:instrText>
      </w:r>
      <w:r w:rsidR="00BB04FC">
        <w:fldChar w:fldCharType="separate"/>
      </w:r>
      <w:r w:rsidR="004259C2">
        <w:rPr>
          <w:noProof/>
        </w:rPr>
        <w:t>(</w:t>
      </w:r>
      <w:r w:rsidR="005B13B8" w:rsidRPr="005B13B8">
        <w:rPr>
          <w:noProof/>
        </w:rPr>
        <w:t>Levin, Luoma, Lillis, Hayes, &amp; Vilardaga, 2014; Luoma, Drake, Kohlenberg, &amp; Hayes, 2011)</w:t>
      </w:r>
      <w:r w:rsidR="00BB04FC">
        <w:fldChar w:fldCharType="end"/>
      </w:r>
      <w:r w:rsidR="00BB04FC">
        <w:t xml:space="preserve"> </w:t>
      </w:r>
      <w:r w:rsidR="00CA106D" w:rsidRPr="00981D9A">
        <w:t xml:space="preserve">some items were developed through adaptation from existing measures such as the </w:t>
      </w:r>
      <w:r w:rsidR="00797BDA" w:rsidRPr="00981D9A">
        <w:t xml:space="preserve">AAQ-II </w:t>
      </w:r>
      <w:r w:rsidR="00BB04FC">
        <w:fldChar w:fldCharType="begin" w:fldLock="1"/>
      </w:r>
      <w:r w:rsidR="00BB04FC">
        <w:instrText>ADDIN CSL_CITATION { "citationItems" : [ { "id" : "ITEM-1", "itemData" : { "DOI" : "10.1016/j.beth.2011.03.007", "ISBN" : "0005-7894", "ISSN" : "00057894", "PMID" : "22035996", "abstract" : "The present research describes the development and psychometric evaluation of a second version of the Acceptance and Action Questionnaire (AAQ-II), which assesses the construct referred to as, variously, acceptance, experiential avoidance, and psychological inflexibility. Results from 2,816 participants across six samples indicate the satisfactory structure, reliability, and validity of this measure. For example, the mean alpha coefficient is .84 (.78-.88), and the 3- and 12-month test-retest reliability is .81 and .79, respectively. Results indicate that AAQ-II scores concurrently, longitudinally, and incrementally predict a range of outcomes, from mental health to work absence rates, that are consistent with its underlying theory. The AAQ-II also demonstrates appropriate discriminant validity. The AAQ-II appears to measure the same concept as the AAQ-I (r=.97) but with better psychometric consistency. \u00a9 2011.", "author" : [ { "dropping-particle" : "", "family" : "Bond", "given" : "Frank W.", "non-dropping-particle" : "", "parse-names" : false, "suffix" : "" }, { "dropping-particle" : "", "family" : "Hayes", "given" : "Steven C.", "non-dropping-particle" : "", "parse-names" : false, "suffix" : "" }, { "dropping-particle" : "", "family" : "Baer", "given" : "Ruth A.", "non-dropping-particle" : "", "parse-names" : false, "suffix" : "" }, { "dropping-particle" : "", "family" : "Carpenter", "given" : "Kenneth M.", "non-dropping-particle" : "", "parse-names" : false, "suffix" : "" }, { "dropping-particle" : "", "family" : "Guenole", "given" : "Nigel", "non-dropping-particle" : "", "parse-names" : false, "suffix" : "" }, { "dropping-particle" : "", "family" : "Orcutt", "given" : "Holly K.", "non-dropping-particle" : "", "parse-names" : false, "suffix" : "" }, { "dropping-particle" : "", "family" : "Waltz", "given" : "Tom", "non-dropping-particle" : "", "parse-names" : false, "suffix" : "" }, { "dropping-particle" : "", "family" : "Zettle", "given" : "Robert D.", "non-dropping-particle" : "", "parse-names" : false, "suffix" : "" } ], "container-title" : "Behavior Therapy", "id" : "ITEM-1", "issued" : { "date-parts" : [ [ "2011" ] ] }, "page" : "676-688", "publisher" : "Elsevier B.V.", "title" : "Preliminary psychometric properties of the Acceptance and Action Questionnaire-II: A revised measure of psychological inflexibility and experiential avoidance", "type" : "article-journal", "volume" : "42" }, "uris" : [ "http://www.mendeley.com/documents/?uuid=c525203b-e6dc-466f-abf6-e13ef29ed472" ] } ], "mendeley" : { "formattedCitation" : "(Bond et al., 2011)", "plainTextFormattedCitation" : "(Bond et al., 2011)", "previouslyFormattedCitation" : "(Bond et al., 2011)" }, "properties" : { "noteIndex" : 0 }, "schema" : "https://github.com/citation-style-language/schema/raw/master/csl-citation.json" }</w:instrText>
      </w:r>
      <w:r w:rsidR="00BB04FC">
        <w:fldChar w:fldCharType="separate"/>
      </w:r>
      <w:r w:rsidR="00BB04FC" w:rsidRPr="00BB04FC">
        <w:rPr>
          <w:noProof/>
        </w:rPr>
        <w:t>(Bond et al., 2011)</w:t>
      </w:r>
      <w:r w:rsidR="00BB04FC">
        <w:fldChar w:fldCharType="end"/>
      </w:r>
      <w:r w:rsidR="00BC78F2">
        <w:t>,</w:t>
      </w:r>
      <w:r w:rsidR="008E0FCD">
        <w:t xml:space="preserve"> </w:t>
      </w:r>
      <w:r w:rsidR="008A471E">
        <w:t>the</w:t>
      </w:r>
      <w:r w:rsidR="008A471E" w:rsidRPr="00981D9A">
        <w:t xml:space="preserve"> </w:t>
      </w:r>
      <w:r w:rsidR="00797BDA" w:rsidRPr="00981D9A">
        <w:t xml:space="preserve">AAQ for Substance Abuse </w:t>
      </w:r>
      <w:r w:rsidR="00BB04FC">
        <w:fldChar w:fldCharType="begin" w:fldLock="1"/>
      </w:r>
      <w:r w:rsidR="008E0FCD">
        <w:instrText>ADDIN CSL_CITATION { "citationItems" : [ { "id" : "ITEM-1", "itemData" : { "DOI" : "10.3109/16066359.2010.524956", "ISBN" : "1606-6359", "ISSN" : "1606-6359", "abstract" : "Psychological flexibility is a relatively new clinical construct targeted by Acceptance and Commitment Therapy, a behavior analytic treatment incorporat- ing mindfulness and values interventions, among other processes. Poor psychological flexibility has been shown to relate to clinical problems as well as normative life challenges, and efforts to increase psychological flexibility have correlated with improvements for a variety of psychological diffi- culties, including substance abuse. The Acceptance and Action Questionnaire (AAQ) is currently the standard measure of psychological flexibility, but in substance misusing samples, has not shown adequate psychometric properties. Content-specific variants of the AAQ have been effective in other treatment domains, suggesting that a substance abuse focused version of the AAQ may be useful. This article details the construction and initial validation of such a measure, the AAQ-SA, which demonstrated good internal consistency, factor structure, and construct validity. In addition, the AAQ-SA appeared to be empirically distinguishable from the AAQ. Future researchers are advised to address limitations of this study and encouraged to expand the empirical database on substance abuse treatment with this new measure.", "author" : [ { "dropping-particle" : "", "family" : "Luoma", "given" : "Jason", "non-dropping-particle" : "", "parse-names" : false, "suffix" : "" }, { "dropping-particle" : "", "family" : "Drake", "given" : "Chad E.", "non-dropping-particle" : "", "parse-names" : false, "suffix" : "" }, { "dropping-particle" : "", "family" : "Kohlenberg", "given" : "Barbara S.", "non-dropping-particle" : "", "parse-names" : false, "suffix" : "" }, { "dropping-particle" : "", "family" : "Hayes", "given" : "Steven C.", "non-dropping-particle" : "", "parse-names" : false, "suffix" : "" } ], "container-title" : "Addiction Research &amp; Theory", "id" : "ITEM-1", "issued" : { "date-parts" : [ [ "2011" ] ] }, "page" : "3-13", "title" : "Substance abuse and psychological flexibility: The development of a new measure", "type" : "article-journal", "volume" : "19" }, "uris" : [ "http://www.mendeley.com/documents/?uuid=37d30082-3592-4929-90a2-f44e71115d91" ] } ], "mendeley" : { "formattedCitation" : "(Luoma et al., 2011)", "plainTextFormattedCitation" : "(Luoma et al., 2011)", "previouslyFormattedCitation" : "(Luoma et al., 2011)" }, "properties" : { "noteIndex" : 0 }, "schema" : "https://github.com/citation-style-language/schema/raw/master/csl-citation.json" }</w:instrText>
      </w:r>
      <w:r w:rsidR="00BB04FC">
        <w:fldChar w:fldCharType="separate"/>
      </w:r>
      <w:r w:rsidR="00BB04FC" w:rsidRPr="00BB04FC">
        <w:rPr>
          <w:noProof/>
        </w:rPr>
        <w:t>(Luoma et al., 2011)</w:t>
      </w:r>
      <w:r w:rsidR="00BB04FC">
        <w:fldChar w:fldCharType="end"/>
      </w:r>
      <w:r w:rsidR="008A471E">
        <w:t>,</w:t>
      </w:r>
      <w:r w:rsidR="008A471E" w:rsidRPr="008A471E">
        <w:t xml:space="preserve"> </w:t>
      </w:r>
      <w:r w:rsidR="008A471E">
        <w:t xml:space="preserve">the AAQ </w:t>
      </w:r>
      <w:r w:rsidR="003727A7">
        <w:t>for Weight (Lillis &amp; Hayes, 2007</w:t>
      </w:r>
      <w:r w:rsidR="008A471E">
        <w:t>), and the Social Anxiety AAQ (MacKenzie &amp; Kocovski, 2010)</w:t>
      </w:r>
      <w:r w:rsidR="00F4008E" w:rsidRPr="00981D9A">
        <w:t xml:space="preserve"> in addition to novel items written for this measure.</w:t>
      </w:r>
      <w:r w:rsidR="008A471E" w:rsidRPr="00981D9A">
        <w:t xml:space="preserve"> </w:t>
      </w:r>
      <w:r w:rsidR="008A471E">
        <w:t xml:space="preserve">Items that were adapted were selected not for similarity to hoarding as a problem area, but for 1) </w:t>
      </w:r>
      <w:r w:rsidR="000F0AF6">
        <w:t>construct</w:t>
      </w:r>
      <w:r w:rsidR="008A471E">
        <w:t xml:space="preserve"> validity in assessing psychological inflexibility, 2) clarity, and 3) if the item could be altered to</w:t>
      </w:r>
      <w:r w:rsidR="000F0AF6">
        <w:t xml:space="preserve"> refer to </w:t>
      </w:r>
      <w:r w:rsidR="009628A7">
        <w:t xml:space="preserve">problematic </w:t>
      </w:r>
      <w:r w:rsidR="008A471E">
        <w:t>hoarding. Novel items were written by the first and second authors</w:t>
      </w:r>
      <w:r w:rsidR="000F0AF6">
        <w:t xml:space="preserve"> with the goal of both </w:t>
      </w:r>
      <w:r w:rsidR="008A471E">
        <w:t>valid content (i.e., assessing psychological inflexibility or one or more of its component processes, in relation to hoarding) and clarity (i.e., easy to comprehend and evaluate oneself on the item).</w:t>
      </w:r>
    </w:p>
    <w:p w14:paraId="0F3B233A" w14:textId="37946759" w:rsidR="000F0AF6" w:rsidRDefault="000951B2" w:rsidP="00F431B1">
      <w:pPr>
        <w:spacing w:line="480" w:lineRule="auto"/>
        <w:ind w:firstLine="720"/>
      </w:pPr>
      <w:r w:rsidRPr="00F431B1">
        <w:t>The</w:t>
      </w:r>
      <w:r w:rsidR="00704E2A" w:rsidRPr="00F431B1">
        <w:t xml:space="preserve"> initial 39</w:t>
      </w:r>
      <w:r w:rsidRPr="00F431B1">
        <w:t xml:space="preserve"> items were reviewed by four expert judges, one professor and three doctoral students with extensive experience</w:t>
      </w:r>
      <w:r w:rsidR="004259C2">
        <w:t xml:space="preserve"> and training</w:t>
      </w:r>
      <w:r w:rsidRPr="00F431B1">
        <w:t xml:space="preserve"> in </w:t>
      </w:r>
      <w:r w:rsidR="005A1168">
        <w:t xml:space="preserve">ACT and </w:t>
      </w:r>
      <w:r w:rsidR="00632091">
        <w:t xml:space="preserve">obsessive-compulsive </w:t>
      </w:r>
      <w:r w:rsidR="005A1168">
        <w:t>and related disorders</w:t>
      </w:r>
      <w:r w:rsidRPr="00F431B1">
        <w:t xml:space="preserve">. </w:t>
      </w:r>
      <w:r w:rsidR="000A5FD7" w:rsidRPr="00F431B1">
        <w:t xml:space="preserve">Items were discarded and revised through a consensus process, </w:t>
      </w:r>
      <w:r w:rsidR="000A5FD7">
        <w:t>which resulted</w:t>
      </w:r>
      <w:r w:rsidR="000A5FD7" w:rsidRPr="00F431B1">
        <w:t xml:space="preserve"> in 37 items selected for validation</w:t>
      </w:r>
      <w:r w:rsidR="000F0AF6">
        <w:t>.</w:t>
      </w:r>
      <w:r w:rsidR="008A471E" w:rsidRPr="008A471E">
        <w:t xml:space="preserve"> </w:t>
      </w:r>
      <w:r w:rsidR="008A471E">
        <w:t xml:space="preserve">Each item was reviewed and discussed by all judges in relation to </w:t>
      </w:r>
      <w:r w:rsidR="009628A7">
        <w:t>face</w:t>
      </w:r>
      <w:r w:rsidR="000F0AF6">
        <w:t xml:space="preserve"> validity</w:t>
      </w:r>
      <w:r w:rsidR="0098273A" w:rsidRPr="00F431B1">
        <w:t xml:space="preserve"> as well as clarity and appropr</w:t>
      </w:r>
      <w:r w:rsidR="000A5FD7">
        <w:t>iateness for the sample</w:t>
      </w:r>
      <w:r w:rsidR="0098273A" w:rsidRPr="00F431B1">
        <w:t>.</w:t>
      </w:r>
      <w:r w:rsidR="008A471E">
        <w:t xml:space="preserve"> </w:t>
      </w:r>
      <w:r w:rsidR="009628A7">
        <w:t xml:space="preserve">That is, judges only evaluated items based on whether they appeared to capture psychological inflexibility in the context of hoarding and readability; other aspects of construct validity have to be assessed based on empirical data. </w:t>
      </w:r>
      <w:r w:rsidR="008A471E">
        <w:t>Items that any judge considered inappropriate for the measure were either discarded or revised according to this feedback until all judges agreed that items were appropriate, and that the remaining items adequately captured the relevant construct.</w:t>
      </w:r>
      <w:r w:rsidR="008A471E" w:rsidRPr="00F431B1">
        <w:t xml:space="preserve"> </w:t>
      </w:r>
    </w:p>
    <w:p w14:paraId="7E4F4FBC" w14:textId="512EDBD9" w:rsidR="0098273A" w:rsidRPr="00F431B1" w:rsidRDefault="000A5FD7" w:rsidP="00F431B1">
      <w:pPr>
        <w:spacing w:line="480" w:lineRule="auto"/>
        <w:ind w:firstLine="720"/>
      </w:pPr>
      <w:r>
        <w:rPr>
          <w:color w:val="000000"/>
        </w:rPr>
        <w:t>We</w:t>
      </w:r>
      <w:r w:rsidR="00F431B1" w:rsidRPr="00F431B1">
        <w:rPr>
          <w:color w:val="000000"/>
        </w:rPr>
        <w:t xml:space="preserve"> define</w:t>
      </w:r>
      <w:r>
        <w:rPr>
          <w:color w:val="000000"/>
        </w:rPr>
        <w:t xml:space="preserve"> hoarding-related psychological inflexibility</w:t>
      </w:r>
      <w:r w:rsidR="00F431B1" w:rsidRPr="00F431B1">
        <w:rPr>
          <w:color w:val="000000"/>
        </w:rPr>
        <w:t xml:space="preserve"> as a pattern of inflexible responding to internal experiences related to possessions </w:t>
      </w:r>
      <w:r w:rsidR="008A471E">
        <w:rPr>
          <w:color w:val="000000"/>
        </w:rPr>
        <w:t xml:space="preserve">(e.g., avoidance of discarding-related distress, fusion with beliefs about </w:t>
      </w:r>
      <w:r w:rsidR="009628A7">
        <w:rPr>
          <w:color w:val="000000"/>
        </w:rPr>
        <w:t xml:space="preserve">importance of </w:t>
      </w:r>
      <w:r w:rsidR="008A471E">
        <w:rPr>
          <w:color w:val="000000"/>
        </w:rPr>
        <w:t>saving, inattention to present-moment experience when acquiring)</w:t>
      </w:r>
      <w:r w:rsidR="008A471E" w:rsidRPr="00F431B1">
        <w:rPr>
          <w:color w:val="000000"/>
        </w:rPr>
        <w:t xml:space="preserve"> </w:t>
      </w:r>
      <w:r w:rsidR="009628A7">
        <w:rPr>
          <w:color w:val="000000"/>
        </w:rPr>
        <w:t>that</w:t>
      </w:r>
      <w:r w:rsidR="008A471E">
        <w:rPr>
          <w:color w:val="000000"/>
        </w:rPr>
        <w:t xml:space="preserve"> leads</w:t>
      </w:r>
      <w:r w:rsidR="008A471E" w:rsidRPr="00F431B1">
        <w:rPr>
          <w:color w:val="000000"/>
        </w:rPr>
        <w:t xml:space="preserve"> </w:t>
      </w:r>
      <w:r w:rsidR="00F431B1" w:rsidRPr="00F431B1">
        <w:rPr>
          <w:color w:val="000000"/>
        </w:rPr>
        <w:t xml:space="preserve">acquiring, saving, and related behaviors </w:t>
      </w:r>
      <w:r w:rsidR="008A471E">
        <w:rPr>
          <w:color w:val="000000"/>
        </w:rPr>
        <w:t>to be</w:t>
      </w:r>
      <w:r w:rsidR="008A471E" w:rsidRPr="00F431B1">
        <w:rPr>
          <w:color w:val="000000"/>
        </w:rPr>
        <w:t xml:space="preserve"> </w:t>
      </w:r>
      <w:r w:rsidR="00F431B1" w:rsidRPr="00F431B1">
        <w:rPr>
          <w:color w:val="000000"/>
        </w:rPr>
        <w:t xml:space="preserve">rigidly controlled by </w:t>
      </w:r>
      <w:r w:rsidR="008A471E">
        <w:rPr>
          <w:color w:val="000000"/>
        </w:rPr>
        <w:t>internal</w:t>
      </w:r>
      <w:r w:rsidR="008A471E" w:rsidRPr="00F431B1">
        <w:rPr>
          <w:color w:val="000000"/>
        </w:rPr>
        <w:t xml:space="preserve"> </w:t>
      </w:r>
      <w:r w:rsidR="00F431B1" w:rsidRPr="00F431B1">
        <w:rPr>
          <w:color w:val="000000"/>
        </w:rPr>
        <w:t xml:space="preserve">experiences rather than </w:t>
      </w:r>
      <w:r w:rsidR="008A471E">
        <w:rPr>
          <w:color w:val="000000"/>
        </w:rPr>
        <w:t>chosen</w:t>
      </w:r>
      <w:r w:rsidR="008A471E" w:rsidRPr="00F431B1">
        <w:rPr>
          <w:color w:val="000000"/>
        </w:rPr>
        <w:t xml:space="preserve"> </w:t>
      </w:r>
      <w:r w:rsidR="00F431B1" w:rsidRPr="00F431B1">
        <w:rPr>
          <w:color w:val="000000"/>
        </w:rPr>
        <w:t xml:space="preserve">values and </w:t>
      </w:r>
      <w:r w:rsidR="001A61D2">
        <w:rPr>
          <w:color w:val="000000"/>
        </w:rPr>
        <w:t>natural consequences of behavior</w:t>
      </w:r>
      <w:r w:rsidR="00F431B1" w:rsidRPr="00F431B1">
        <w:rPr>
          <w:color w:val="000000"/>
        </w:rPr>
        <w:t xml:space="preserve">. </w:t>
      </w:r>
      <w:r w:rsidR="00106D12">
        <w:rPr>
          <w:color w:val="000000"/>
        </w:rPr>
        <w:t xml:space="preserve">In other words, hoarding-related psychological inflexibility describes a way of interacting with possession-related internal experiences that produces behaviors incongruent with a fulfilling life. </w:t>
      </w:r>
      <w:r w:rsidR="00F431B1" w:rsidRPr="00F431B1">
        <w:rPr>
          <w:color w:val="000000"/>
        </w:rPr>
        <w:t>Consistent with this intended construct, the final items included assessment of fusion with hoarding-related beliefs (e.g., “</w:t>
      </w:r>
      <w:r w:rsidR="00F431B1" w:rsidRPr="00F431B1">
        <w:t>My thoughts or feelings about my things control my actions</w:t>
      </w:r>
      <w:r w:rsidR="00F431B1">
        <w:rPr>
          <w:color w:val="000000"/>
        </w:rPr>
        <w:t>”), inattention to the present (e.g., “</w:t>
      </w:r>
      <w:r w:rsidR="00F431B1" w:rsidRPr="00981D9A">
        <w:t>I get lost in my thoughts about buying or finding something I really want</w:t>
      </w:r>
      <w:r w:rsidR="00F431B1">
        <w:rPr>
          <w:color w:val="000000"/>
        </w:rPr>
        <w:t>”), experiential avoidance (e.g., “</w:t>
      </w:r>
      <w:r w:rsidR="00BC78F2">
        <w:t>I can’t stand feeling like I might make a mistake if I get rid of something</w:t>
      </w:r>
      <w:r w:rsidR="00F431B1">
        <w:rPr>
          <w:color w:val="000000"/>
        </w:rPr>
        <w:t xml:space="preserve">”), </w:t>
      </w:r>
      <w:r w:rsidR="009628A7">
        <w:rPr>
          <w:color w:val="000000"/>
        </w:rPr>
        <w:t xml:space="preserve">and </w:t>
      </w:r>
      <w:r w:rsidR="00F431B1">
        <w:rPr>
          <w:color w:val="000000"/>
        </w:rPr>
        <w:t>values obstruction (e.g., “</w:t>
      </w:r>
      <w:r w:rsidR="00BC78F2">
        <w:t>I continue to collect items, even when they cause problems for me</w:t>
      </w:r>
      <w:r w:rsidR="00F431B1">
        <w:rPr>
          <w:color w:val="000000"/>
        </w:rPr>
        <w:t>”).</w:t>
      </w:r>
    </w:p>
    <w:p w14:paraId="43B2CE0A" w14:textId="77777777" w:rsidR="00467D55" w:rsidRPr="00981D9A" w:rsidRDefault="00467D55" w:rsidP="00467D55">
      <w:pPr>
        <w:spacing w:line="480" w:lineRule="auto"/>
        <w:ind w:firstLine="720"/>
        <w:contextualSpacing/>
      </w:pPr>
      <w:r w:rsidRPr="00981D9A">
        <w:t>All items were worded to assess psychological inflexibility rather than psychological flexibility (i.e., no items were designed for reverse scoring</w:t>
      </w:r>
      <w:r w:rsidR="002B1A53">
        <w:t>)</w:t>
      </w:r>
      <w:r w:rsidR="007A44BB">
        <w:t>, which is consistent with the recommended scoring of the AAQ-II that only includes negatively worded items assessing inflexibility (Bond et al., 2011)</w:t>
      </w:r>
      <w:r w:rsidRPr="00981D9A">
        <w:t>. Instructions asked participants to assess to what</w:t>
      </w:r>
      <w:r w:rsidR="002B1A53">
        <w:t xml:space="preserve"> degree each item was true for their experience </w:t>
      </w:r>
      <w:r w:rsidR="002B1A53" w:rsidRPr="00981D9A">
        <w:t>over the past week</w:t>
      </w:r>
      <w:r w:rsidR="002B1A53">
        <w:t xml:space="preserve"> </w:t>
      </w:r>
      <w:r w:rsidRPr="00981D9A">
        <w:t>from 1 (</w:t>
      </w:r>
      <w:r w:rsidR="00EE2A30">
        <w:t>“</w:t>
      </w:r>
      <w:r w:rsidR="00EE2A30" w:rsidRPr="00EE2A30">
        <w:t>N</w:t>
      </w:r>
      <w:r w:rsidRPr="00EE2A30">
        <w:t>ever tru</w:t>
      </w:r>
      <w:r w:rsidR="00EE2A30" w:rsidRPr="00EE2A30">
        <w:t>e”</w:t>
      </w:r>
      <w:r w:rsidRPr="00EE2A30">
        <w:t>)</w:t>
      </w:r>
      <w:r w:rsidRPr="00981D9A">
        <w:t xml:space="preserve"> to 7 (</w:t>
      </w:r>
      <w:r w:rsidR="00EE2A30">
        <w:t>“A</w:t>
      </w:r>
      <w:r w:rsidRPr="00EE2A30">
        <w:t>lways true</w:t>
      </w:r>
      <w:r w:rsidR="00EE2A30">
        <w:t>”</w:t>
      </w:r>
      <w:r w:rsidRPr="00EE2A30">
        <w:t>).</w:t>
      </w:r>
      <w:r w:rsidR="00C25D0E">
        <w:t xml:space="preserve"> Instructi</w:t>
      </w:r>
      <w:r w:rsidR="0062463B">
        <w:t>ons also clarified that the AAQH items refer to “how you feel about the things you own” (see Appendix for complete instructions).</w:t>
      </w:r>
    </w:p>
    <w:p w14:paraId="3D974175" w14:textId="77777777" w:rsidR="002C5810" w:rsidRPr="00C6071D" w:rsidRDefault="0060632D" w:rsidP="002C5810">
      <w:pPr>
        <w:spacing w:line="480" w:lineRule="auto"/>
        <w:contextualSpacing/>
        <w:rPr>
          <w:b/>
        </w:rPr>
      </w:pPr>
      <w:r>
        <w:rPr>
          <w:b/>
        </w:rPr>
        <w:t xml:space="preserve">Symptom </w:t>
      </w:r>
      <w:r w:rsidR="000C2E0A" w:rsidRPr="00C6071D">
        <w:rPr>
          <w:b/>
        </w:rPr>
        <w:t>Measures</w:t>
      </w:r>
    </w:p>
    <w:p w14:paraId="6EB6E797" w14:textId="474BD530" w:rsidR="002C5810" w:rsidRPr="00981D9A" w:rsidRDefault="000C2E0A" w:rsidP="002C5810">
      <w:pPr>
        <w:spacing w:line="480" w:lineRule="auto"/>
        <w:contextualSpacing/>
      </w:pPr>
      <w:r w:rsidRPr="00981D9A">
        <w:rPr>
          <w:b/>
        </w:rPr>
        <w:tab/>
      </w:r>
      <w:r w:rsidRPr="00C6071D">
        <w:rPr>
          <w:b/>
        </w:rPr>
        <w:t>Saving Inventory-Revised (</w:t>
      </w:r>
      <w:r w:rsidR="004277D7" w:rsidRPr="00C6071D">
        <w:rPr>
          <w:b/>
        </w:rPr>
        <w:t>SI-R</w:t>
      </w:r>
      <w:r w:rsidR="004277D7" w:rsidRPr="008E0FCD">
        <w:rPr>
          <w:b/>
        </w:rPr>
        <w:t xml:space="preserve">; </w:t>
      </w:r>
      <w:r w:rsidR="008E0FCD" w:rsidRPr="00723BAE">
        <w:rPr>
          <w:b/>
        </w:rPr>
        <w:fldChar w:fldCharType="begin" w:fldLock="1"/>
      </w:r>
      <w:r w:rsidR="001A3811">
        <w:rPr>
          <w:b/>
        </w:rPr>
        <w:instrText>ADDIN CSL_CITATION { "citationItems" : [ { "id" : "ITEM-1", "itemData" : { "DOI" : "10.1016/j.brat.2003.07.006", "ISSN" : "00057967", "author" : [ { "dropping-particle" : "", "family" : "Frost", "given" : "Randy O.", "non-dropping-particle" : "", "parse-names" : false, "suffix" : "" }, { "dropping-particle" : "", "family" : "Steketee", "given" : "Gail", "non-dropping-particle" : "", "parse-names" : false, "suffix" : "" }, { "dropping-particle" : "", "family" : "Grisham", "given" : "Jessica", "non-dropping-particle" : "", "parse-names" : false, "suffix" : "" } ], "container-title" : "Behaviour Research and Therapy", "id" : "ITEM-1", "issued" : { "date-parts" : [ [ "2004" ] ] }, "page" : "1163-1182", "title" : "Measurement of compulsive hoarding: Saving inventory-revised", "type" : "article-journal", "volume" : "42" }, "uris" : [ "http://www.mendeley.com/documents/?uuid=f95b1376-a1ef-4340-9cf1-bed5e88c20a6" ] } ], "mendeley" : { "formattedCitation" : "(Frost et al., 2004)", "manualFormatting" : "Frost et al., 2004)", "plainTextFormattedCitation" : "(Frost et al., 2004)", "previouslyFormattedCitation" : "(Frost et al., 2004)" }, "properties" : { "noteIndex" : 0 }, "schema" : "https://github.com/citation-style-language/schema/raw/master/csl-citation.json" }</w:instrText>
      </w:r>
      <w:r w:rsidR="008E0FCD" w:rsidRPr="00723BAE">
        <w:rPr>
          <w:b/>
        </w:rPr>
        <w:fldChar w:fldCharType="separate"/>
      </w:r>
      <w:r w:rsidR="008E0FCD" w:rsidRPr="00723BAE">
        <w:rPr>
          <w:b/>
          <w:noProof/>
        </w:rPr>
        <w:t>Frost et al., 2004)</w:t>
      </w:r>
      <w:r w:rsidR="008E0FCD" w:rsidRPr="00723BAE">
        <w:rPr>
          <w:b/>
        </w:rPr>
        <w:fldChar w:fldCharType="end"/>
      </w:r>
      <w:r w:rsidRPr="00723BAE">
        <w:rPr>
          <w:b/>
        </w:rPr>
        <w:t xml:space="preserve">. </w:t>
      </w:r>
      <w:r w:rsidRPr="00981D9A">
        <w:t xml:space="preserve">The SI-R is a 23-item measure of hoarding symptoms with three subscales measuring the three major components of hoarding: difficulty discarding, acquisition, and clutter. Responses are scored on a scale of 0 </w:t>
      </w:r>
      <w:r w:rsidR="00EE2A30">
        <w:t>(</w:t>
      </w:r>
      <w:r w:rsidR="004277D7" w:rsidRPr="00981D9A">
        <w:t>“Never/Not at all/None”</w:t>
      </w:r>
      <w:r w:rsidR="00EE2A30">
        <w:t>)</w:t>
      </w:r>
      <w:r w:rsidR="004277D7" w:rsidRPr="00981D9A">
        <w:t xml:space="preserve"> </w:t>
      </w:r>
      <w:r w:rsidRPr="00981D9A">
        <w:t>to 4</w:t>
      </w:r>
      <w:r w:rsidR="004277D7" w:rsidRPr="00981D9A">
        <w:t xml:space="preserve"> </w:t>
      </w:r>
      <w:r w:rsidR="00EE2A30">
        <w:t>(</w:t>
      </w:r>
      <w:r w:rsidR="004277D7" w:rsidRPr="00981D9A">
        <w:t>“Very of</w:t>
      </w:r>
      <w:r w:rsidR="00EE2A30">
        <w:t>ten/Almost all/Complete/Extreme</w:t>
      </w:r>
      <w:r w:rsidR="004277D7" w:rsidRPr="00981D9A">
        <w:t>”</w:t>
      </w:r>
      <w:r w:rsidR="00EE2A30">
        <w:t>).</w:t>
      </w:r>
      <w:r w:rsidR="004277D7" w:rsidRPr="00981D9A">
        <w:t xml:space="preserve"> </w:t>
      </w:r>
      <w:r w:rsidR="006E292F" w:rsidRPr="00981D9A">
        <w:t xml:space="preserve">Higher scores indicate more severe hoarding symptoms. </w:t>
      </w:r>
      <w:r w:rsidR="00F624F6">
        <w:t>Items include “</w:t>
      </w:r>
      <w:r w:rsidR="00F77601">
        <w:t>To what extent does the clutter in your home cause you distress?” and “To what extent do you have difficulty throwing things away?”</w:t>
      </w:r>
      <w:r w:rsidR="00C87413">
        <w:t xml:space="preserve"> </w:t>
      </w:r>
      <w:r w:rsidR="004277D7" w:rsidRPr="00981D9A">
        <w:t>The SI-R has good internal consistency, test-retest reliability, and con</w:t>
      </w:r>
      <w:r w:rsidR="008E0FCD">
        <w:t xml:space="preserve">vergent and divergent validity </w:t>
      </w:r>
      <w:r w:rsidR="008E0FCD">
        <w:fldChar w:fldCharType="begin" w:fldLock="1"/>
      </w:r>
      <w:r w:rsidR="00B53D6E">
        <w:instrText>ADDIN CSL_CITATION { "citationItems" : [ { "id" : "ITEM-1", "itemData" : { "DOI" : "10.1016/j.brat.2003.07.006", "ISSN" : "00057967", "author" : [ { "dropping-particle" : "", "family" : "Frost", "given" : "Randy O.", "non-dropping-particle" : "", "parse-names" : false, "suffix" : "" }, { "dropping-particle" : "", "family" : "Steketee", "given" : "Gail", "non-dropping-particle" : "", "parse-names" : false, "suffix" : "" }, { "dropping-particle" : "", "family" : "Grisham", "given" : "Jessica", "non-dropping-particle" : "", "parse-names" : false, "suffix" : "" } ], "container-title" : "Behaviour Research and Therapy", "id" : "ITEM-1", "issued" : { "date-parts" : [ [ "2004" ] ] }, "page" : "1163-1182", "title" : "Measurement of compulsive hoarding: Saving inventory-revised", "type" : "article-journal", "volume" : "42" }, "uris" : [ "http://www.mendeley.com/documents/?uuid=f95b1376-a1ef-4340-9cf1-bed5e88c20a6" ] } ], "mendeley" : { "formattedCitation" : "(Frost et al., 2004)", "plainTextFormattedCitation" : "(Frost et al., 2004)", "previouslyFormattedCitation" : "(Frost et al., 2004)" }, "properties" : { "noteIndex" : 0 }, "schema" : "https://github.com/citation-style-language/schema/raw/master/csl-citation.json" }</w:instrText>
      </w:r>
      <w:r w:rsidR="008E0FCD">
        <w:fldChar w:fldCharType="separate"/>
      </w:r>
      <w:r w:rsidR="008E0FCD" w:rsidRPr="008E0FCD">
        <w:rPr>
          <w:noProof/>
        </w:rPr>
        <w:t>(Frost et al., 2004)</w:t>
      </w:r>
      <w:r w:rsidR="008E0FCD">
        <w:fldChar w:fldCharType="end"/>
      </w:r>
      <w:r w:rsidR="008E0FCD">
        <w:t xml:space="preserve"> </w:t>
      </w:r>
      <w:r w:rsidR="00526110" w:rsidRPr="00981D9A">
        <w:t>and has previously been used in college student s</w:t>
      </w:r>
      <w:r w:rsidR="008E0FCD">
        <w:t xml:space="preserve">amples (e.g., </w:t>
      </w:r>
      <w:r w:rsidR="00B53D6E">
        <w:fldChar w:fldCharType="begin" w:fldLock="1"/>
      </w:r>
      <w:r w:rsidR="0010616C">
        <w:instrText>ADDIN CSL_CITATION { "citationItems" : [ { "id" : "ITEM-1", "itemData" : { "DOI" : "10.1016/S0005-7967(01)00136-X", "ISBN" : "0005-7967", "ISSN" : "00057967", "PMID" : "12547379", "abstract" : "Hoarding behaviors occur in many clinical syndromes but are most commonly linked to obsessive compulsive disorder. Surprisingly little empirical work has examined the nature of hoarding behaviors despite their association with significant distress and impairment. The current study examined hoarding in 563 unselected college students. Using principal components analysis, we identified four domains of hoarding behaviors as measured by the 26-item Saving Inventory-Revised: Difficulty Discarding, Acquisition Problems, Clutter, and Interference/Distress. All four domains and total hoarding behaviors were strongly related to hoarding beliefs and to obsessive compulsive (OC) symptoms. Hoarding behaviors were most strongly correlated with subscales of an OC disorder (OCD) measure assessing hoarding and obsessions and least strongly correlated with the washing subscale. Hoarding behaviors also showed significant, but more modest, correlations with social anxiety, depressive symptoms, and worry. However, worry was not found to contribute unique variance to the prediction of hoarding behaviors. Of greatest note, hoarding behaviors showed a surprisingly strong relationship with anxiety sensitivity, similar in magnitude to the relationship between hoarding and OCD symptoms. Results are interpreted and lines of future research are proposed, with particular emphasis on further elucidating the relationship between hoarding behaviors and anxiety sensitivity. \u00a9 2003 Elsevier Science Ltd. All rights reserved.", "author" : [ { "dropping-particle" : "", "family" : "Coles", "given" : "Meredith E.", "non-dropping-particle" : "", "parse-names" : false, "suffix" : "" }, { "dropping-particle" : "", "family" : "Frost", "given" : "Randy O.", "non-dropping-particle" : "", "parse-names" : false, "suffix" : "" }, { "dropping-particle" : "", "family" : "Heimberg", "given" : "Richard G.", "non-dropping-particle" : "", "parse-names" : false, "suffix" : "" }, { "dropping-particle" : "", "family" : "Steketee", "given" : "Gail", "non-dropping-particle" : "", "parse-names" : false, "suffix" : "" } ], "container-title" : "Behaviour Research and Therapy", "id" : "ITEM-1", "issued" : { "date-parts" : [ [ "2003" ] ] }, "page" : "179-194", "title" : "Hoarding behaviors in a large college sample", "type" : "article-journal", "volume" : "41" }, "uris" : [ "http://www.mendeley.com/documents/?uuid=2436e3c0-844c-4089-8909-a250597a8009" ] }, { "id" : "ITEM-2", "itemData" : { "DOI" : "10.1016/j.beth.2014.04.002", "ISSN" : "00057894", "author" : [ { "dropping-particle" : "", "family" : "Timpano", "given" : "Kiara R.", "non-dropping-particle" : "", "parse-names" : false, "suffix" : "" }, { "dropping-particle" : "", "family" : "Shaw", "given" : "Ashley M.", "non-dropping-particle" : "", "parse-names" : false, "suffix" : "" }, { "dropping-particle" : "", "family" : "Cougle", "given" : "Jesse R.", "non-dropping-particle" : "", "parse-names" : false, "suffix" : "" }, { "dropping-particle" : "", "family" : "Fitch", "given" : "Kristin E.", "non-dropping-particle" : "", "parse-names" : false, "suffix" : "" } ], "container-title" : "Behavior Therapy", "id" : "ITEM-2", "issued" : { "date-parts" : [ [ "2014" ] ] }, "page" : "690-699", "publisher" : "Elsevier B.V.", "title" : "A multifaceted assessment of emotional tolerance and intensity in hoarding", "type" : "article-journal", "volume" : "45" }, "uris" : [ "http://www.mendeley.com/documents/?uuid=ce936080-24f4-45dd-ac2b-dba5adcfd0d8" ] } ], "mendeley" : { "formattedCitation" : "(Coles et al., 2003; Kiara R. Timpano et al., 2014)", "manualFormatting" : "(Coles et al., 2003; Timpano et al., 2014)", "plainTextFormattedCitation" : "(Coles et al., 2003; Kiara R. Timpano et al., 2014)", "previouslyFormattedCitation" : "(Coles et al., 2003; Kiara R. Timpano et al., 2014)" }, "properties" : { "noteIndex" : 0 }, "schema" : "https://github.com/citation-style-language/schema/raw/master/csl-citation.json" }</w:instrText>
      </w:r>
      <w:r w:rsidR="00B53D6E">
        <w:fldChar w:fldCharType="separate"/>
      </w:r>
      <w:r w:rsidR="00194ED1" w:rsidRPr="00194ED1">
        <w:rPr>
          <w:noProof/>
        </w:rPr>
        <w:t>Coles et al., 2003; Timpano et al., 2014)</w:t>
      </w:r>
      <w:r w:rsidR="00B53D6E">
        <w:fldChar w:fldCharType="end"/>
      </w:r>
      <w:r w:rsidR="009670C8" w:rsidRPr="00981D9A">
        <w:t>.</w:t>
      </w:r>
      <w:r w:rsidR="003542B4" w:rsidRPr="00981D9A">
        <w:t xml:space="preserve"> Internal consistency for </w:t>
      </w:r>
      <w:r w:rsidR="008A471E">
        <w:t>this</w:t>
      </w:r>
      <w:r w:rsidR="003542B4" w:rsidRPr="00981D9A">
        <w:t xml:space="preserve"> sample was </w:t>
      </w:r>
      <w:r w:rsidR="00981D9A" w:rsidRPr="00981D9A">
        <w:sym w:font="Symbol" w:char="F061"/>
      </w:r>
      <w:r w:rsidR="00B46FC0">
        <w:t xml:space="preserve"> </w:t>
      </w:r>
      <w:r w:rsidR="00981D9A" w:rsidRPr="00981D9A">
        <w:t>=</w:t>
      </w:r>
      <w:r w:rsidR="00B46FC0">
        <w:t xml:space="preserve"> </w:t>
      </w:r>
      <w:r w:rsidR="00981D9A" w:rsidRPr="00981D9A">
        <w:t xml:space="preserve">0.80 for the total scale and ranged from </w:t>
      </w:r>
      <w:r w:rsidR="00981D9A" w:rsidRPr="00981D9A">
        <w:sym w:font="Symbol" w:char="F061"/>
      </w:r>
      <w:r w:rsidR="002B1A53">
        <w:t xml:space="preserve"> </w:t>
      </w:r>
      <w:r w:rsidR="00981D9A" w:rsidRPr="00981D9A">
        <w:t>=</w:t>
      </w:r>
      <w:r w:rsidR="002B1A53">
        <w:t xml:space="preserve"> </w:t>
      </w:r>
      <w:r w:rsidR="00981D9A" w:rsidRPr="00981D9A">
        <w:t>0.70-0.82 for the subscales.</w:t>
      </w:r>
    </w:p>
    <w:p w14:paraId="79DF6DA2" w14:textId="4BDB3C54" w:rsidR="006E292F" w:rsidRDefault="009670C8" w:rsidP="002C5810">
      <w:pPr>
        <w:spacing w:line="480" w:lineRule="auto"/>
        <w:contextualSpacing/>
      </w:pPr>
      <w:r w:rsidRPr="00981D9A">
        <w:tab/>
      </w:r>
      <w:r w:rsidRPr="00C6071D">
        <w:rPr>
          <w:b/>
        </w:rPr>
        <w:t>Depression Anxiety Stress Scales (DASS-21;</w:t>
      </w:r>
      <w:r w:rsidR="00B53D6E">
        <w:rPr>
          <w:b/>
        </w:rPr>
        <w:t xml:space="preserve"> </w:t>
      </w:r>
      <w:r w:rsidR="00B53D6E" w:rsidRPr="00455254">
        <w:rPr>
          <w:b/>
        </w:rPr>
        <w:fldChar w:fldCharType="begin" w:fldLock="1"/>
      </w:r>
      <w:r w:rsidR="00B53D6E" w:rsidRPr="00455254">
        <w:rPr>
          <w:b/>
        </w:rPr>
        <w:instrText>ADDIN CSL_CITATION { "citationItems" : [ { "id" : "ITEM-1", "itemData" : { "DOI" : "10.1348/014466505X29657", "ISSN" : "01446657", "author" : [ { "dropping-particle" : "", "family" : "Henry", "given" : "Julie D.", "non-dropping-particle" : "", "parse-names" : false, "suffix" : "" }, { "dropping-particle" : "", "family" : "Crawford", "given" : "John R.", "non-dropping-particle" : "", "parse-names" : false, "suffix" : "" } ], "container-title" : "British Journal of Clinical Psychology", "id" : "ITEM-1", "issued" : { "date-parts" : [ [ "2005" ] ] }, "page" : "227-239", "title" : "The short-form version of the Depression Anxiety Stress Scales (DASS-21): Construct validity and normative data in a large non-clinical sample", "type" : "article-journal", "volume" : "44" }, "uris" : [ "http://www.mendeley.com/documents/?uuid=e9dc1041-942d-49b8-be7c-10d8815d2bc4" ] } ], "mendeley" : { "formattedCitation" : "(Henry &amp; Crawford, 2005)", "manualFormatting" : "Henry &amp; Crawford, 2005)", "plainTextFormattedCitation" : "(Henry &amp; Crawford, 2005)", "previouslyFormattedCitation" : "(Henry &amp; Crawford, 2005)" }, "properties" : { "noteIndex" : 0 }, "schema" : "https://github.com/citation-style-language/schema/raw/master/csl-citation.json" }</w:instrText>
      </w:r>
      <w:r w:rsidR="00B53D6E" w:rsidRPr="00455254">
        <w:rPr>
          <w:b/>
        </w:rPr>
        <w:fldChar w:fldCharType="separate"/>
      </w:r>
      <w:r w:rsidR="00B53D6E" w:rsidRPr="00455254">
        <w:rPr>
          <w:b/>
          <w:noProof/>
        </w:rPr>
        <w:t>Henry &amp; Crawford, 2005)</w:t>
      </w:r>
      <w:r w:rsidR="00B53D6E" w:rsidRPr="00455254">
        <w:rPr>
          <w:b/>
        </w:rPr>
        <w:fldChar w:fldCharType="end"/>
      </w:r>
      <w:r w:rsidRPr="00455254">
        <w:rPr>
          <w:b/>
        </w:rPr>
        <w:t>.</w:t>
      </w:r>
      <w:r w:rsidRPr="00981D9A">
        <w:t xml:space="preserve"> The DASS-21 is a 21-item measure </w:t>
      </w:r>
      <w:r w:rsidR="006E292F" w:rsidRPr="00981D9A">
        <w:t>with three subscales measuring</w:t>
      </w:r>
      <w:r w:rsidRPr="00981D9A">
        <w:t xml:space="preserve"> depression, anxiety, and stress</w:t>
      </w:r>
      <w:r w:rsidR="006E292F" w:rsidRPr="00981D9A">
        <w:t>. A total score can also be calculated indicating general psychological distress. Items are rated from 0 (“Did not apply to me at all”) to 3 (“Applied to me very much or most of the tim</w:t>
      </w:r>
      <w:r w:rsidR="00B46FC0">
        <w:t>e”), and higher scores indicate</w:t>
      </w:r>
      <w:r w:rsidR="006E292F" w:rsidRPr="00981D9A">
        <w:t xml:space="preserve"> greater distress.</w:t>
      </w:r>
      <w:r w:rsidR="00F77601">
        <w:t xml:space="preserve"> Example items include “I felt I was close to panic,” “I found it difficult to relax,” and “I felt down-hearted and blue.”</w:t>
      </w:r>
      <w:r w:rsidR="006E292F" w:rsidRPr="00981D9A">
        <w:t xml:space="preserve"> This measure has demonstrated adequate internal consistency as well as good convergent and divergent validity</w:t>
      </w:r>
      <w:r w:rsidR="00B53D6E">
        <w:t xml:space="preserve"> </w:t>
      </w:r>
      <w:r w:rsidR="00B53D6E">
        <w:fldChar w:fldCharType="begin" w:fldLock="1"/>
      </w:r>
      <w:r w:rsidR="00B53D6E">
        <w:instrText>ADDIN CSL_CITATION { "citationItems" : [ { "id" : "ITEM-1", "itemData" : { "DOI" : "10.1348/014466505X29657", "ISSN" : "01446657", "author" : [ { "dropping-particle" : "", "family" : "Henry", "given" : "Julie D.", "non-dropping-particle" : "", "parse-names" : false, "suffix" : "" }, { "dropping-particle" : "", "family" : "Crawford", "given" : "John R.", "non-dropping-particle" : "", "parse-names" : false, "suffix" : "" } ], "container-title" : "British Journal of Clinical Psychology", "id" : "ITEM-1", "issued" : { "date-parts" : [ [ "2005" ] ] }, "page" : "227-239", "title" : "The short-form version of the Depression Anxiety Stress Scales (DASS-21): Construct validity and normative data in a large non-clinical sample", "type" : "article-journal", "volume" : "44" }, "uris" : [ "http://www.mendeley.com/documents/?uuid=e9dc1041-942d-49b8-be7c-10d8815d2bc4" ] } ], "mendeley" : { "formattedCitation" : "(Henry &amp; Crawford, 2005)", "plainTextFormattedCitation" : "(Henry &amp; Crawford, 2005)", "previouslyFormattedCitation" : "(Henry &amp; Crawford, 2005)" }, "properties" : { "noteIndex" : 0 }, "schema" : "https://github.com/citation-style-language/schema/raw/master/csl-citation.json" }</w:instrText>
      </w:r>
      <w:r w:rsidR="00B53D6E">
        <w:fldChar w:fldCharType="separate"/>
      </w:r>
      <w:r w:rsidR="00B53D6E" w:rsidRPr="00B53D6E">
        <w:rPr>
          <w:noProof/>
        </w:rPr>
        <w:t>(Henry &amp; Crawford, 2005)</w:t>
      </w:r>
      <w:r w:rsidR="00B53D6E">
        <w:fldChar w:fldCharType="end"/>
      </w:r>
      <w:r w:rsidR="00981D9A" w:rsidRPr="00981D9A">
        <w:t>. Internal consistency was excellent for the total score (</w:t>
      </w:r>
      <w:r w:rsidR="00981D9A" w:rsidRPr="00981D9A">
        <w:sym w:font="Symbol" w:char="F061"/>
      </w:r>
      <w:r w:rsidR="002B1A53">
        <w:t xml:space="preserve"> </w:t>
      </w:r>
      <w:r w:rsidR="00981D9A" w:rsidRPr="00981D9A">
        <w:t>=</w:t>
      </w:r>
      <w:r w:rsidR="002B1A53">
        <w:t xml:space="preserve"> </w:t>
      </w:r>
      <w:r w:rsidR="00981D9A" w:rsidRPr="00981D9A">
        <w:t>0.90) and ranged between 0.78-0.87 for DASS subscales in th</w:t>
      </w:r>
      <w:r w:rsidR="001817DB">
        <w:t xml:space="preserve">is </w:t>
      </w:r>
      <w:r w:rsidR="00981D9A" w:rsidRPr="00981D9A">
        <w:t>sample.</w:t>
      </w:r>
    </w:p>
    <w:p w14:paraId="0B7DE1B5" w14:textId="33747F98" w:rsidR="0060632D" w:rsidRPr="00981D9A" w:rsidRDefault="0060632D" w:rsidP="0060632D">
      <w:pPr>
        <w:spacing w:line="480" w:lineRule="auto"/>
        <w:ind w:firstLine="720"/>
      </w:pPr>
      <w:r w:rsidRPr="00C6071D">
        <w:rPr>
          <w:b/>
        </w:rPr>
        <w:t>Satisfaction with Life Scale</w:t>
      </w:r>
      <w:r>
        <w:rPr>
          <w:b/>
        </w:rPr>
        <w:t xml:space="preserve"> (SWLS; </w:t>
      </w:r>
      <w:r w:rsidRPr="00B53D6E">
        <w:rPr>
          <w:b/>
        </w:rPr>
        <w:fldChar w:fldCharType="begin" w:fldLock="1"/>
      </w:r>
      <w:r>
        <w:rPr>
          <w:b/>
        </w:rPr>
        <w:instrText>ADDIN CSL_CITATION { "citationItems" : [ { "id" : "ITEM-1", "itemData" : { "DOI" : "10.1207/s15327752jpa4901_13", "ISBN" : "0022-3891", "ISSN" : "0022-3891", "PMID" : "16367493", "abstract" : "This article reports the development and validation of a scale to measure global life satisfaction, the Satisfaction With Life Scale (SWLS). Among the various components of subjective well-being, the SWLS is narrowly focused to assess global life satisfaction and does niot tap related constructs such as positive affect or loneliness. The SWLS is shown to have favorable psychometric properties, including high internal consistency and high temporal reliability. Scores on the SWLS correlate moderately to highly with other measures of subjective well-being, and correlate predictably with specific personality characteristics. It is noted that the SW~1Ss suited for use with different age groups, and other potential uses of the scale are discussed.", "author" : [ { "dropping-particle" : "", "family" : "Diener", "given" : "E", "non-dropping-particle" : "", "parse-names" : false, "suffix" : "" }, { "dropping-particle" : "", "family" : "Emmons", "given" : "R", "non-dropping-particle" : "", "parse-names" : false, "suffix" : "" }, { "dropping-particle" : "", "family" : "Larsen", "given" : "J", "non-dropping-particle" : "", "parse-names" : false, "suffix" : "" }, { "dropping-particle" : "", "family" : "Griffin", "given" : "S", "non-dropping-particle" : "", "parse-names" : false, "suffix" : "" } ], "container-title" : "Journal of Personality Assessmemt", "id" : "ITEM-1", "issue" : "1", "issued" : { "date-parts" : [ [ "1985" ] ] }, "page" : "71-75", "title" : "The satisfaction with life scale", "type" : "article-journal", "volume" : "49" }, "uris" : [ "http://www.mendeley.com/documents/?uuid=9e38b736-e6f6-4299-9035-85ca4a45a59a" ] } ], "mendeley" : { "formattedCitation" : "(Diener, Emmons, Larsen, &amp; Griffin, 1985)", "manualFormatting" : "Diener, Emmons, Larsen, &amp; Griffin, 1985)", "plainTextFormattedCitation" : "(Diener, Emmons, Larsen, &amp; Griffin, 1985)", "previouslyFormattedCitation" : "(Diener, Emmons, Larsen, &amp; Griffin, 1985)" }, "properties" : { "noteIndex" : 0 }, "schema" : "https://github.com/citation-style-language/schema/raw/master/csl-citation.json" }</w:instrText>
      </w:r>
      <w:r w:rsidRPr="00B53D6E">
        <w:rPr>
          <w:b/>
        </w:rPr>
        <w:fldChar w:fldCharType="separate"/>
      </w:r>
      <w:r w:rsidRPr="00B53D6E">
        <w:rPr>
          <w:b/>
          <w:noProof/>
        </w:rPr>
        <w:t>Diener, Emmons, Larsen, &amp; Griffin, 1985)</w:t>
      </w:r>
      <w:r w:rsidRPr="00B53D6E">
        <w:rPr>
          <w:b/>
        </w:rPr>
        <w:fldChar w:fldCharType="end"/>
      </w:r>
      <w:r w:rsidRPr="00B53D6E">
        <w:rPr>
          <w:b/>
        </w:rPr>
        <w:t>.</w:t>
      </w:r>
      <w:r w:rsidRPr="00C6071D">
        <w:rPr>
          <w:b/>
        </w:rPr>
        <w:t xml:space="preserve"> </w:t>
      </w:r>
      <w:r w:rsidRPr="00981D9A">
        <w:t xml:space="preserve">The SWLS is a 5-item scale that measures overall life satisfaction. Each item is rated from 1 (“Strongly disagree”) to 7 (“Strongly agree”) with higher scores indicating higher life satisfaction. </w:t>
      </w:r>
      <w:r w:rsidR="00F77601">
        <w:t xml:space="preserve">Items include “In most ways my life is close to my ideal.” </w:t>
      </w:r>
      <w:r w:rsidRPr="00981D9A">
        <w:t>The SWLS has high internal consistency and test-retest reliability as well as good convergent validity in college s</w:t>
      </w:r>
      <w:r>
        <w:t xml:space="preserve">tudent samples </w:t>
      </w:r>
      <w:r>
        <w:fldChar w:fldCharType="begin" w:fldLock="1"/>
      </w:r>
      <w:r>
        <w:instrText>ADDIN CSL_CITATION { "citationItems" : [ { "id" : "ITEM-1", "itemData" : { "DOI" : "10.1207/s15327752jpa4901_13", "ISBN" : "0022-3891", "ISSN" : "0022-3891", "PMID" : "16367493", "abstract" : "This article reports the development and validation of a scale to measure global life satisfaction, the Satisfaction With Life Scale (SWLS). Among the various components of subjective well-being, the SWLS is narrowly focused to assess global life satisfaction and does niot tap related constructs such as positive affect or loneliness. The SWLS is shown to have favorable psychometric properties, including high internal consistency and high temporal reliability. Scores on the SWLS correlate moderately to highly with other measures of subjective well-being, and correlate predictably with specific personality characteristics. It is noted that the SW~1Ss suited for use with different age groups, and other potential uses of the scale are discussed.", "author" : [ { "dropping-particle" : "", "family" : "Diener", "given" : "E", "non-dropping-particle" : "", "parse-names" : false, "suffix" : "" }, { "dropping-particle" : "", "family" : "Emmons", "given" : "R", "non-dropping-particle" : "", "parse-names" : false, "suffix" : "" }, { "dropping-particle" : "", "family" : "Larsen", "given" : "J", "non-dropping-particle" : "", "parse-names" : false, "suffix" : "" }, { "dropping-particle" : "", "family" : "Griffin", "given" : "S", "non-dropping-particle" : "", "parse-names" : false, "suffix" : "" } ], "container-title" : "Journal of Personality Assessmemt", "id" : "ITEM-1", "issue" : "1", "issued" : { "date-parts" : [ [ "1985" ] ] }, "page" : "71-75", "title" : "The satisfaction with life scale", "type" : "article-journal", "volume" : "49" }, "uris" : [ "http://www.mendeley.com/documents/?uuid=9e38b736-e6f6-4299-9035-85ca4a45a59a" ] } ], "mendeley" : { "formattedCitation" : "(Diener et al., 1985)", "plainTextFormattedCitation" : "(Diener et al., 1985)", "previouslyFormattedCitation" : "(Diener et al., 1985)" }, "properties" : { "noteIndex" : 0 }, "schema" : "https://github.com/citation-style-language/schema/raw/master/csl-citation.json" }</w:instrText>
      </w:r>
      <w:r>
        <w:fldChar w:fldCharType="separate"/>
      </w:r>
      <w:r w:rsidRPr="00B53D6E">
        <w:rPr>
          <w:noProof/>
        </w:rPr>
        <w:t>(Diener et al., 1985)</w:t>
      </w:r>
      <w:r>
        <w:fldChar w:fldCharType="end"/>
      </w:r>
      <w:r>
        <w:t xml:space="preserve">. </w:t>
      </w:r>
      <w:r w:rsidRPr="00981D9A">
        <w:t>Internal consistency was good in the present sample (</w:t>
      </w:r>
      <w:r w:rsidRPr="00981D9A">
        <w:sym w:font="Symbol" w:char="F061"/>
      </w:r>
      <w:r>
        <w:t xml:space="preserve"> </w:t>
      </w:r>
      <w:r w:rsidRPr="00981D9A">
        <w:t>=</w:t>
      </w:r>
      <w:r>
        <w:t xml:space="preserve"> </w:t>
      </w:r>
      <w:r w:rsidRPr="00981D9A">
        <w:t>0.89).</w:t>
      </w:r>
    </w:p>
    <w:p w14:paraId="774887FC" w14:textId="77777777" w:rsidR="0060632D" w:rsidRDefault="0060632D" w:rsidP="002C5810">
      <w:pPr>
        <w:spacing w:line="480" w:lineRule="auto"/>
        <w:contextualSpacing/>
        <w:rPr>
          <w:b/>
        </w:rPr>
      </w:pPr>
      <w:r>
        <w:rPr>
          <w:b/>
        </w:rPr>
        <w:t>Psychological Inflexibility Measures</w:t>
      </w:r>
    </w:p>
    <w:p w14:paraId="3495C755" w14:textId="77777777" w:rsidR="0060632D" w:rsidRPr="0060632D" w:rsidRDefault="0060632D" w:rsidP="002C5810">
      <w:pPr>
        <w:spacing w:line="480" w:lineRule="auto"/>
        <w:contextualSpacing/>
      </w:pPr>
      <w:r>
        <w:tab/>
        <w:t xml:space="preserve">A range of measures were used to assess various features of psychological inflexibility, including key facets such as acceptance, cognitive fusion, mindful awareness, and valued living. </w:t>
      </w:r>
    </w:p>
    <w:p w14:paraId="710CDA39" w14:textId="663BD1FF" w:rsidR="006E292F" w:rsidRPr="00981D9A" w:rsidRDefault="006E292F" w:rsidP="00467D55">
      <w:pPr>
        <w:spacing w:line="480" w:lineRule="auto"/>
        <w:contextualSpacing/>
      </w:pPr>
      <w:r w:rsidRPr="00981D9A">
        <w:tab/>
      </w:r>
      <w:r w:rsidRPr="00C6071D">
        <w:rPr>
          <w:b/>
        </w:rPr>
        <w:t xml:space="preserve">Acceptance and Action Questionnaire – II (AAQ-II; </w:t>
      </w:r>
      <w:r w:rsidR="00B53D6E" w:rsidRPr="00B53D6E">
        <w:rPr>
          <w:b/>
        </w:rPr>
        <w:fldChar w:fldCharType="begin" w:fldLock="1"/>
      </w:r>
      <w:r w:rsidR="00B53D6E">
        <w:rPr>
          <w:b/>
        </w:rPr>
        <w:instrText>ADDIN CSL_CITATION { "citationItems" : [ { "id" : "ITEM-1", "itemData" : { "DOI" : "10.1016/j.beth.2011.03.007", "ISBN" : "0005-7894", "ISSN" : "00057894", "PMID" : "22035996", "abstract" : "The present research describes the development and psychometric evaluation of a second version of the Acceptance and Action Questionnaire (AAQ-II), which assesses the construct referred to as, variously, acceptance, experiential avoidance, and psychological inflexibility. Results from 2,816 participants across six samples indicate the satisfactory structure, reliability, and validity of this measure. For example, the mean alpha coefficient is .84 (.78-.88), and the 3- and 12-month test-retest reliability is .81 and .79, respectively. Results indicate that AAQ-II scores concurrently, longitudinally, and incrementally predict a range of outcomes, from mental health to work absence rates, that are consistent with its underlying theory. The AAQ-II also demonstrates appropriate discriminant validity. The AAQ-II appears to measure the same concept as the AAQ-I (r=.97) but with better psychometric consistency. \u00a9 2011.", "author" : [ { "dropping-particle" : "", "family" : "Bond", "given" : "Frank W.", "non-dropping-particle" : "", "parse-names" : false, "suffix" : "" }, { "dropping-particle" : "", "family" : "Hayes", "given" : "Steven C.", "non-dropping-particle" : "", "parse-names" : false, "suffix" : "" }, { "dropping-particle" : "", "family" : "Baer", "given" : "Ruth A.", "non-dropping-particle" : "", "parse-names" : false, "suffix" : "" }, { "dropping-particle" : "", "family" : "Carpenter", "given" : "Kenneth M.", "non-dropping-particle" : "", "parse-names" : false, "suffix" : "" }, { "dropping-particle" : "", "family" : "Guenole", "given" : "Nigel", "non-dropping-particle" : "", "parse-names" : false, "suffix" : "" }, { "dropping-particle" : "", "family" : "Orcutt", "given" : "Holly K.", "non-dropping-particle" : "", "parse-names" : false, "suffix" : "" }, { "dropping-particle" : "", "family" : "Waltz", "given" : "Tom", "non-dropping-particle" : "", "parse-names" : false, "suffix" : "" }, { "dropping-particle" : "", "family" : "Zettle", "given" : "Robert D.", "non-dropping-particle" : "", "parse-names" : false, "suffix" : "" } ], "container-title" : "Behavior Therapy", "id" : "ITEM-1", "issued" : { "date-parts" : [ [ "2011" ] ] }, "page" : "676-688", "publisher" : "Elsevier B.V.", "title" : "Preliminary psychometric properties of the Acceptance and Action Questionnaire-II: A revised measure of psychological inflexibility and experiential avoidance", "type" : "article-journal", "volume" : "42" }, "uris" : [ "http://www.mendeley.com/documents/?uuid=c525203b-e6dc-466f-abf6-e13ef29ed472" ] } ], "mendeley" : { "formattedCitation" : "(Bond et al., 2011)", "manualFormatting" : "Bond et al., 2011)", "plainTextFormattedCitation" : "(Bond et al., 2011)", "previouslyFormattedCitation" : "(Bond et al., 2011)" }, "properties" : { "noteIndex" : 0 }, "schema" : "https://github.com/citation-style-language/schema/raw/master/csl-citation.json" }</w:instrText>
      </w:r>
      <w:r w:rsidR="00B53D6E" w:rsidRPr="00B53D6E">
        <w:rPr>
          <w:b/>
        </w:rPr>
        <w:fldChar w:fldCharType="separate"/>
      </w:r>
      <w:r w:rsidR="00B53D6E" w:rsidRPr="00B53D6E">
        <w:rPr>
          <w:b/>
          <w:noProof/>
        </w:rPr>
        <w:t>Bond et al., 2011)</w:t>
      </w:r>
      <w:r w:rsidR="00B53D6E" w:rsidRPr="00B53D6E">
        <w:rPr>
          <w:b/>
        </w:rPr>
        <w:fldChar w:fldCharType="end"/>
      </w:r>
      <w:r w:rsidR="00B53D6E" w:rsidRPr="00B53D6E">
        <w:rPr>
          <w:b/>
        </w:rPr>
        <w:t>.</w:t>
      </w:r>
      <w:r w:rsidR="00B53D6E" w:rsidRPr="00B53D6E">
        <w:t xml:space="preserve"> </w:t>
      </w:r>
      <w:r w:rsidRPr="00981D9A">
        <w:t xml:space="preserve">The AAQ-II is a </w:t>
      </w:r>
      <w:r w:rsidR="004F7EEB" w:rsidRPr="00981D9A">
        <w:t>unidimensional 7</w:t>
      </w:r>
      <w:r w:rsidRPr="00981D9A">
        <w:t>-item measure</w:t>
      </w:r>
      <w:r w:rsidR="004F7EEB" w:rsidRPr="00981D9A">
        <w:t xml:space="preserve"> of psychological inflexibility. Each item is rated from 1 (“Never true”) to 7 (“Always true”). Higher total scores indicate greater psychological inflexibility. </w:t>
      </w:r>
      <w:r w:rsidR="00F77601">
        <w:t xml:space="preserve">Items include “Worries get in the way of my success” and “I’m afraid of my feelings.” </w:t>
      </w:r>
      <w:r w:rsidR="004F7EEB" w:rsidRPr="00981D9A">
        <w:t xml:space="preserve">The AAQ-II has demonstrated </w:t>
      </w:r>
      <w:r w:rsidR="00160DE6" w:rsidRPr="00981D9A">
        <w:t>adequate internal consistency and test-retest reliability as well as convergent and divergent validity in both clinical and college student samples (Bond et al., 2011)</w:t>
      </w:r>
      <w:r w:rsidR="00981D9A" w:rsidRPr="00981D9A">
        <w:t xml:space="preserve">. Internal consistency in </w:t>
      </w:r>
      <w:r w:rsidR="001817DB">
        <w:t>this</w:t>
      </w:r>
      <w:r w:rsidR="001817DB" w:rsidRPr="00981D9A">
        <w:t xml:space="preserve"> </w:t>
      </w:r>
      <w:r w:rsidR="00981D9A" w:rsidRPr="00981D9A">
        <w:t xml:space="preserve">sample was </w:t>
      </w:r>
      <w:r w:rsidR="00981D9A" w:rsidRPr="00981D9A">
        <w:sym w:font="Symbol" w:char="F061"/>
      </w:r>
      <w:r w:rsidR="002B1A53">
        <w:t xml:space="preserve"> </w:t>
      </w:r>
      <w:r w:rsidR="00981D9A" w:rsidRPr="00981D9A">
        <w:t>=</w:t>
      </w:r>
      <w:r w:rsidR="002B1A53">
        <w:t xml:space="preserve"> </w:t>
      </w:r>
      <w:r w:rsidR="00981D9A" w:rsidRPr="00981D9A">
        <w:t>0.91.</w:t>
      </w:r>
    </w:p>
    <w:p w14:paraId="151CAE73" w14:textId="1DF2F7CD" w:rsidR="00160DE6" w:rsidRPr="00981D9A" w:rsidRDefault="00160DE6" w:rsidP="006E292F">
      <w:pPr>
        <w:spacing w:line="480" w:lineRule="auto"/>
        <w:ind w:firstLine="720"/>
      </w:pPr>
      <w:r w:rsidRPr="00C6071D">
        <w:rPr>
          <w:b/>
        </w:rPr>
        <w:t>Philadelphia Mindfulness Scale (PHLMS;</w:t>
      </w:r>
      <w:r w:rsidR="00B53D6E">
        <w:rPr>
          <w:b/>
        </w:rPr>
        <w:t xml:space="preserve"> </w:t>
      </w:r>
      <w:r w:rsidR="00B53D6E" w:rsidRPr="00B53D6E">
        <w:rPr>
          <w:b/>
        </w:rPr>
        <w:fldChar w:fldCharType="begin" w:fldLock="1"/>
      </w:r>
      <w:r w:rsidR="00B53D6E">
        <w:rPr>
          <w:b/>
        </w:rPr>
        <w:instrText>ADDIN CSL_CITATION { "citationItems" : [ { "id" : "ITEM-1", "itemData" : { "DOI" : "10.1177/1073191107311467", "ISBN" : "1073-1911", "ISSN" : "1073-1911", "PMID" : "18187399", "abstract" : "The purpose of this project was to develop a bidimensional measure of mindfulness to assess its two key components: present-moment awareness and acceptance. The development and psychometric validation of the Philadelphia Mindfulness Scale is described, and data are reported from expert raters, two nonclinical samples (n = 204 and 559), and three clinical samples including mixed psychiatric outpatients (n = 52), eating disorder inpatients (n = 30), and student counseling center outpatients (n = 78). Exploratory and confirmatory factor analyses support a two-factor solution, corresponding to the two constituent components of the construct. Good internal consistency was demonstrated, and relationships with other constructs were largely as expected. As predicted, significant differences were found between the nonclinical and clinical samples in levels of awareness and acceptance. The awareness and acceptance subscales were not correlated, suggesting that these two constructs can be examined independently. Potential theoretical and applied uses of the measure are discussed.", "author" : [ { "dropping-particle" : "", "family" : "Cardaciotto", "given" : "LeeAnn", "non-dropping-particle" : "", "parse-names" : false, "suffix" : "" }, { "dropping-particle" : "", "family" : "Herbert", "given" : "James D", "non-dropping-particle" : "", "parse-names" : false, "suffix" : "" }, { "dropping-particle" : "", "family" : "Forman", "given" : "Evan M", "non-dropping-particle" : "", "parse-names" : false, "suffix" : "" }, { "dropping-particle" : "", "family" : "Moitra", "given" : "Ethan", "non-dropping-particle" : "", "parse-names" : false, "suffix" : "" }, { "dropping-particle" : "", "family" : "Farrow", "given" : "Victoria", "non-dropping-particle" : "", "parse-names" : false, "suffix" : "" } ], "container-title" : "Assessment", "id" : "ITEM-1", "issue" : "2", "issued" : { "date-parts" : [ [ "2008" ] ] }, "page" : "204-223", "title" : "The assessment of present-moment awareness and acceptance: The Philadelphia Mindfulness Scale.", "type" : "article-journal", "volume" : "15" }, "uris" : [ "http://www.mendeley.com/documents/?uuid=2d05a6f1-17d3-4b9b-9b61-7d04986fab6a" ] } ], "mendeley" : { "formattedCitation" : "(Cardaciotto, Herbert, Forman, Moitra, &amp; Farrow, 2008)", "manualFormatting" : "Cardaciotto, Herbert, Forman, Moitra, &amp; Farrow, 2008)", "plainTextFormattedCitation" : "(Cardaciotto, Herbert, Forman, Moitra, &amp; Farrow, 2008)", "previouslyFormattedCitation" : "(Cardaciotto, Herbert, Forman, Moitra, &amp; Farrow, 2008)" }, "properties" : { "noteIndex" : 0 }, "schema" : "https://github.com/citation-style-language/schema/raw/master/csl-citation.json" }</w:instrText>
      </w:r>
      <w:r w:rsidR="00B53D6E" w:rsidRPr="00B53D6E">
        <w:rPr>
          <w:b/>
        </w:rPr>
        <w:fldChar w:fldCharType="separate"/>
      </w:r>
      <w:r w:rsidR="00B53D6E" w:rsidRPr="00B53D6E">
        <w:rPr>
          <w:b/>
          <w:noProof/>
        </w:rPr>
        <w:t>Cardaciotto, Herbert, Forman, Moitra, &amp; Farrow, 2008)</w:t>
      </w:r>
      <w:r w:rsidR="00B53D6E" w:rsidRPr="00B53D6E">
        <w:rPr>
          <w:b/>
        </w:rPr>
        <w:fldChar w:fldCharType="end"/>
      </w:r>
      <w:r w:rsidR="00B53D6E">
        <w:rPr>
          <w:b/>
        </w:rPr>
        <w:t xml:space="preserve"> </w:t>
      </w:r>
      <w:r w:rsidRPr="00C6071D">
        <w:rPr>
          <w:b/>
        </w:rPr>
        <w:t>– Acceptance</w:t>
      </w:r>
      <w:r w:rsidRPr="00981D9A">
        <w:t xml:space="preserve">. The acceptance subscale of the PHLMS is a 10-item measure of mindful acceptance. Each item is rated from 1 (“Never)” to 5 (“Very often”). All items are reverse scored such that higher scores indicate greater acceptance. </w:t>
      </w:r>
      <w:r w:rsidR="00F77601">
        <w:t xml:space="preserve">Items include “I try to distract myself when I feel unpleasant emotions.” </w:t>
      </w:r>
      <w:r w:rsidRPr="00981D9A">
        <w:t>The PHLMS has demonstrated adequate internal consistency, in addition to convergent and divergent validity</w:t>
      </w:r>
      <w:r w:rsidR="007F6A6F" w:rsidRPr="00981D9A">
        <w:t xml:space="preserve"> in both clinical and normative college student samples</w:t>
      </w:r>
      <w:r w:rsidRPr="00981D9A">
        <w:t xml:space="preserve"> </w:t>
      </w:r>
      <w:r w:rsidRPr="00981D9A">
        <w:fldChar w:fldCharType="begin"/>
      </w:r>
      <w:r w:rsidR="00A9449A">
        <w:instrText xml:space="preserve"> ADDIN EN.CITE &lt;EndNote&gt;&lt;Cite&gt;&lt;Author&gt;Cardaciotto&lt;/Author&gt;&lt;Year&gt;2008&lt;/Year&gt;&lt;RecNum&gt;173&lt;/RecNum&gt;&lt;DisplayText&gt;(Cardaciotto, Herbert, Forman, Moitra, &amp;amp; Farrow, 2008)&lt;/DisplayText&gt;&lt;record&gt;&lt;rec-number&gt;173&lt;/rec-number&gt;&lt;foreign-keys&gt;&lt;key app="EN" db-id="sftfe0ewbpe5txea5e0x00d3v0pwz2rfw90s" timestamp="1499914043"&gt;173&lt;/key&gt;&lt;key app="ENWeb" db-id=""&gt;0&lt;/key&gt;&lt;/foreign-keys&gt;&lt;ref-type name="Journal Article"&gt;17&lt;/ref-type&gt;&lt;contributors&gt;&lt;authors&gt;&lt;author&gt;Cardaciotto, L.&lt;/author&gt;&lt;author&gt;Herbert, J. D.&lt;/author&gt;&lt;author&gt;Forman, E. M.&lt;/author&gt;&lt;author&gt;Moitra, E.&lt;/author&gt;&lt;author&gt;Farrow, V.&lt;/author&gt;&lt;/authors&gt;&lt;/contributors&gt;&lt;auth-address&gt;La Salle University, Philadelphia, PA 19141, USA. cardaciotto@lasalle.edu&lt;/auth-address&gt;&lt;titles&gt;&lt;title&gt;The assessment of present-moment awareness and acceptance: the Philadelphia Mindfulness Scale&lt;/title&gt;&lt;secondary-title&gt;Assessment&lt;/secondary-title&gt;&lt;/titles&gt;&lt;periodical&gt;&lt;full-title&gt;Assessment&lt;/full-title&gt;&lt;/periodical&gt;&lt;pages&gt;204-23&lt;/pages&gt;&lt;volume&gt;15&lt;/volume&gt;&lt;number&gt;2&lt;/number&gt;&lt;keywords&gt;&lt;keyword&gt;Adolescent&lt;/keyword&gt;&lt;keyword&gt;Adult&lt;/keyword&gt;&lt;keyword&gt;Anxiety&lt;/keyword&gt;&lt;keyword&gt;*Attention&lt;/keyword&gt;&lt;keyword&gt;*Awareness&lt;/keyword&gt;&lt;keyword&gt;Depression&lt;/keyword&gt;&lt;keyword&gt;Factor Analysis, Statistical&lt;/keyword&gt;&lt;keyword&gt;Feeding and Eating Disorders&lt;/keyword&gt;&lt;keyword&gt;Female&lt;/keyword&gt;&lt;keyword&gt;Humans&lt;/keyword&gt;&lt;keyword&gt;Male&lt;/keyword&gt;&lt;keyword&gt;Middle Aged&lt;/keyword&gt;&lt;keyword&gt;Pennsylvania&lt;/keyword&gt;&lt;keyword&gt;*Perception&lt;/keyword&gt;&lt;keyword&gt;Pilot Projects&lt;/keyword&gt;&lt;keyword&gt;Program Development&lt;/keyword&gt;&lt;keyword&gt;Psychological Tests&lt;/keyword&gt;&lt;keyword&gt;Reproducibility of Results&lt;/keyword&gt;&lt;keyword&gt;Surveys and Questionnaires&lt;/keyword&gt;&lt;/keywords&gt;&lt;dates&gt;&lt;year&gt;2008&lt;/year&gt;&lt;pub-dates&gt;&lt;date&gt;Jun&lt;/date&gt;&lt;/pub-dates&gt;&lt;/dates&gt;&lt;isbn&gt;1073-1911 (Print)&amp;#xD;1073-1911 (Linking)&lt;/isbn&gt;&lt;accession-num&gt;18187399&lt;/accession-num&gt;&lt;urls&gt;&lt;related-urls&gt;&lt;url&gt;https://www.ncbi.nlm.nih.gov/pubmed/18187399&lt;/url&gt;&lt;/related-urls&gt;&lt;/urls&gt;&lt;electronic-resource-num&gt;10.1177/1073191107311467&lt;/electronic-resource-num&gt;&lt;/record&gt;&lt;/Cite&gt;&lt;/EndNote&gt;</w:instrText>
      </w:r>
      <w:r w:rsidRPr="00981D9A">
        <w:fldChar w:fldCharType="separate"/>
      </w:r>
      <w:r w:rsidR="00A9449A">
        <w:rPr>
          <w:noProof/>
        </w:rPr>
        <w:t>(Cardaci</w:t>
      </w:r>
      <w:r w:rsidR="003727A7">
        <w:rPr>
          <w:noProof/>
        </w:rPr>
        <w:t>otto et al.</w:t>
      </w:r>
      <w:r w:rsidR="00A9449A">
        <w:rPr>
          <w:noProof/>
        </w:rPr>
        <w:t>, 2008)</w:t>
      </w:r>
      <w:r w:rsidRPr="00981D9A">
        <w:fldChar w:fldCharType="end"/>
      </w:r>
      <w:r w:rsidRPr="00981D9A">
        <w:t>.</w:t>
      </w:r>
      <w:r w:rsidR="00981D9A" w:rsidRPr="00981D9A">
        <w:t xml:space="preserve"> Internal consistency in th</w:t>
      </w:r>
      <w:r w:rsidR="001817DB">
        <w:t xml:space="preserve">is </w:t>
      </w:r>
      <w:r w:rsidR="00981D9A" w:rsidRPr="00981D9A">
        <w:t>sample was excellent (</w:t>
      </w:r>
      <w:r w:rsidR="00981D9A" w:rsidRPr="00981D9A">
        <w:sym w:font="Symbol" w:char="F061"/>
      </w:r>
      <w:r w:rsidR="002B1A53">
        <w:t xml:space="preserve"> </w:t>
      </w:r>
      <w:r w:rsidR="00981D9A" w:rsidRPr="00981D9A">
        <w:t>=</w:t>
      </w:r>
      <w:r w:rsidR="002B1A53">
        <w:t xml:space="preserve"> </w:t>
      </w:r>
      <w:r w:rsidR="00981D9A" w:rsidRPr="00981D9A">
        <w:t>0.90)</w:t>
      </w:r>
      <w:r w:rsidR="002B1A53">
        <w:t>.</w:t>
      </w:r>
    </w:p>
    <w:p w14:paraId="085D416E" w14:textId="6FD41188" w:rsidR="00792611" w:rsidRPr="00981D9A" w:rsidRDefault="006E292F" w:rsidP="006E292F">
      <w:pPr>
        <w:spacing w:line="480" w:lineRule="auto"/>
        <w:ind w:firstLine="720"/>
      </w:pPr>
      <w:r w:rsidRPr="00C6071D">
        <w:rPr>
          <w:b/>
        </w:rPr>
        <w:t xml:space="preserve">Cognitive Fusion Questionnaire </w:t>
      </w:r>
      <w:r w:rsidRPr="00B53D6E">
        <w:rPr>
          <w:b/>
        </w:rPr>
        <w:fldChar w:fldCharType="begin"/>
      </w:r>
      <w:r w:rsidR="00A9449A">
        <w:rPr>
          <w:b/>
        </w:rPr>
        <w:instrText xml:space="preserve"> ADDIN EN.CITE &lt;EndNote&gt;&lt;Cite&gt;&lt;Author&gt;Gillanders&lt;/Author&gt;&lt;Year&gt;2014&lt;/Year&gt;&lt;RecNum&gt;176&lt;/RecNum&gt;&lt;Prefix&gt;CFQ`; &lt;/Prefix&gt;&lt;DisplayText&gt;(CFQ; Gillanders et al., 2014)&lt;/DisplayText&gt;&lt;record&gt;&lt;rec-number&gt;176&lt;/rec-number&gt;&lt;foreign-keys&gt;&lt;key app="EN" db-id="sftfe0ewbpe5txea5e0x00d3v0pwz2rfw90s" timestamp="1499914050"&gt;176&lt;/key&gt;&lt;key app="ENWeb" db-id=""&gt;0&lt;/key&gt;&lt;/foreign-keys&gt;&lt;ref-type name="Journal Article"&gt;17&lt;/ref-type&gt;&lt;contributors&gt;&lt;authors&gt;&lt;author&gt;Gillanders, D. T.&lt;/author&gt;&lt;author&gt;Bolderston, H.&lt;/author&gt;&lt;author&gt;Bond, F. W.&lt;/author&gt;&lt;author&gt;Dempster, M.&lt;/author&gt;&lt;author&gt;Flaxman, P. E.&lt;/author&gt;&lt;author&gt;Campbell, L.&lt;/author&gt;&lt;author&gt;Kerr, S.&lt;/author&gt;&lt;author&gt;Tansey, L.&lt;/author&gt;&lt;author&gt;Noel, P.&lt;/author&gt;&lt;author&gt;Ferenbach, C.&lt;/author&gt;&lt;author&gt;Masley, S.&lt;/author&gt;&lt;author&gt;Roach, L.&lt;/author&gt;&lt;author&gt;Lloyd, J.&lt;/author&gt;&lt;author&gt;May, L.&lt;/author&gt;&lt;author&gt;Clarke, S.&lt;/author&gt;&lt;author&gt;Remington, B.&lt;/author&gt;&lt;/authors&gt;&lt;/contributors&gt;&lt;titles&gt;&lt;title&gt;The development and initial validation of the Cognitive Fusion Questionnaire&lt;/title&gt;&lt;secondary-title&gt;Behavior Therapy&lt;/secondary-title&gt;&lt;/titles&gt;&lt;periodical&gt;&lt;full-title&gt;Behavior Therapy&lt;/full-title&gt;&lt;/periodical&gt;&lt;pages&gt;83-101&lt;/pages&gt;&lt;volume&gt;45&lt;/volume&gt;&lt;dates&gt;&lt;year&gt;2014&lt;/year&gt;&lt;/dates&gt;&lt;urls&gt;&lt;/urls&gt;&lt;electronic-resource-num&gt;10.1016/j.beth.2013.09.001&lt;/electronic-resource-num&gt;&lt;/record&gt;&lt;/Cite&gt;&lt;/EndNote&gt;</w:instrText>
      </w:r>
      <w:r w:rsidRPr="00B53D6E">
        <w:rPr>
          <w:b/>
        </w:rPr>
        <w:fldChar w:fldCharType="separate"/>
      </w:r>
      <w:r w:rsidR="00A9449A">
        <w:rPr>
          <w:b/>
          <w:noProof/>
        </w:rPr>
        <w:t>(CFQ; Gillanders et al., 2014)</w:t>
      </w:r>
      <w:r w:rsidRPr="00B53D6E">
        <w:rPr>
          <w:b/>
        </w:rPr>
        <w:fldChar w:fldCharType="end"/>
      </w:r>
      <w:r w:rsidRPr="00B53D6E">
        <w:rPr>
          <w:b/>
        </w:rPr>
        <w:t>.</w:t>
      </w:r>
      <w:r w:rsidRPr="00981D9A">
        <w:rPr>
          <w:b/>
        </w:rPr>
        <w:t xml:space="preserve"> </w:t>
      </w:r>
      <w:r w:rsidRPr="00981D9A">
        <w:t xml:space="preserve">The CFQ is a </w:t>
      </w:r>
      <w:r w:rsidR="0050273F" w:rsidRPr="00981D9A">
        <w:t>7</w:t>
      </w:r>
      <w:r w:rsidRPr="00981D9A">
        <w:t>-item measure of cognitive fusion</w:t>
      </w:r>
      <w:r w:rsidR="0050273F" w:rsidRPr="00981D9A">
        <w:t>,</w:t>
      </w:r>
      <w:r w:rsidR="00792611" w:rsidRPr="00981D9A">
        <w:t xml:space="preserve"> defined as</w:t>
      </w:r>
      <w:r w:rsidR="0050273F" w:rsidRPr="00981D9A">
        <w:t xml:space="preserve"> </w:t>
      </w:r>
      <w:r w:rsidR="00792611" w:rsidRPr="00981D9A">
        <w:t>“the tendency for behavior to be overly regulated and influen</w:t>
      </w:r>
      <w:r w:rsidR="00B53D6E">
        <w:t xml:space="preserve">ced by cognition” </w:t>
      </w:r>
      <w:r w:rsidR="00B53D6E">
        <w:fldChar w:fldCharType="begin" w:fldLock="1"/>
      </w:r>
      <w:r w:rsidR="00B53D6E">
        <w:instrText>ADDIN CSL_CITATION { "citationItems" : [ { "id" : "ITEM-1", "itemData" : { "DOI" : "10.1016/j.beth.2013.09.001", "ISBN" : "0005-7894", "ISSN" : "00057894", "PMID" : "24411117", "abstract" : "Acceptance and Commitment Therapy (ACT) emphasizes the relationship a person has with their thoughts and beliefs as potentially more relevant than belief content in predicting the emotional and behavioral consequences of cognition. In ACT, \"defusion\" interventions aim to \"unhook\" thoughts from actions and to create psychological distance between a person and their thoughts, beliefs, memories, and self-stories. A number of similar concepts have been described in the psychology literature (e.g., decentering, metacognition, mentalization, and mindfulness) suggesting converging evidence that how we relate to mental events may be of critical importance. While there are some good measures of these related processes, none of them provides an adequate operationalization of cognitive fusion. Despite the centrality of cognitive fusion in the ACT model, there is as yet no agreed-upon measure of cognitive fusion. This paper presents the construction and development of a brief, self-report measure of cognitive fusion: The Cognitive Fusion Questionnaire (CFQ). The results of a series of studies involving over 1,800 people across diverse samples show good preliminary evidence of the CFQ's factor structure, reliability, temporal stability, validity, discriminant validity, and sensitivity to treatment effects. The potential uses of the CFQ in research and clinical practice are outlined. \u00a9 2013.", "author" : [ { "dropping-particle" : "", "family" : "Gillanders", "given" : "David T.", "non-dropping-particle" : "", "parse-names" : false, "suffix" : "" }, { "dropping-particle" : "", "family" : "Bolderston", "given" : "Helen", "non-dropping-particle" : "", "parse-names" : false, "suffix" : "" }, { "dropping-particle" : "", "family" : "Bond", "given" : "Frank W.", "non-dropping-particle" : "", "parse-names" : false, "suffix" : "" }, { "dropping-particle" : "", "family" : "Dempster", "given" : "Maria", "non-dropping-particle" : "", "parse-names" : false, "suffix" : "" }, { "dropping-particle" : "", "family" : "Flaxman", "given" : "Paul E.", "non-dropping-particle" : "", "parse-names" : false, "suffix" : "" }, { "dropping-particle" : "", "family" : "Campbell", "given" : "Lindsey", "non-dropping-particle" : "", "parse-names" : false, "suffix" : "" }, { "dropping-particle" : "", "family" : "Kerr", "given" : "Sian", "non-dropping-particle" : "", "parse-names" : false, "suffix" : "" }, { "dropping-particle" : "", "family" : "Tansey", "given" : "Louise", "non-dropping-particle" : "", "parse-names" : false, "suffix" : "" }, { "dropping-particle" : "", "family" : "Noel", "given" : "Penelope", "non-dropping-particle" : "", "parse-names" : false, "suffix" : "" }, { "dropping-particle" : "", "family" : "Ferenbach", "given" : "Clive", "non-dropping-particle" : "", "parse-names" : false, "suffix" : "" }, { "dropping-particle" : "", "family" : "Masley", "given" : "Samantha", "non-dropping-particle" : "", "parse-names" : false, "suffix" : "" }, { "dropping-particle" : "", "family" : "Roach", "given" : "Louise", "non-dropping-particle" : "", "parse-names" : false, "suffix" : "" }, { "dropping-particle" : "", "family" : "Lloyd", "given" : "Joda", "non-dropping-particle" : "", "parse-names" : false, "suffix" : "" }, { "dropping-particle" : "", "family" : "May", "given" : "Lauraine", "non-dropping-particle" : "", "parse-names" : false, "suffix" : "" }, { "dropping-particle" : "", "family" : "Clarke", "given" : "Susan", "non-dropping-particle" : "", "parse-names" : false, "suffix" : "" }, { "dropping-particle" : "", "family" : "Remington", "given" : "Bob", "non-dropping-particle" : "", "parse-names" : false, "suffix" : "" } ], "container-title" : "Behavior Therapy", "id" : "ITEM-1", "issue" : "1", "issued" : { "date-parts" : [ [ "2014" ] ] }, "page" : "83-101", "publisher" : "Elsevier B.V.", "title" : "The development and initial validation of the Cognitive Fusion Questionnaire", "type" : "article-journal", "volume" : "45" }, "uris" : [ "http://www.mendeley.com/documents/?uuid=84c45b24-f636-4d6b-acfe-64d990dbba28" ] } ], "mendeley" : { "formattedCitation" : "(Gillanders et al., 2014)", "manualFormatting" : "(Gillanders et al., 2014, p. 84)", "plainTextFormattedCitation" : "(Gillanders et al., 2014)", "previouslyFormattedCitation" : "(Gillanders et al., 2014)" }, "properties" : { "noteIndex" : 0 }, "schema" : "https://github.com/citation-style-language/schema/raw/master/csl-citation.json" }</w:instrText>
      </w:r>
      <w:r w:rsidR="00B53D6E">
        <w:fldChar w:fldCharType="separate"/>
      </w:r>
      <w:r w:rsidR="00B53D6E" w:rsidRPr="00B53D6E">
        <w:rPr>
          <w:noProof/>
        </w:rPr>
        <w:t>(Gillanders et al., 2014</w:t>
      </w:r>
      <w:r w:rsidR="00B53D6E">
        <w:rPr>
          <w:noProof/>
        </w:rPr>
        <w:t>, p. 84</w:t>
      </w:r>
      <w:r w:rsidR="00B53D6E" w:rsidRPr="00B53D6E">
        <w:rPr>
          <w:noProof/>
        </w:rPr>
        <w:t>)</w:t>
      </w:r>
      <w:r w:rsidR="00B53D6E">
        <w:fldChar w:fldCharType="end"/>
      </w:r>
      <w:r w:rsidRPr="00981D9A">
        <w:t xml:space="preserve">. </w:t>
      </w:r>
      <w:r w:rsidR="00792611" w:rsidRPr="00981D9A">
        <w:t xml:space="preserve">Each item is scored from 1 (“Never true”) to 7 (“Always true”) with higher scores indicating greater cognitive fusion. </w:t>
      </w:r>
      <w:r w:rsidR="00F77601">
        <w:t xml:space="preserve">Items include “I struggle with my thoughts.” </w:t>
      </w:r>
      <w:r w:rsidR="00792611" w:rsidRPr="00981D9A">
        <w:t>The CFQ has demonstrated excellent internal consistency and good test-retest reliability in addition to convergent and divergent validity</w:t>
      </w:r>
      <w:r w:rsidR="00253C8D" w:rsidRPr="00981D9A">
        <w:t xml:space="preserve"> in bot</w:t>
      </w:r>
      <w:r w:rsidR="00B53D6E">
        <w:t xml:space="preserve">h student and clinical samples </w:t>
      </w:r>
      <w:r w:rsidR="00B53D6E">
        <w:fldChar w:fldCharType="begin" w:fldLock="1"/>
      </w:r>
      <w:r w:rsidR="00B53D6E">
        <w:instrText>ADDIN CSL_CITATION { "citationItems" : [ { "id" : "ITEM-1", "itemData" : { "DOI" : "10.1016/j.beth.2013.09.001", "ISBN" : "0005-7894", "ISSN" : "00057894", "PMID" : "24411117", "abstract" : "Acceptance and Commitment Therapy (ACT) emphasizes the relationship a person has with their thoughts and beliefs as potentially more relevant than belief content in predicting the emotional and behavioral consequences of cognition. In ACT, \"defusion\" interventions aim to \"unhook\" thoughts from actions and to create psychological distance between a person and their thoughts, beliefs, memories, and self-stories. A number of similar concepts have been described in the psychology literature (e.g., decentering, metacognition, mentalization, and mindfulness) suggesting converging evidence that how we relate to mental events may be of critical importance. While there are some good measures of these related processes, none of them provides an adequate operationalization of cognitive fusion. Despite the centrality of cognitive fusion in the ACT model, there is as yet no agreed-upon measure of cognitive fusion. This paper presents the construction and development of a brief, self-report measure of cognitive fusion: The Cognitive Fusion Questionnaire (CFQ). The results of a series of studies involving over 1,800 people across diverse samples show good preliminary evidence of the CFQ's factor structure, reliability, temporal stability, validity, discriminant validity, and sensitivity to treatment effects. The potential uses of the CFQ in research and clinical practice are outlined. \u00a9 2013.", "author" : [ { "dropping-particle" : "", "family" : "Gillanders", "given" : "David T.", "non-dropping-particle" : "", "parse-names" : false, "suffix" : "" }, { "dropping-particle" : "", "family" : "Bolderston", "given" : "Helen", "non-dropping-particle" : "", "parse-names" : false, "suffix" : "" }, { "dropping-particle" : "", "family" : "Bond", "given" : "Frank W.", "non-dropping-particle" : "", "parse-names" : false, "suffix" : "" }, { "dropping-particle" : "", "family" : "Dempster", "given" : "Maria", "non-dropping-particle" : "", "parse-names" : false, "suffix" : "" }, { "dropping-particle" : "", "family" : "Flaxman", "given" : "Paul E.", "non-dropping-particle" : "", "parse-names" : false, "suffix" : "" }, { "dropping-particle" : "", "family" : "Campbell", "given" : "Lindsey", "non-dropping-particle" : "", "parse-names" : false, "suffix" : "" }, { "dropping-particle" : "", "family" : "Kerr", "given" : "Sian", "non-dropping-particle" : "", "parse-names" : false, "suffix" : "" }, { "dropping-particle" : "", "family" : "Tansey", "given" : "Louise", "non-dropping-particle" : "", "parse-names" : false, "suffix" : "" }, { "dropping-particle" : "", "family" : "Noel", "given" : "Penelope", "non-dropping-particle" : "", "parse-names" : false, "suffix" : "" }, { "dropping-particle" : "", "family" : "Ferenbach", "given" : "Clive", "non-dropping-particle" : "", "parse-names" : false, "suffix" : "" }, { "dropping-particle" : "", "family" : "Masley", "given" : "Samantha", "non-dropping-particle" : "", "parse-names" : false, "suffix" : "" }, { "dropping-particle" : "", "family" : "Roach", "given" : "Louise", "non-dropping-particle" : "", "parse-names" : false, "suffix" : "" }, { "dropping-particle" : "", "family" : "Lloyd", "given" : "Joda", "non-dropping-particle" : "", "parse-names" : false, "suffix" : "" }, { "dropping-particle" : "", "family" : "May", "given" : "Lauraine", "non-dropping-particle" : "", "parse-names" : false, "suffix" : "" }, { "dropping-particle" : "", "family" : "Clarke", "given" : "Susan", "non-dropping-particle" : "", "parse-names" : false, "suffix" : "" }, { "dropping-particle" : "", "family" : "Remington", "given" : "Bob", "non-dropping-particle" : "", "parse-names" : false, "suffix" : "" } ], "container-title" : "Behavior Therapy", "id" : "ITEM-1", "issue" : "1", "issued" : { "date-parts" : [ [ "2014" ] ] }, "page" : "83-101", "publisher" : "Elsevier B.V.", "title" : "The development and initial validation of the Cognitive Fusion Questionnaire", "type" : "article-journal", "volume" : "45" }, "uris" : [ "http://www.mendeley.com/documents/?uuid=84c45b24-f636-4d6b-acfe-64d990dbba28" ] } ], "mendeley" : { "formattedCitation" : "(Gillanders et al., 2014)", "plainTextFormattedCitation" : "(Gillanders et al., 2014)", "previouslyFormattedCitation" : "(Gillanders et al., 2014)" }, "properties" : { "noteIndex" : 0 }, "schema" : "https://github.com/citation-style-language/schema/raw/master/csl-citation.json" }</w:instrText>
      </w:r>
      <w:r w:rsidR="00B53D6E">
        <w:fldChar w:fldCharType="separate"/>
      </w:r>
      <w:r w:rsidR="00B53D6E" w:rsidRPr="00B53D6E">
        <w:rPr>
          <w:noProof/>
        </w:rPr>
        <w:t>(Gillanders et al., 2014)</w:t>
      </w:r>
      <w:r w:rsidR="00B53D6E">
        <w:fldChar w:fldCharType="end"/>
      </w:r>
      <w:r w:rsidR="00B53D6E">
        <w:t xml:space="preserve">. </w:t>
      </w:r>
      <w:r w:rsidR="00981D9A" w:rsidRPr="00981D9A">
        <w:t xml:space="preserve">Internal consistency was excellent in the </w:t>
      </w:r>
      <w:r w:rsidR="001817DB">
        <w:t>present</w:t>
      </w:r>
      <w:r w:rsidR="001817DB" w:rsidRPr="00981D9A">
        <w:t xml:space="preserve"> </w:t>
      </w:r>
      <w:r w:rsidR="00981D9A" w:rsidRPr="00981D9A">
        <w:t>sample (</w:t>
      </w:r>
      <w:r w:rsidR="00981D9A" w:rsidRPr="00981D9A">
        <w:sym w:font="Symbol" w:char="F061"/>
      </w:r>
      <w:r w:rsidR="002B1A53">
        <w:t xml:space="preserve"> </w:t>
      </w:r>
      <w:r w:rsidR="00981D9A" w:rsidRPr="00981D9A">
        <w:t>=</w:t>
      </w:r>
      <w:r w:rsidR="002B1A53">
        <w:t xml:space="preserve"> </w:t>
      </w:r>
      <w:r w:rsidR="00981D9A" w:rsidRPr="00981D9A">
        <w:t>0.92)</w:t>
      </w:r>
      <w:r w:rsidR="002B1A53">
        <w:t>.</w:t>
      </w:r>
    </w:p>
    <w:p w14:paraId="7CA3CFA8" w14:textId="3C93E81D" w:rsidR="00FA7180" w:rsidRPr="00981D9A" w:rsidRDefault="00253C8D" w:rsidP="00FA7180">
      <w:pPr>
        <w:spacing w:line="480" w:lineRule="auto"/>
        <w:ind w:firstLine="720"/>
      </w:pPr>
      <w:r w:rsidRPr="00C6071D">
        <w:rPr>
          <w:b/>
        </w:rPr>
        <w:t>Mindful Attention Awareness Scale (MAAS;</w:t>
      </w:r>
      <w:r w:rsidRPr="00B53D6E">
        <w:rPr>
          <w:b/>
        </w:rPr>
        <w:t xml:space="preserve"> </w:t>
      </w:r>
      <w:r w:rsidR="00B53D6E" w:rsidRPr="00B53D6E">
        <w:rPr>
          <w:b/>
        </w:rPr>
        <w:fldChar w:fldCharType="begin" w:fldLock="1"/>
      </w:r>
      <w:r w:rsidR="00B53D6E">
        <w:rPr>
          <w:b/>
        </w:rPr>
        <w:instrText>ADDIN CSL_CITATION { "citationItems" : [ { "id" : "ITEM-1", "itemData" : { "DOI" : "10.1037/0022-3514.84.4.822", "ISBN" : "0022351419391", "ISSN" : "0022-3514", "PMID" : "12703651", "abstract" : "Mindfulness is an attribute of consciousness long believed to promote well-being. This research provides a theoretical and empirical examination of the role of mindfulness in psychological well-being. The development and psychometric properties of the dispositional Mindful Attention Awareness Scale (MAAS) are described. Correlational, quasi-experimental, and laboratory studies then show that the MAAS measures a unique quality of consciousness that is related to a variety of well-being constructs, that differentiates mindfulness practitioners from others, and that is associated with enhanced self-awareness. An experience-sampling study shows that both dispositional and state mindfulness predict self-regulated behavior and positive emotional states. Finally, a clinical intervention study with cancer patients demonstrates that increases in mindfulness over time relate to declines in mood disturbance and stress.", "author" : [ { "dropping-particle" : "", "family" : "Brown", "given" : "Kirk Warren", "non-dropping-particle" : "", "parse-names" : false, "suffix" : "" }, { "dropping-particle" : "", "family" : "Ryan", "given" : "Richard M", "non-dropping-particle" : "", "parse-names" : false, "suffix" : "" } ], "container-title" : "Journal of Personality and Social Psychology", "id" : "ITEM-1", "issued" : { "date-parts" : [ [ "2003" ] ] }, "page" : "822-848", "title" : "The benefits of being present: mindfulness and its role in psychological well-being.", "type" : "article-journal", "volume" : "84" }, "uris" : [ "http://www.mendeley.com/documents/?uuid=56933b65-165a-4d98-9cf5-1701ee5f260d" ] } ], "mendeley" : { "formattedCitation" : "(Brown &amp; Ryan, 2003)", "manualFormatting" : "Brown &amp; Ryan, 2003)", "plainTextFormattedCitation" : "(Brown &amp; Ryan, 2003)", "previouslyFormattedCitation" : "(Brown &amp; Ryan, 2003)" }, "properties" : { "noteIndex" : 0 }, "schema" : "https://github.com/citation-style-language/schema/raw/master/csl-citation.json" }</w:instrText>
      </w:r>
      <w:r w:rsidR="00B53D6E" w:rsidRPr="00B53D6E">
        <w:rPr>
          <w:b/>
        </w:rPr>
        <w:fldChar w:fldCharType="separate"/>
      </w:r>
      <w:r w:rsidR="00B53D6E" w:rsidRPr="00B53D6E">
        <w:rPr>
          <w:b/>
          <w:noProof/>
        </w:rPr>
        <w:t>Brown &amp; Ryan, 2003)</w:t>
      </w:r>
      <w:r w:rsidR="00B53D6E" w:rsidRPr="00B53D6E">
        <w:rPr>
          <w:b/>
        </w:rPr>
        <w:fldChar w:fldCharType="end"/>
      </w:r>
      <w:r w:rsidR="00B53D6E">
        <w:rPr>
          <w:b/>
        </w:rPr>
        <w:t xml:space="preserve">. </w:t>
      </w:r>
      <w:r w:rsidRPr="00981D9A">
        <w:t>The MAAS is a 15-item measure of mindful awareness. Each item is rated from 1 (“Almost always”) to 6 (“Almost never”)</w:t>
      </w:r>
      <w:r w:rsidR="00F77601">
        <w:t>, and all items are reverse scored</w:t>
      </w:r>
      <w:r w:rsidRPr="00981D9A">
        <w:t xml:space="preserve"> </w:t>
      </w:r>
      <w:r w:rsidR="00F77601">
        <w:t>such that</w:t>
      </w:r>
      <w:r w:rsidR="00F77601" w:rsidRPr="00981D9A">
        <w:t xml:space="preserve"> </w:t>
      </w:r>
      <w:r w:rsidRPr="00981D9A">
        <w:t xml:space="preserve">higher scores indicate greater mindful awareness. </w:t>
      </w:r>
      <w:r w:rsidR="00F77601">
        <w:t xml:space="preserve">Items include “I find it difficult to stay focused on what’s happening in the present.” </w:t>
      </w:r>
      <w:r w:rsidRPr="00981D9A">
        <w:t xml:space="preserve">The MAAS has shown adequate internal consistency and test-retest reliability as well as convergent and divergent validity </w:t>
      </w:r>
      <w:r w:rsidR="00E87BE8" w:rsidRPr="00981D9A">
        <w:t>in both student and community samples</w:t>
      </w:r>
      <w:r w:rsidR="00B53D6E">
        <w:t xml:space="preserve"> </w:t>
      </w:r>
      <w:r w:rsidR="00B53D6E">
        <w:fldChar w:fldCharType="begin" w:fldLock="1"/>
      </w:r>
      <w:r w:rsidR="00B53D6E">
        <w:instrText>ADDIN CSL_CITATION { "citationItems" : [ { "id" : "ITEM-1", "itemData" : { "DOI" : "10.1037/0022-3514.84.4.822", "ISBN" : "0022351419391", "ISSN" : "0022-3514", "PMID" : "12703651", "abstract" : "Mindfulness is an attribute of consciousness long believed to promote well-being. This research provides a theoretical and empirical examination of the role of mindfulness in psychological well-being. The development and psychometric properties of the dispositional Mindful Attention Awareness Scale (MAAS) are described. Correlational, quasi-experimental, and laboratory studies then show that the MAAS measures a unique quality of consciousness that is related to a variety of well-being constructs, that differentiates mindfulness practitioners from others, and that is associated with enhanced self-awareness. An experience-sampling study shows that both dispositional and state mindfulness predict self-regulated behavior and positive emotional states. Finally, a clinical intervention study with cancer patients demonstrates that increases in mindfulness over time relate to declines in mood disturbance and stress.", "author" : [ { "dropping-particle" : "", "family" : "Brown", "given" : "Kirk Warren", "non-dropping-particle" : "", "parse-names" : false, "suffix" : "" }, { "dropping-particle" : "", "family" : "Ryan", "given" : "Richard M", "non-dropping-particle" : "", "parse-names" : false, "suffix" : "" } ], "container-title" : "Journal of Personality and Social Psychology", "id" : "ITEM-1", "issued" : { "date-parts" : [ [ "2003" ] ] }, "page" : "822-848", "title" : "The benefits of being present: mindfulness and its role in psychological well-being.", "type" : "article-journal", "volume" : "84" }, "uris" : [ "http://www.mendeley.com/documents/?uuid=56933b65-165a-4d98-9cf5-1701ee5f260d" ] } ], "mendeley" : { "formattedCitation" : "(Brown &amp; Ryan, 2003)", "plainTextFormattedCitation" : "(Brown &amp; Ryan, 2003)", "previouslyFormattedCitation" : "(Brown &amp; Ryan, 2003)" }, "properties" : { "noteIndex" : 0 }, "schema" : "https://github.com/citation-style-language/schema/raw/master/csl-citation.json" }</w:instrText>
      </w:r>
      <w:r w:rsidR="00B53D6E">
        <w:fldChar w:fldCharType="separate"/>
      </w:r>
      <w:r w:rsidR="00B53D6E" w:rsidRPr="00B53D6E">
        <w:rPr>
          <w:noProof/>
        </w:rPr>
        <w:t>(Brown &amp; Ryan, 2003)</w:t>
      </w:r>
      <w:r w:rsidR="00B53D6E">
        <w:fldChar w:fldCharType="end"/>
      </w:r>
      <w:r w:rsidR="00E87BE8" w:rsidRPr="00981D9A">
        <w:t>.</w:t>
      </w:r>
      <w:r w:rsidR="00981D9A" w:rsidRPr="00981D9A">
        <w:t xml:space="preserve"> The MAAS had good internal consistency in th</w:t>
      </w:r>
      <w:r w:rsidR="001817DB">
        <w:t>is</w:t>
      </w:r>
      <w:r w:rsidR="00981D9A" w:rsidRPr="00981D9A">
        <w:t xml:space="preserve"> sample (</w:t>
      </w:r>
      <w:r w:rsidR="00981D9A" w:rsidRPr="00981D9A">
        <w:sym w:font="Symbol" w:char="F061"/>
      </w:r>
      <w:r w:rsidR="002B1A53">
        <w:t xml:space="preserve"> </w:t>
      </w:r>
      <w:r w:rsidR="00981D9A" w:rsidRPr="00981D9A">
        <w:t>=</w:t>
      </w:r>
      <w:r w:rsidR="002B1A53">
        <w:t xml:space="preserve"> </w:t>
      </w:r>
      <w:r w:rsidR="00981D9A" w:rsidRPr="00981D9A">
        <w:t>0.88).</w:t>
      </w:r>
    </w:p>
    <w:p w14:paraId="336250CD" w14:textId="34A63CCE" w:rsidR="00FA7180" w:rsidRPr="00981D9A" w:rsidRDefault="006E292F" w:rsidP="006E292F">
      <w:pPr>
        <w:spacing w:line="480" w:lineRule="auto"/>
        <w:ind w:firstLine="720"/>
      </w:pPr>
      <w:r w:rsidRPr="00C6071D">
        <w:rPr>
          <w:b/>
        </w:rPr>
        <w:t xml:space="preserve">Valuing Questionnaire </w:t>
      </w:r>
      <w:r w:rsidRPr="00B53D6E">
        <w:rPr>
          <w:b/>
        </w:rPr>
        <w:fldChar w:fldCharType="begin"/>
      </w:r>
      <w:r w:rsidR="00A9449A">
        <w:rPr>
          <w:b/>
        </w:rPr>
        <w:instrText xml:space="preserve"> ADDIN EN.CITE &lt;EndNote&gt;&lt;Cite&gt;&lt;Author&gt;Smout&lt;/Author&gt;&lt;Year&gt;2014&lt;/Year&gt;&lt;RecNum&gt;172&lt;/RecNum&gt;&lt;Prefix&gt;VQ`; &lt;/Prefix&gt;&lt;DisplayText&gt;(VQ; Smout, Davies, Burns, &amp;amp; Christie, 2014)&lt;/DisplayText&gt;&lt;record&gt;&lt;rec-number&gt;172&lt;/rec-number&gt;&lt;foreign-keys&gt;&lt;key app="EN" db-id="sftfe0ewbpe5txea5e0x00d3v0pwz2rfw90s" timestamp="1499914039"&gt;172&lt;/key&gt;&lt;key app="ENWeb" db-id=""&gt;0&lt;/key&gt;&lt;/foreign-keys&gt;&lt;ref-type name="Journal Article"&gt;17&lt;/ref-type&gt;&lt;contributors&gt;&lt;authors&gt;&lt;author&gt;Smout, M.&lt;/author&gt;&lt;author&gt;Davies, M.&lt;/author&gt;&lt;author&gt;Burns, N.&lt;/author&gt;&lt;author&gt;Christie, A.&lt;/author&gt;&lt;/authors&gt;&lt;/contributors&gt;&lt;titles&gt;&lt;title&gt;Development of the Valuing Questionnaire (VQ)&lt;/title&gt;&lt;secondary-title&gt;Journal of Contextual Behavioral Science&lt;/secondary-title&gt;&lt;/titles&gt;&lt;periodical&gt;&lt;full-title&gt;Journal of Contextual Behavioral Science&lt;/full-title&gt;&lt;/periodical&gt;&lt;pages&gt;164-172&lt;/pages&gt;&lt;volume&gt;3&lt;/volume&gt;&lt;dates&gt;&lt;year&gt;2014&lt;/year&gt;&lt;/dates&gt;&lt;urls&gt;&lt;/urls&gt;&lt;electronic-resource-num&gt;10.1016/j.jcbs.2014.06.001&lt;/electronic-resource-num&gt;&lt;/record&gt;&lt;/Cite&gt;&lt;/EndNote&gt;</w:instrText>
      </w:r>
      <w:r w:rsidRPr="00B53D6E">
        <w:rPr>
          <w:b/>
        </w:rPr>
        <w:fldChar w:fldCharType="separate"/>
      </w:r>
      <w:r w:rsidR="00A9449A">
        <w:rPr>
          <w:b/>
          <w:noProof/>
        </w:rPr>
        <w:t>(VQ; Smout, Davies, Burns, &amp; Christie, 2014)</w:t>
      </w:r>
      <w:r w:rsidRPr="00B53D6E">
        <w:rPr>
          <w:b/>
        </w:rPr>
        <w:fldChar w:fldCharType="end"/>
      </w:r>
      <w:r w:rsidRPr="00B53D6E">
        <w:rPr>
          <w:b/>
        </w:rPr>
        <w:t>.</w:t>
      </w:r>
      <w:r w:rsidRPr="00981D9A">
        <w:t xml:space="preserve"> The VQ is a 10-item measure </w:t>
      </w:r>
      <w:r w:rsidR="00FA7180" w:rsidRPr="00981D9A">
        <w:t>that assesses</w:t>
      </w:r>
      <w:r w:rsidRPr="00981D9A">
        <w:t xml:space="preserve"> valued living</w:t>
      </w:r>
      <w:r w:rsidR="00FA7180" w:rsidRPr="00981D9A">
        <w:t xml:space="preserve">. The measure includes two distinct subscales, each with 5 items: Progress (clarity and perseverance towards personal values) and Obstruction (the extent to which avoidance and inattention interfere with valued living). </w:t>
      </w:r>
      <w:r w:rsidR="00F77601">
        <w:t>An example Progress item is “I felt like I had purpose in life” and an example Obstruction item is “</w:t>
      </w:r>
      <w:r w:rsidR="008034BB">
        <w:t>Difficult thoughts, feelings, or memories got in the way of what I really wanted to do.</w:t>
      </w:r>
      <w:r w:rsidR="00F77601">
        <w:t>”</w:t>
      </w:r>
      <w:r w:rsidR="008034BB">
        <w:t xml:space="preserve"> </w:t>
      </w:r>
      <w:r w:rsidR="00FA7180" w:rsidRPr="00981D9A">
        <w:t>Each item is rated from 0 (“Not at all true”) to 6 (“Completely true”) for the past week. Higher scores indicate greater progress towards valued living and greater obstruction in valued living</w:t>
      </w:r>
      <w:r w:rsidR="00EE2A30">
        <w:t xml:space="preserve"> respectively</w:t>
      </w:r>
      <w:r w:rsidR="00FA7180" w:rsidRPr="00981D9A">
        <w:t>.</w:t>
      </w:r>
      <w:r w:rsidRPr="00981D9A">
        <w:t xml:space="preserve"> </w:t>
      </w:r>
      <w:r w:rsidR="00FA7180" w:rsidRPr="00981D9A">
        <w:t xml:space="preserve">The VQ has demonstrated </w:t>
      </w:r>
      <w:r w:rsidR="002F6BE2" w:rsidRPr="00981D9A">
        <w:t xml:space="preserve">adequate internal consistency and convergent validity in </w:t>
      </w:r>
      <w:r w:rsidR="00EE6C44" w:rsidRPr="00981D9A">
        <w:t>a college student sample</w:t>
      </w:r>
      <w:r w:rsidR="00B53D6E">
        <w:t xml:space="preserve"> </w:t>
      </w:r>
      <w:r w:rsidR="00B53D6E">
        <w:fldChar w:fldCharType="begin" w:fldLock="1"/>
      </w:r>
      <w:r w:rsidR="00B53D6E">
        <w:instrText>ADDIN CSL_CITATION { "citationItems" : [ { "id" : "ITEM-1", "itemData" : { "DOI" : "10.1016/j.jcbs.2014.06.001", "ISSN" : "22121447", "abstract" : "Acceptance and Commitment Therapy (ACT) aims to facilitate valued living; however, there are few well-validated questionnaires to assess this. Valuing Questionnaire (VQ) items were generated from ACT texts and rated as representative and face-valid by ACT authors. Exploratory and confirmatory factor analyses supported a 2-factor solution (Factor 1=Progress (in valued living); Factor 2=Obstruction (to valued living)) in undergraduate university ( N=630) and clinical adult ( N=285) samples. Concurrent validity was measured with the Satisfaction With Life Scale (SWLS), Ryff's Psychological Scales of Wellbeing (PSWB), the Valued Living Questionnaire (VLQ), the Acceptance and Action Questionnaire (AAQ-II), the Mindfulness Attention Awareness Scale (MAAS), the Positive and Negative Affect Scales (PANAS) and the Depression Anxiety Stress Scales (DASS). The pattern of relationships with validation measures was predominantly as expected. The VQ should provide ACT researchers and clinicians a convenient, reliable, and valid alternative to symptom measures consistent with ACT theory and useful for evaluating ACT interventions. ?? 2014 Association for Contextual Behavioral Science.", "author" : [ { "dropping-particle" : "", "family" : "Smout", "given" : "Matthew", "non-dropping-particle" : "", "parse-names" : false, "suffix" : "" }, { "dropping-particle" : "", "family" : "Davies", "given" : "Matthew", "non-dropping-particle" : "", "parse-names" : false, "suffix" : "" }, { "dropping-particle" : "", "family" : "Burns", "given" : "Nicholas", "non-dropping-particle" : "", "parse-names" : false, "suffix" : "" }, { "dropping-particle" : "", "family" : "Christie", "given" : "Alison", "non-dropping-particle" : "", "parse-names" : false, "suffix" : "" } ], "container-title" : "Journal of Contextual Behavioral Science", "id" : "ITEM-1", "issued" : { "date-parts" : [ [ "2014" ] ] }, "page" : "164-172", "publisher" : "Elsevier", "title" : "Development of the Valuing Questionnaire (VQ)", "type" : "article-journal", "volume" : "3" }, "uris" : [ "http://www.mendeley.com/documents/?uuid=e1b5ee18-73fa-4d74-8243-cffbdb1ded52" ] } ], "mendeley" : { "formattedCitation" : "(Smout et al., 2014)", "plainTextFormattedCitation" : "(Smout et al., 2014)", "previouslyFormattedCitation" : "(Smout et al., 2014)" }, "properties" : { "noteIndex" : 0 }, "schema" : "https://github.com/citation-style-language/schema/raw/master/csl-citation.json" }</w:instrText>
      </w:r>
      <w:r w:rsidR="00B53D6E">
        <w:fldChar w:fldCharType="separate"/>
      </w:r>
      <w:r w:rsidR="00B53D6E" w:rsidRPr="00B53D6E">
        <w:rPr>
          <w:noProof/>
        </w:rPr>
        <w:t>(Smout et al., 2014)</w:t>
      </w:r>
      <w:r w:rsidR="00B53D6E">
        <w:fldChar w:fldCharType="end"/>
      </w:r>
      <w:r w:rsidR="00BA3797" w:rsidRPr="00981D9A">
        <w:t xml:space="preserve">. </w:t>
      </w:r>
      <w:r w:rsidR="00981D9A" w:rsidRPr="00981D9A">
        <w:t>Both subscales had adequate internal consistency in th</w:t>
      </w:r>
      <w:r w:rsidR="001817DB">
        <w:t xml:space="preserve">is </w:t>
      </w:r>
      <w:r w:rsidR="00981D9A" w:rsidRPr="00981D9A">
        <w:t>sample (</w:t>
      </w:r>
      <w:r w:rsidR="00981D9A" w:rsidRPr="00981D9A">
        <w:sym w:font="Symbol" w:char="F061"/>
      </w:r>
      <w:r w:rsidR="002B1A53">
        <w:t xml:space="preserve"> </w:t>
      </w:r>
      <w:r w:rsidR="00981D9A" w:rsidRPr="00981D9A">
        <w:t>=</w:t>
      </w:r>
      <w:r w:rsidR="002B1A53">
        <w:t xml:space="preserve"> </w:t>
      </w:r>
      <w:r w:rsidR="00981D9A" w:rsidRPr="00981D9A">
        <w:t>0.80 for both).</w:t>
      </w:r>
    </w:p>
    <w:p w14:paraId="5DC28A2F" w14:textId="77777777" w:rsidR="008F47EE" w:rsidRPr="00981D9A" w:rsidRDefault="001E4746" w:rsidP="00467D55">
      <w:pPr>
        <w:pStyle w:val="NormalWeb"/>
        <w:shd w:val="clear" w:color="auto" w:fill="FFFFFF"/>
        <w:spacing w:before="0" w:beforeAutospacing="0" w:after="0" w:afterAutospacing="0" w:line="480" w:lineRule="auto"/>
        <w:contextualSpacing/>
        <w:jc w:val="center"/>
        <w:textAlignment w:val="baseline"/>
        <w:outlineLvl w:val="0"/>
        <w:rPr>
          <w:b/>
          <w:color w:val="000000"/>
          <w:shd w:val="clear" w:color="auto" w:fill="FFFFFF"/>
        </w:rPr>
      </w:pPr>
      <w:r w:rsidRPr="00981D9A">
        <w:rPr>
          <w:b/>
          <w:color w:val="000000"/>
          <w:shd w:val="clear" w:color="auto" w:fill="FFFFFF"/>
        </w:rPr>
        <w:t>Results</w:t>
      </w:r>
    </w:p>
    <w:p w14:paraId="0B3C1261" w14:textId="77777777" w:rsidR="008F47EE" w:rsidRPr="00C6071D" w:rsidRDefault="00455254" w:rsidP="00467D55">
      <w:pPr>
        <w:pStyle w:val="NormalWeb"/>
        <w:shd w:val="clear" w:color="auto" w:fill="FFFFFF"/>
        <w:spacing w:before="0" w:beforeAutospacing="0" w:after="0" w:afterAutospacing="0" w:line="480" w:lineRule="auto"/>
        <w:contextualSpacing/>
        <w:textAlignment w:val="baseline"/>
        <w:outlineLvl w:val="0"/>
        <w:rPr>
          <w:b/>
          <w:color w:val="000000"/>
          <w:shd w:val="clear" w:color="auto" w:fill="FFFFFF"/>
        </w:rPr>
      </w:pPr>
      <w:r>
        <w:rPr>
          <w:b/>
          <w:color w:val="000000"/>
          <w:shd w:val="clear" w:color="auto" w:fill="FFFFFF"/>
        </w:rPr>
        <w:t>Scale R</w:t>
      </w:r>
      <w:r w:rsidR="008F47EE" w:rsidRPr="00C6071D">
        <w:rPr>
          <w:b/>
          <w:color w:val="000000"/>
          <w:shd w:val="clear" w:color="auto" w:fill="FFFFFF"/>
        </w:rPr>
        <w:t>efinement</w:t>
      </w:r>
    </w:p>
    <w:p w14:paraId="1A99DCE5" w14:textId="0CC752DC" w:rsidR="006A1B4E" w:rsidRPr="00981D9A" w:rsidRDefault="001E4746" w:rsidP="00467D55">
      <w:pPr>
        <w:pStyle w:val="NormalWeb"/>
        <w:shd w:val="clear" w:color="auto" w:fill="FFFFFF"/>
        <w:spacing w:before="0" w:beforeAutospacing="0" w:after="0" w:afterAutospacing="0" w:line="480" w:lineRule="auto"/>
        <w:contextualSpacing/>
        <w:textAlignment w:val="baseline"/>
        <w:outlineLvl w:val="0"/>
        <w:rPr>
          <w:color w:val="000000"/>
          <w:shd w:val="clear" w:color="auto" w:fill="FFFFFF"/>
        </w:rPr>
      </w:pPr>
      <w:r w:rsidRPr="00981D9A">
        <w:rPr>
          <w:b/>
          <w:color w:val="000000"/>
          <w:shd w:val="clear" w:color="auto" w:fill="FFFFFF"/>
        </w:rPr>
        <w:tab/>
      </w:r>
      <w:r w:rsidRPr="00981D9A">
        <w:rPr>
          <w:color w:val="000000"/>
          <w:shd w:val="clear" w:color="auto" w:fill="FFFFFF"/>
        </w:rPr>
        <w:t xml:space="preserve">Analyses were conducted on the pool of 37 </w:t>
      </w:r>
      <w:r w:rsidR="007B4397" w:rsidRPr="00981D9A">
        <w:rPr>
          <w:color w:val="000000"/>
          <w:shd w:val="clear" w:color="auto" w:fill="FFFFFF"/>
        </w:rPr>
        <w:t xml:space="preserve">AAQH </w:t>
      </w:r>
      <w:r w:rsidRPr="00981D9A">
        <w:rPr>
          <w:color w:val="000000"/>
          <w:shd w:val="clear" w:color="auto" w:fill="FFFFFF"/>
        </w:rPr>
        <w:t xml:space="preserve">items </w:t>
      </w:r>
      <w:r w:rsidR="00BB1701" w:rsidRPr="00981D9A">
        <w:rPr>
          <w:color w:val="000000"/>
          <w:shd w:val="clear" w:color="auto" w:fill="FFFFFF"/>
        </w:rPr>
        <w:t>selected in the initial phase of scale development.</w:t>
      </w:r>
      <w:r w:rsidRPr="00981D9A">
        <w:rPr>
          <w:color w:val="000000"/>
          <w:shd w:val="clear" w:color="auto" w:fill="FFFFFF"/>
        </w:rPr>
        <w:t xml:space="preserve"> </w:t>
      </w:r>
      <w:r w:rsidR="00F45A07">
        <w:rPr>
          <w:color w:val="000000"/>
          <w:shd w:val="clear" w:color="auto" w:fill="FFFFFF"/>
        </w:rPr>
        <w:t>First</w:t>
      </w:r>
      <w:r w:rsidR="007B4397" w:rsidRPr="00981D9A">
        <w:rPr>
          <w:color w:val="000000"/>
          <w:shd w:val="clear" w:color="auto" w:fill="FFFFFF"/>
        </w:rPr>
        <w:t xml:space="preserve">, the distribution of individual items was examined in accordance with the recommendations of </w:t>
      </w:r>
      <w:r w:rsidR="001A0A1C">
        <w:rPr>
          <w:color w:val="000000"/>
          <w:shd w:val="clear" w:color="auto" w:fill="FFFFFF"/>
        </w:rPr>
        <w:fldChar w:fldCharType="begin" w:fldLock="1"/>
      </w:r>
      <w:r w:rsidR="0087592E">
        <w:rPr>
          <w:color w:val="000000"/>
          <w:shd w:val="clear" w:color="auto" w:fill="FFFFFF"/>
        </w:rPr>
        <w:instrText>ADDIN CSL_CITATION { "citationItems" : [ { "id" : "ITEM-1", "itemData" : { "author" : [ { "dropping-particle" : "", "family" : "Clark", "given" : "Lee Anna", "non-dropping-particle" : "", "parse-names" : false, "suffix" : "" }, { "dropping-particle" : "", "family" : "Watson", "given" : "David", "non-dropping-particle" : "", "parse-names" : false, "suffix" : "" } ], "container-title" : "Psychological Assessment", "id" : "ITEM-1", "issued" : { "date-parts" : [ [ "1995" ] ] }, "page" : "309-319", "title" : "Constructing validity : Basic issues in objective scale development", "type" : "article-journal", "volume" : "7" }, "uris" : [ "http://www.mendeley.com/documents/?uuid=c7d0c1f0-c7ad-4b25-95a6-411c1e3aa4b9" ] } ], "mendeley" : { "formattedCitation" : "(Clark &amp; Watson, 1995)", "manualFormatting" : "Clark &amp; Watson (1995)", "plainTextFormattedCitation" : "(Clark &amp; Watson, 1995)", "previouslyFormattedCitation" : "(Clark &amp; Watson, 1995)" }, "properties" : { "noteIndex" : 0 }, "schema" : "https://github.com/citation-style-language/schema/raw/master/csl-citation.json" }</w:instrText>
      </w:r>
      <w:r w:rsidR="001A0A1C">
        <w:rPr>
          <w:color w:val="000000"/>
          <w:shd w:val="clear" w:color="auto" w:fill="FFFFFF"/>
        </w:rPr>
        <w:fldChar w:fldCharType="separate"/>
      </w:r>
      <w:r w:rsidR="001A0A1C">
        <w:rPr>
          <w:noProof/>
          <w:color w:val="000000"/>
          <w:shd w:val="clear" w:color="auto" w:fill="FFFFFF"/>
        </w:rPr>
        <w:t>Clark &amp; Watson (</w:t>
      </w:r>
      <w:r w:rsidR="001A0A1C" w:rsidRPr="001A0A1C">
        <w:rPr>
          <w:noProof/>
          <w:color w:val="000000"/>
          <w:shd w:val="clear" w:color="auto" w:fill="FFFFFF"/>
        </w:rPr>
        <w:t>1995)</w:t>
      </w:r>
      <w:r w:rsidR="001A0A1C">
        <w:rPr>
          <w:color w:val="000000"/>
          <w:shd w:val="clear" w:color="auto" w:fill="FFFFFF"/>
        </w:rPr>
        <w:fldChar w:fldCharType="end"/>
      </w:r>
      <w:r w:rsidR="001A0A1C">
        <w:rPr>
          <w:color w:val="000000"/>
          <w:shd w:val="clear" w:color="auto" w:fill="FFFFFF"/>
        </w:rPr>
        <w:t xml:space="preserve">. </w:t>
      </w:r>
      <w:r w:rsidR="00520DEB" w:rsidRPr="00981D9A">
        <w:rPr>
          <w:color w:val="000000"/>
          <w:shd w:val="clear" w:color="auto" w:fill="FFFFFF"/>
        </w:rPr>
        <w:t xml:space="preserve">A total of </w:t>
      </w:r>
      <w:r w:rsidR="007B4397" w:rsidRPr="00981D9A">
        <w:rPr>
          <w:color w:val="000000"/>
          <w:shd w:val="clear" w:color="auto" w:fill="FFFFFF"/>
        </w:rPr>
        <w:t>8 items were removed at this stage for skewness and/or kurtosis</w:t>
      </w:r>
      <w:r w:rsidR="002E6298" w:rsidRPr="00981D9A">
        <w:rPr>
          <w:color w:val="000000"/>
          <w:shd w:val="clear" w:color="auto" w:fill="FFFFFF"/>
        </w:rPr>
        <w:t xml:space="preserve"> more extreme than </w:t>
      </w:r>
      <w:r w:rsidR="00960233" w:rsidRPr="00981D9A">
        <w:rPr>
          <w:color w:val="000000"/>
          <w:shd w:val="clear" w:color="auto" w:fill="FFFFFF"/>
        </w:rPr>
        <w:t>±</w:t>
      </w:r>
      <w:r w:rsidR="00F23E6F" w:rsidRPr="00981D9A">
        <w:rPr>
          <w:color w:val="000000"/>
          <w:shd w:val="clear" w:color="auto" w:fill="FFFFFF"/>
        </w:rPr>
        <w:t>2.00</w:t>
      </w:r>
      <w:r w:rsidR="007B4397" w:rsidRPr="00981D9A">
        <w:rPr>
          <w:color w:val="000000"/>
          <w:shd w:val="clear" w:color="auto" w:fill="FFFFFF"/>
        </w:rPr>
        <w:t>, leaving 29 items</w:t>
      </w:r>
      <w:r w:rsidR="00C07773">
        <w:rPr>
          <w:color w:val="000000"/>
          <w:shd w:val="clear" w:color="auto" w:fill="FFFFFF"/>
        </w:rPr>
        <w:t xml:space="preserve"> (see Table 2 for a list of excluded items)</w:t>
      </w:r>
      <w:r w:rsidR="007B4397" w:rsidRPr="00981D9A">
        <w:rPr>
          <w:color w:val="000000"/>
          <w:shd w:val="clear" w:color="auto" w:fill="FFFFFF"/>
        </w:rPr>
        <w:t>.</w:t>
      </w:r>
    </w:p>
    <w:p w14:paraId="1BBC05E0" w14:textId="7F5BA57C" w:rsidR="006A1B4E" w:rsidRPr="00981D9A" w:rsidRDefault="007B4397" w:rsidP="00467D55">
      <w:pPr>
        <w:pStyle w:val="NormalWeb"/>
        <w:shd w:val="clear" w:color="auto" w:fill="FFFFFF"/>
        <w:spacing w:before="0" w:beforeAutospacing="0" w:after="0" w:afterAutospacing="0" w:line="480" w:lineRule="auto"/>
        <w:contextualSpacing/>
        <w:textAlignment w:val="baseline"/>
        <w:outlineLvl w:val="0"/>
        <w:rPr>
          <w:color w:val="000000"/>
          <w:shd w:val="clear" w:color="auto" w:fill="FFFFFF"/>
        </w:rPr>
      </w:pPr>
      <w:r w:rsidRPr="00981D9A">
        <w:rPr>
          <w:b/>
          <w:color w:val="000000"/>
          <w:shd w:val="clear" w:color="auto" w:fill="FFFFFF"/>
        </w:rPr>
        <w:tab/>
      </w:r>
      <w:r w:rsidRPr="00981D9A">
        <w:rPr>
          <w:color w:val="000000"/>
          <w:shd w:val="clear" w:color="auto" w:fill="FFFFFF"/>
        </w:rPr>
        <w:t>The</w:t>
      </w:r>
      <w:r w:rsidR="00520DEB" w:rsidRPr="00981D9A">
        <w:rPr>
          <w:color w:val="000000"/>
          <w:shd w:val="clear" w:color="auto" w:fill="FFFFFF"/>
        </w:rPr>
        <w:t xml:space="preserve"> remaining 29</w:t>
      </w:r>
      <w:r w:rsidRPr="00981D9A">
        <w:rPr>
          <w:color w:val="000000"/>
          <w:shd w:val="clear" w:color="auto" w:fill="FFFFFF"/>
        </w:rPr>
        <w:t xml:space="preserve"> items were examined for correlations to the total AAQH score </w:t>
      </w:r>
      <w:r w:rsidR="00520DEB" w:rsidRPr="00981D9A">
        <w:rPr>
          <w:color w:val="000000"/>
          <w:shd w:val="clear" w:color="auto" w:fill="FFFFFF"/>
        </w:rPr>
        <w:t>(</w:t>
      </w:r>
      <w:r w:rsidRPr="00981D9A">
        <w:rPr>
          <w:color w:val="000000"/>
          <w:shd w:val="clear" w:color="auto" w:fill="FFFFFF"/>
        </w:rPr>
        <w:t>calculated by summing respons</w:t>
      </w:r>
      <w:r w:rsidR="0019522E" w:rsidRPr="00981D9A">
        <w:rPr>
          <w:color w:val="000000"/>
          <w:shd w:val="clear" w:color="auto" w:fill="FFFFFF"/>
        </w:rPr>
        <w:t xml:space="preserve">es to all </w:t>
      </w:r>
      <w:r w:rsidR="003A501C" w:rsidRPr="00981D9A">
        <w:rPr>
          <w:color w:val="000000"/>
          <w:shd w:val="clear" w:color="auto" w:fill="FFFFFF"/>
        </w:rPr>
        <w:t xml:space="preserve">29 </w:t>
      </w:r>
      <w:r w:rsidR="0019522E" w:rsidRPr="00981D9A">
        <w:rPr>
          <w:color w:val="000000"/>
          <w:shd w:val="clear" w:color="auto" w:fill="FFFFFF"/>
        </w:rPr>
        <w:t>items</w:t>
      </w:r>
      <w:r w:rsidR="00520DEB" w:rsidRPr="00981D9A">
        <w:rPr>
          <w:color w:val="000000"/>
          <w:shd w:val="clear" w:color="auto" w:fill="FFFFFF"/>
        </w:rPr>
        <w:t>)</w:t>
      </w:r>
      <w:r w:rsidR="0019522E" w:rsidRPr="00981D9A">
        <w:rPr>
          <w:color w:val="000000"/>
          <w:shd w:val="clear" w:color="auto" w:fill="FFFFFF"/>
        </w:rPr>
        <w:t xml:space="preserve">, and to all other individual </w:t>
      </w:r>
      <w:r w:rsidRPr="00981D9A">
        <w:rPr>
          <w:color w:val="000000"/>
          <w:shd w:val="clear" w:color="auto" w:fill="FFFFFF"/>
        </w:rPr>
        <w:t>item</w:t>
      </w:r>
      <w:r w:rsidR="0019522E" w:rsidRPr="00981D9A">
        <w:rPr>
          <w:color w:val="000000"/>
          <w:shd w:val="clear" w:color="auto" w:fill="FFFFFF"/>
        </w:rPr>
        <w:t>s. It is recommended that inter-item and item-total correlations should be at least moderate (</w:t>
      </w:r>
      <w:r w:rsidR="0019522E" w:rsidRPr="00981D9A">
        <w:rPr>
          <w:i/>
          <w:color w:val="000000"/>
          <w:shd w:val="clear" w:color="auto" w:fill="FFFFFF"/>
        </w:rPr>
        <w:t>r</w:t>
      </w:r>
      <w:r w:rsidR="002B1A53">
        <w:rPr>
          <w:i/>
          <w:color w:val="000000"/>
          <w:shd w:val="clear" w:color="auto" w:fill="FFFFFF"/>
        </w:rPr>
        <w:t xml:space="preserve"> </w:t>
      </w:r>
      <w:r w:rsidR="0019522E" w:rsidRPr="00981D9A">
        <w:rPr>
          <w:color w:val="000000"/>
          <w:shd w:val="clear" w:color="auto" w:fill="FFFFFF"/>
        </w:rPr>
        <w:t>=</w:t>
      </w:r>
      <w:r w:rsidR="002B1A53">
        <w:rPr>
          <w:color w:val="000000"/>
          <w:shd w:val="clear" w:color="auto" w:fill="FFFFFF"/>
        </w:rPr>
        <w:t xml:space="preserve"> </w:t>
      </w:r>
      <w:r w:rsidR="0019522E" w:rsidRPr="00981D9A">
        <w:rPr>
          <w:color w:val="000000"/>
          <w:shd w:val="clear" w:color="auto" w:fill="FFFFFF"/>
        </w:rPr>
        <w:t>0.2) before p</w:t>
      </w:r>
      <w:r w:rsidR="00E3143C">
        <w:rPr>
          <w:color w:val="000000"/>
          <w:shd w:val="clear" w:color="auto" w:fill="FFFFFF"/>
        </w:rPr>
        <w:t xml:space="preserve">roceeding with factor analysis </w:t>
      </w:r>
      <w:r w:rsidR="0087592E">
        <w:rPr>
          <w:color w:val="000000"/>
          <w:shd w:val="clear" w:color="auto" w:fill="FFFFFF"/>
        </w:rPr>
        <w:fldChar w:fldCharType="begin" w:fldLock="1"/>
      </w:r>
      <w:r w:rsidR="0087592E">
        <w:rPr>
          <w:color w:val="000000"/>
          <w:shd w:val="clear" w:color="auto" w:fill="FFFFFF"/>
        </w:rPr>
        <w:instrText>ADDIN CSL_CITATION { "citationItems" : [ { "id" : "ITEM-1", "itemData" : { "DOI" : "10.1037/1040-3590.7.3.286", "author" : [ { "dropping-particle" : "", "family" : "Floyd", "given" : "Frank J", "non-dropping-particle" : "", "parse-names" : false, "suffix" : "" }, { "dropping-particle" : "", "family" : "Widaman", "given" : "Keith F", "non-dropping-particle" : "", "parse-names" : false, "suffix" : "" } ], "container-title" : "Psychological Assessment", "id" : "ITEM-1", "issued" : { "date-parts" : [ [ "1995" ] ] }, "page" : "286-299", "title" : "Factor analysis in the development and refinement of clinical assessment instruments", "type" : "article-journal", "volume" : "7" }, "uris" : [ "http://www.mendeley.com/documents/?uuid=89d5ebb8-d064-469c-831a-7093fd4d6d0a" ] } ], "mendeley" : { "formattedCitation" : "(Floyd &amp; Widaman, 1995)", "plainTextFormattedCitation" : "(Floyd &amp; Widaman, 1995)", "previouslyFormattedCitation" : "(Floyd &amp; Widaman, 1995)" }, "properties" : { "noteIndex" : 0 }, "schema" : "https://github.com/citation-style-language/schema/raw/master/csl-citation.json" }</w:instrText>
      </w:r>
      <w:r w:rsidR="0087592E">
        <w:rPr>
          <w:color w:val="000000"/>
          <w:shd w:val="clear" w:color="auto" w:fill="FFFFFF"/>
        </w:rPr>
        <w:fldChar w:fldCharType="separate"/>
      </w:r>
      <w:r w:rsidR="0087592E" w:rsidRPr="0087592E">
        <w:rPr>
          <w:noProof/>
          <w:color w:val="000000"/>
          <w:shd w:val="clear" w:color="auto" w:fill="FFFFFF"/>
        </w:rPr>
        <w:t>(Floyd &amp; Widaman, 1995)</w:t>
      </w:r>
      <w:r w:rsidR="0087592E">
        <w:rPr>
          <w:color w:val="000000"/>
          <w:shd w:val="clear" w:color="auto" w:fill="FFFFFF"/>
        </w:rPr>
        <w:fldChar w:fldCharType="end"/>
      </w:r>
      <w:r w:rsidR="0019522E" w:rsidRPr="00981D9A">
        <w:rPr>
          <w:color w:val="000000"/>
          <w:shd w:val="clear" w:color="auto" w:fill="FFFFFF"/>
        </w:rPr>
        <w:t xml:space="preserve">. </w:t>
      </w:r>
      <w:r w:rsidR="003723FB" w:rsidRPr="00981D9A">
        <w:rPr>
          <w:color w:val="000000"/>
          <w:shd w:val="clear" w:color="auto" w:fill="FFFFFF"/>
        </w:rPr>
        <w:t xml:space="preserve">Every item was significantly correlated with the AAQH total with a value above </w:t>
      </w:r>
      <w:r w:rsidR="003723FB" w:rsidRPr="00981D9A">
        <w:rPr>
          <w:i/>
          <w:color w:val="000000"/>
          <w:shd w:val="clear" w:color="auto" w:fill="FFFFFF"/>
        </w:rPr>
        <w:t>r</w:t>
      </w:r>
      <w:r w:rsidR="003723FB" w:rsidRPr="00981D9A">
        <w:rPr>
          <w:color w:val="000000"/>
          <w:shd w:val="clear" w:color="auto" w:fill="FFFFFF"/>
        </w:rPr>
        <w:t xml:space="preserve"> = 0.2. </w:t>
      </w:r>
      <w:r w:rsidR="00520DEB" w:rsidRPr="00981D9A">
        <w:rPr>
          <w:color w:val="000000"/>
          <w:shd w:val="clear" w:color="auto" w:fill="FFFFFF"/>
        </w:rPr>
        <w:t xml:space="preserve">A total of </w:t>
      </w:r>
      <w:r w:rsidR="0019522E" w:rsidRPr="00981D9A">
        <w:rPr>
          <w:color w:val="000000"/>
          <w:shd w:val="clear" w:color="auto" w:fill="FFFFFF"/>
        </w:rPr>
        <w:t xml:space="preserve">8 items were removed </w:t>
      </w:r>
      <w:r w:rsidR="003723FB" w:rsidRPr="00981D9A">
        <w:rPr>
          <w:color w:val="000000"/>
          <w:shd w:val="clear" w:color="auto" w:fill="FFFFFF"/>
        </w:rPr>
        <w:t xml:space="preserve">for having inter-item correlations less than </w:t>
      </w:r>
      <w:r w:rsidR="003723FB" w:rsidRPr="00981D9A">
        <w:rPr>
          <w:i/>
          <w:color w:val="000000"/>
          <w:shd w:val="clear" w:color="auto" w:fill="FFFFFF"/>
        </w:rPr>
        <w:t>r</w:t>
      </w:r>
      <w:r w:rsidR="002B1A53">
        <w:rPr>
          <w:i/>
          <w:color w:val="000000"/>
          <w:shd w:val="clear" w:color="auto" w:fill="FFFFFF"/>
        </w:rPr>
        <w:t xml:space="preserve"> </w:t>
      </w:r>
      <w:r w:rsidR="003723FB" w:rsidRPr="00981D9A">
        <w:rPr>
          <w:color w:val="000000"/>
          <w:shd w:val="clear" w:color="auto" w:fill="FFFFFF"/>
        </w:rPr>
        <w:t>=</w:t>
      </w:r>
      <w:r w:rsidR="002B1A53">
        <w:rPr>
          <w:color w:val="000000"/>
          <w:shd w:val="clear" w:color="auto" w:fill="FFFFFF"/>
        </w:rPr>
        <w:t xml:space="preserve"> </w:t>
      </w:r>
      <w:r w:rsidR="003723FB" w:rsidRPr="00981D9A">
        <w:rPr>
          <w:color w:val="000000"/>
          <w:shd w:val="clear" w:color="auto" w:fill="FFFFFF"/>
        </w:rPr>
        <w:t>0.2</w:t>
      </w:r>
      <w:r w:rsidR="00C07C01">
        <w:rPr>
          <w:color w:val="000000"/>
          <w:shd w:val="clear" w:color="auto" w:fill="FFFFFF"/>
        </w:rPr>
        <w:t xml:space="preserve"> (see Table 2)</w:t>
      </w:r>
      <w:r w:rsidR="003723FB" w:rsidRPr="00981D9A">
        <w:rPr>
          <w:color w:val="000000"/>
          <w:shd w:val="clear" w:color="auto" w:fill="FFFFFF"/>
        </w:rPr>
        <w:t>, leaving 21 items.</w:t>
      </w:r>
    </w:p>
    <w:p w14:paraId="173A1D32" w14:textId="756DC6B7" w:rsidR="006A1B4E" w:rsidRPr="00981D9A" w:rsidRDefault="007564D1" w:rsidP="00C56C3C">
      <w:pPr>
        <w:spacing w:line="480" w:lineRule="auto"/>
        <w:contextualSpacing/>
        <w:rPr>
          <w:rFonts w:eastAsia="Times New Roman"/>
          <w:color w:val="000000"/>
          <w:shd w:val="clear" w:color="auto" w:fill="FFFFFF"/>
        </w:rPr>
      </w:pPr>
      <w:r w:rsidRPr="00981D9A">
        <w:rPr>
          <w:rFonts w:eastAsia="Times New Roman"/>
          <w:color w:val="000000"/>
          <w:shd w:val="clear" w:color="auto" w:fill="FFFFFF"/>
        </w:rPr>
        <w:tab/>
      </w:r>
      <w:r w:rsidR="003F0286" w:rsidRPr="00981D9A">
        <w:rPr>
          <w:rFonts w:eastAsia="Times New Roman"/>
          <w:color w:val="000000"/>
          <w:shd w:val="clear" w:color="auto" w:fill="FFFFFF"/>
        </w:rPr>
        <w:t>A</w:t>
      </w:r>
      <w:r w:rsidR="00301B46">
        <w:rPr>
          <w:rFonts w:eastAsia="Times New Roman"/>
          <w:color w:val="000000"/>
          <w:shd w:val="clear" w:color="auto" w:fill="FFFFFF"/>
        </w:rPr>
        <w:t xml:space="preserve"> maximum likelihood</w:t>
      </w:r>
      <w:r w:rsidR="003F0286" w:rsidRPr="00981D9A">
        <w:rPr>
          <w:rFonts w:eastAsia="Times New Roman"/>
          <w:color w:val="000000"/>
          <w:shd w:val="clear" w:color="auto" w:fill="FFFFFF"/>
        </w:rPr>
        <w:t xml:space="preserve"> exploratory </w:t>
      </w:r>
      <w:r w:rsidR="00632091">
        <w:rPr>
          <w:rFonts w:eastAsia="Times New Roman"/>
          <w:color w:val="000000"/>
          <w:shd w:val="clear" w:color="auto" w:fill="FFFFFF"/>
        </w:rPr>
        <w:t>factor</w:t>
      </w:r>
      <w:r w:rsidR="003F0286" w:rsidRPr="00981D9A">
        <w:rPr>
          <w:rFonts w:eastAsia="Times New Roman"/>
          <w:color w:val="000000"/>
          <w:shd w:val="clear" w:color="auto" w:fill="FFFFFF"/>
        </w:rPr>
        <w:t xml:space="preserve"> analysis </w:t>
      </w:r>
      <w:r w:rsidR="00632091">
        <w:rPr>
          <w:rFonts w:eastAsia="Times New Roman"/>
          <w:color w:val="000000"/>
          <w:shd w:val="clear" w:color="auto" w:fill="FFFFFF"/>
        </w:rPr>
        <w:t>with</w:t>
      </w:r>
      <w:r w:rsidR="00301B46">
        <w:rPr>
          <w:rFonts w:eastAsia="Times New Roman"/>
          <w:color w:val="000000"/>
          <w:shd w:val="clear" w:color="auto" w:fill="FFFFFF"/>
        </w:rPr>
        <w:t xml:space="preserve"> </w:t>
      </w:r>
      <w:r w:rsidR="006A4E81">
        <w:rPr>
          <w:rFonts w:eastAsia="Times New Roman"/>
          <w:color w:val="000000"/>
          <w:shd w:val="clear" w:color="auto" w:fill="FFFFFF"/>
        </w:rPr>
        <w:t>g</w:t>
      </w:r>
      <w:r w:rsidR="00852070">
        <w:rPr>
          <w:rFonts w:eastAsia="Times New Roman"/>
          <w:color w:val="000000"/>
          <w:shd w:val="clear" w:color="auto" w:fill="FFFFFF"/>
        </w:rPr>
        <w:t>e</w:t>
      </w:r>
      <w:r w:rsidR="006A4E81">
        <w:rPr>
          <w:rFonts w:eastAsia="Times New Roman"/>
          <w:color w:val="000000"/>
          <w:shd w:val="clear" w:color="auto" w:fill="FFFFFF"/>
        </w:rPr>
        <w:t>o</w:t>
      </w:r>
      <w:r w:rsidR="00852070">
        <w:rPr>
          <w:rFonts w:eastAsia="Times New Roman"/>
          <w:color w:val="000000"/>
          <w:shd w:val="clear" w:color="auto" w:fill="FFFFFF"/>
        </w:rPr>
        <w:t>min oblique</w:t>
      </w:r>
      <w:r w:rsidR="00301B46">
        <w:rPr>
          <w:rFonts w:eastAsia="Times New Roman"/>
          <w:color w:val="000000"/>
          <w:shd w:val="clear" w:color="auto" w:fill="FFFFFF"/>
        </w:rPr>
        <w:t xml:space="preserve"> </w:t>
      </w:r>
      <w:r w:rsidR="003F0286" w:rsidRPr="00981D9A">
        <w:rPr>
          <w:rFonts w:eastAsia="Times New Roman"/>
          <w:color w:val="000000"/>
          <w:shd w:val="clear" w:color="auto" w:fill="FFFFFF"/>
        </w:rPr>
        <w:t>rotation was conducted to identify the factor structure of the instrument</w:t>
      </w:r>
      <w:r w:rsidR="004D195A">
        <w:rPr>
          <w:rFonts w:eastAsia="Times New Roman"/>
          <w:color w:val="000000"/>
          <w:shd w:val="clear" w:color="auto" w:fill="FFFFFF"/>
        </w:rPr>
        <w:t xml:space="preserve"> </w:t>
      </w:r>
      <w:r w:rsidR="00852070">
        <w:rPr>
          <w:rFonts w:eastAsia="Times New Roman"/>
          <w:color w:val="000000"/>
          <w:shd w:val="clear" w:color="auto" w:fill="FFFFFF"/>
        </w:rPr>
        <w:t xml:space="preserve">while </w:t>
      </w:r>
      <w:r w:rsidR="004D195A">
        <w:rPr>
          <w:rFonts w:eastAsia="Times New Roman"/>
          <w:color w:val="000000"/>
          <w:shd w:val="clear" w:color="auto" w:fill="FFFFFF"/>
        </w:rPr>
        <w:t>allow</w:t>
      </w:r>
      <w:r w:rsidR="00D94E16">
        <w:rPr>
          <w:rFonts w:eastAsia="Times New Roman"/>
          <w:color w:val="000000"/>
          <w:shd w:val="clear" w:color="auto" w:fill="FFFFFF"/>
        </w:rPr>
        <w:t>ing</w:t>
      </w:r>
      <w:r w:rsidR="004D195A">
        <w:rPr>
          <w:rFonts w:eastAsia="Times New Roman"/>
          <w:color w:val="000000"/>
          <w:shd w:val="clear" w:color="auto" w:fill="FFFFFF"/>
        </w:rPr>
        <w:t xml:space="preserve"> for correlation among factors</w:t>
      </w:r>
      <w:r w:rsidR="003F0286" w:rsidRPr="00981D9A">
        <w:rPr>
          <w:rFonts w:eastAsia="Times New Roman"/>
          <w:color w:val="000000"/>
          <w:shd w:val="clear" w:color="auto" w:fill="FFFFFF"/>
        </w:rPr>
        <w:t xml:space="preserve">. </w:t>
      </w:r>
      <w:r w:rsidR="00B209E7">
        <w:rPr>
          <w:rFonts w:eastAsia="Times New Roman"/>
          <w:color w:val="000000"/>
          <w:shd w:val="clear" w:color="auto" w:fill="FFFFFF"/>
        </w:rPr>
        <w:t>Three</w:t>
      </w:r>
      <w:r w:rsidR="004D195A" w:rsidRPr="00981D9A">
        <w:rPr>
          <w:rFonts w:eastAsia="Times New Roman"/>
          <w:color w:val="000000"/>
          <w:shd w:val="clear" w:color="auto" w:fill="FFFFFF"/>
        </w:rPr>
        <w:t xml:space="preserve"> </w:t>
      </w:r>
      <w:r w:rsidR="003F0286" w:rsidRPr="00981D9A">
        <w:rPr>
          <w:rFonts w:eastAsia="Times New Roman"/>
          <w:color w:val="000000"/>
          <w:shd w:val="clear" w:color="auto" w:fill="FFFFFF"/>
        </w:rPr>
        <w:t>factors were obtained with eigenvalues greater than 1</w:t>
      </w:r>
      <w:r w:rsidR="00B46FC0">
        <w:rPr>
          <w:rFonts w:eastAsia="Times New Roman"/>
          <w:color w:val="000000"/>
          <w:shd w:val="clear" w:color="auto" w:fill="FFFFFF"/>
        </w:rPr>
        <w:t>. H</w:t>
      </w:r>
      <w:r w:rsidR="00852070">
        <w:rPr>
          <w:rFonts w:eastAsia="Times New Roman"/>
          <w:color w:val="000000"/>
          <w:shd w:val="clear" w:color="auto" w:fill="FFFFFF"/>
        </w:rPr>
        <w:t xml:space="preserve">owever, given that using this criterion tends to overestimate number of factors </w:t>
      </w:r>
      <w:r w:rsidR="00C12017">
        <w:rPr>
          <w:rFonts w:eastAsia="Times New Roman"/>
          <w:color w:val="000000"/>
          <w:shd w:val="clear" w:color="auto" w:fill="FFFFFF"/>
        </w:rPr>
        <w:fldChar w:fldCharType="begin"/>
      </w:r>
      <w:r w:rsidR="00C12017">
        <w:rPr>
          <w:rFonts w:eastAsia="Times New Roman"/>
          <w:color w:val="000000"/>
          <w:shd w:val="clear" w:color="auto" w:fill="FFFFFF"/>
        </w:rPr>
        <w:instrText xml:space="preserve"> ADDIN EN.CITE &lt;EndNote&gt;&lt;Cite&gt;&lt;Author&gt;Zwick&lt;/Author&gt;&lt;Year&gt;1986&lt;/Year&gt;&lt;RecNum&gt;732&lt;/RecNum&gt;&lt;DisplayText&gt;(Zwick &amp;amp; Velicer, 1986)&lt;/DisplayText&gt;&lt;record&gt;&lt;rec-number&gt;732&lt;/rec-number&gt;&lt;foreign-keys&gt;&lt;key app="EN" db-id="sftfe0ewbpe5txea5e0x00d3v0pwz2rfw90s" timestamp="1525801747"&gt;732&lt;/key&gt;&lt;/foreign-keys&gt;&lt;ref-type name="Journal Article"&gt;17&lt;/ref-type&gt;&lt;contributors&gt;&lt;authors&gt;&lt;author&gt;Zwick, W. R.&lt;/author&gt;&lt;author&gt;Velicer, W. F.&lt;/author&gt;&lt;/authors&gt;&lt;/contributors&gt;&lt;titles&gt;&lt;title&gt;Comparison of five rules for determining the number of components to retain&lt;/title&gt;&lt;secondary-title&gt;Psychological Bulletin&lt;/secondary-title&gt;&lt;/titles&gt;&lt;periodical&gt;&lt;full-title&gt;Psychological Bulletin&lt;/full-title&gt;&lt;/periodical&gt;&lt;pages&gt;432-442&lt;/pages&gt;&lt;volume&gt;99&lt;/volume&gt;&lt;number&gt;3&lt;/number&gt;&lt;dates&gt;&lt;year&gt;1986&lt;/year&gt;&lt;/dates&gt;&lt;urls&gt;&lt;/urls&gt;&lt;electronic-resource-num&gt;10.1037/0033-2909.99.3.432&lt;/electronic-resource-num&gt;&lt;/record&gt;&lt;/Cite&gt;&lt;/EndNote&gt;</w:instrText>
      </w:r>
      <w:r w:rsidR="00C12017">
        <w:rPr>
          <w:rFonts w:eastAsia="Times New Roman"/>
          <w:color w:val="000000"/>
          <w:shd w:val="clear" w:color="auto" w:fill="FFFFFF"/>
        </w:rPr>
        <w:fldChar w:fldCharType="separate"/>
      </w:r>
      <w:r w:rsidR="00C12017">
        <w:rPr>
          <w:rFonts w:eastAsia="Times New Roman"/>
          <w:noProof/>
          <w:color w:val="000000"/>
          <w:shd w:val="clear" w:color="auto" w:fill="FFFFFF"/>
        </w:rPr>
        <w:t>(Zwick &amp; Velicer, 1986)</w:t>
      </w:r>
      <w:r w:rsidR="00C12017">
        <w:rPr>
          <w:rFonts w:eastAsia="Times New Roman"/>
          <w:color w:val="000000"/>
          <w:shd w:val="clear" w:color="auto" w:fill="FFFFFF"/>
        </w:rPr>
        <w:fldChar w:fldCharType="end"/>
      </w:r>
      <w:r w:rsidR="00852070">
        <w:rPr>
          <w:rFonts w:eastAsia="Times New Roman"/>
          <w:color w:val="000000"/>
          <w:shd w:val="clear" w:color="auto" w:fill="FFFFFF"/>
        </w:rPr>
        <w:t>, we extracted two factors based on visual inspection of the scree plot (see Figure 1)</w:t>
      </w:r>
      <w:r w:rsidR="003F0286" w:rsidRPr="00981D9A">
        <w:rPr>
          <w:rFonts w:eastAsia="Times New Roman"/>
          <w:color w:val="000000"/>
          <w:shd w:val="clear" w:color="auto" w:fill="FFFFFF"/>
        </w:rPr>
        <w:t xml:space="preserve">. </w:t>
      </w:r>
      <w:r w:rsidR="00C66A67">
        <w:rPr>
          <w:rFonts w:eastAsia="Times New Roman"/>
          <w:color w:val="000000"/>
          <w:shd w:val="clear" w:color="auto" w:fill="FFFFFF"/>
        </w:rPr>
        <w:t xml:space="preserve">The two-factor solution showed adequate model fit </w:t>
      </w:r>
      <w:r w:rsidR="00DF713C">
        <w:rPr>
          <w:rFonts w:eastAsia="Times New Roman"/>
          <w:color w:val="000000"/>
          <w:shd w:val="clear" w:color="auto" w:fill="FFFFFF"/>
        </w:rPr>
        <w:t>(</w:t>
      </w:r>
      <w:r w:rsidR="00C56C3C">
        <w:rPr>
          <w:rFonts w:eastAsia="Times New Roman"/>
          <w:color w:val="000000"/>
          <w:shd w:val="clear" w:color="auto" w:fill="FFFFFF"/>
        </w:rPr>
        <w:t>normed chi square</w:t>
      </w:r>
      <w:r w:rsidR="00C56C3C" w:rsidRPr="00C56C3C">
        <w:rPr>
          <w:rFonts w:eastAsia="Times New Roman"/>
          <w:color w:val="000000"/>
          <w:shd w:val="clear" w:color="auto" w:fill="FFFFFF"/>
        </w:rPr>
        <w:t xml:space="preserve"> (χ2/df)</w:t>
      </w:r>
      <w:r w:rsidR="00C56C3C">
        <w:rPr>
          <w:rFonts w:eastAsia="Times New Roman"/>
          <w:color w:val="000000"/>
          <w:shd w:val="clear" w:color="auto" w:fill="FFFFFF"/>
        </w:rPr>
        <w:t xml:space="preserve"> = </w:t>
      </w:r>
      <w:r w:rsidR="00511095">
        <w:rPr>
          <w:rFonts w:eastAsia="Times New Roman"/>
          <w:color w:val="000000"/>
          <w:shd w:val="clear" w:color="auto" w:fill="FFFFFF"/>
        </w:rPr>
        <w:t>2.</w:t>
      </w:r>
      <w:r w:rsidR="00C66A67">
        <w:rPr>
          <w:rFonts w:eastAsia="Times New Roman"/>
          <w:color w:val="000000"/>
          <w:shd w:val="clear" w:color="auto" w:fill="FFFFFF"/>
        </w:rPr>
        <w:t>1</w:t>
      </w:r>
      <w:r w:rsidR="006A4E81">
        <w:rPr>
          <w:rFonts w:eastAsia="Times New Roman"/>
          <w:color w:val="000000"/>
          <w:shd w:val="clear" w:color="auto" w:fill="FFFFFF"/>
        </w:rPr>
        <w:t>29</w:t>
      </w:r>
      <w:r w:rsidR="00C56C3C">
        <w:rPr>
          <w:rFonts w:eastAsia="Times New Roman"/>
          <w:color w:val="000000"/>
          <w:shd w:val="clear" w:color="auto" w:fill="FFFFFF"/>
        </w:rPr>
        <w:t>,</w:t>
      </w:r>
      <w:r w:rsidR="00511095">
        <w:rPr>
          <w:rFonts w:eastAsia="Times New Roman"/>
          <w:color w:val="000000"/>
          <w:shd w:val="clear" w:color="auto" w:fill="FFFFFF"/>
        </w:rPr>
        <w:t xml:space="preserve"> </w:t>
      </w:r>
      <w:r w:rsidR="00DF713C">
        <w:rPr>
          <w:rFonts w:eastAsia="Times New Roman"/>
          <w:color w:val="000000"/>
          <w:shd w:val="clear" w:color="auto" w:fill="FFFFFF"/>
        </w:rPr>
        <w:t>RMSEA 95%</w:t>
      </w:r>
      <w:r w:rsidR="00880FFE">
        <w:rPr>
          <w:rFonts w:eastAsia="Times New Roman"/>
          <w:color w:val="000000"/>
          <w:shd w:val="clear" w:color="auto" w:fill="FFFFFF"/>
        </w:rPr>
        <w:t xml:space="preserve"> </w:t>
      </w:r>
      <w:r w:rsidR="00DF713C">
        <w:rPr>
          <w:rFonts w:eastAsia="Times New Roman"/>
          <w:color w:val="000000"/>
          <w:shd w:val="clear" w:color="auto" w:fill="FFFFFF"/>
        </w:rPr>
        <w:t>CI</w:t>
      </w:r>
      <w:r w:rsidR="00880FFE">
        <w:rPr>
          <w:rFonts w:eastAsia="Times New Roman"/>
          <w:color w:val="000000"/>
          <w:shd w:val="clear" w:color="auto" w:fill="FFFFFF"/>
        </w:rPr>
        <w:t xml:space="preserve"> = </w:t>
      </w:r>
      <w:r w:rsidR="00C66A67" w:rsidRPr="00C66A67">
        <w:rPr>
          <w:rFonts w:eastAsia="Times New Roman"/>
          <w:color w:val="000000"/>
          <w:shd w:val="clear" w:color="auto" w:fill="FFFFFF"/>
        </w:rPr>
        <w:t>0.064</w:t>
      </w:r>
      <w:r w:rsidR="001279CD">
        <w:rPr>
          <w:rFonts w:eastAsia="Times New Roman"/>
          <w:color w:val="000000"/>
          <w:shd w:val="clear" w:color="auto" w:fill="FFFFFF"/>
        </w:rPr>
        <w:t xml:space="preserve"> to </w:t>
      </w:r>
      <w:r w:rsidR="00C66A67" w:rsidRPr="00C66A67">
        <w:rPr>
          <w:rFonts w:eastAsia="Times New Roman"/>
          <w:color w:val="000000"/>
          <w:shd w:val="clear" w:color="auto" w:fill="FFFFFF"/>
        </w:rPr>
        <w:t>0.086</w:t>
      </w:r>
      <w:r w:rsidR="001279CD">
        <w:rPr>
          <w:rFonts w:eastAsia="Times New Roman"/>
          <w:color w:val="000000"/>
          <w:shd w:val="clear" w:color="auto" w:fill="FFFFFF"/>
        </w:rPr>
        <w:t xml:space="preserve">, </w:t>
      </w:r>
      <w:r w:rsidR="008D3384">
        <w:rPr>
          <w:rFonts w:eastAsia="Times New Roman"/>
          <w:color w:val="000000"/>
          <w:shd w:val="clear" w:color="auto" w:fill="FFFFFF"/>
        </w:rPr>
        <w:t xml:space="preserve">CFI = </w:t>
      </w:r>
      <w:r w:rsidR="00C66A67" w:rsidRPr="00C66A67">
        <w:rPr>
          <w:rFonts w:eastAsia="Times New Roman"/>
          <w:color w:val="000000"/>
          <w:shd w:val="clear" w:color="auto" w:fill="FFFFFF"/>
        </w:rPr>
        <w:t>0.911</w:t>
      </w:r>
      <w:r w:rsidR="00C66A67">
        <w:rPr>
          <w:rFonts w:eastAsia="Times New Roman"/>
          <w:color w:val="000000"/>
          <w:shd w:val="clear" w:color="auto" w:fill="FFFFFF"/>
        </w:rPr>
        <w:t xml:space="preserve">, </w:t>
      </w:r>
      <w:r w:rsidR="001279CD">
        <w:rPr>
          <w:rFonts w:eastAsia="Times New Roman"/>
          <w:color w:val="000000"/>
          <w:shd w:val="clear" w:color="auto" w:fill="FFFFFF"/>
        </w:rPr>
        <w:t xml:space="preserve">TLI = </w:t>
      </w:r>
      <w:r w:rsidR="00C66A67" w:rsidRPr="00C66A67">
        <w:rPr>
          <w:rFonts w:eastAsia="Times New Roman"/>
          <w:color w:val="000000"/>
          <w:shd w:val="clear" w:color="auto" w:fill="FFFFFF"/>
        </w:rPr>
        <w:t>0.889</w:t>
      </w:r>
      <w:r w:rsidR="001279CD">
        <w:rPr>
          <w:rFonts w:eastAsia="Times New Roman"/>
          <w:color w:val="000000"/>
          <w:shd w:val="clear" w:color="auto" w:fill="FFFFFF"/>
        </w:rPr>
        <w:t>, SRMR =</w:t>
      </w:r>
      <w:r w:rsidR="00D55DC6">
        <w:rPr>
          <w:rFonts w:eastAsia="Times New Roman"/>
          <w:color w:val="000000"/>
          <w:shd w:val="clear" w:color="auto" w:fill="FFFFFF"/>
        </w:rPr>
        <w:t xml:space="preserve"> </w:t>
      </w:r>
      <w:r w:rsidR="00C66A67" w:rsidRPr="00C66A67">
        <w:rPr>
          <w:rFonts w:eastAsia="Times New Roman"/>
          <w:color w:val="000000"/>
          <w:shd w:val="clear" w:color="auto" w:fill="FFFFFF"/>
        </w:rPr>
        <w:t>0.045</w:t>
      </w:r>
      <w:r w:rsidR="00C56C3C">
        <w:rPr>
          <w:rFonts w:eastAsia="Times New Roman"/>
          <w:color w:val="000000"/>
          <w:shd w:val="clear" w:color="auto" w:fill="FFFFFF"/>
        </w:rPr>
        <w:t xml:space="preserve">; Bollen, 1989; </w:t>
      </w:r>
      <w:r w:rsidR="003727A7">
        <w:rPr>
          <w:rFonts w:eastAsia="Times New Roman"/>
          <w:color w:val="000000"/>
          <w:shd w:val="clear" w:color="auto" w:fill="FFFFFF"/>
        </w:rPr>
        <w:t>Hu &amp; Bentler</w:t>
      </w:r>
      <w:r w:rsidR="008F1F3B">
        <w:rPr>
          <w:rFonts w:eastAsia="Times New Roman"/>
          <w:color w:val="000000"/>
          <w:shd w:val="clear" w:color="auto" w:fill="FFFFFF"/>
        </w:rPr>
        <w:t>, 1999</w:t>
      </w:r>
      <w:r w:rsidR="00D55DC6">
        <w:rPr>
          <w:rFonts w:eastAsia="Times New Roman"/>
          <w:color w:val="000000"/>
          <w:shd w:val="clear" w:color="auto" w:fill="FFFFFF"/>
        </w:rPr>
        <w:t xml:space="preserve">). </w:t>
      </w:r>
      <w:r w:rsidR="00986FCD">
        <w:rPr>
          <w:rFonts w:eastAsia="Times New Roman"/>
          <w:color w:val="000000"/>
          <w:shd w:val="clear" w:color="auto" w:fill="FFFFFF"/>
        </w:rPr>
        <w:t>Criteria for</w:t>
      </w:r>
      <w:r w:rsidR="00986FCD" w:rsidRPr="00981D9A">
        <w:rPr>
          <w:rFonts w:eastAsia="Times New Roman"/>
          <w:color w:val="000000"/>
          <w:shd w:val="clear" w:color="auto" w:fill="FFFFFF"/>
        </w:rPr>
        <w:t xml:space="preserve"> item</w:t>
      </w:r>
      <w:r w:rsidR="00986FCD">
        <w:rPr>
          <w:rFonts w:eastAsia="Times New Roman"/>
          <w:color w:val="000000"/>
          <w:shd w:val="clear" w:color="auto" w:fill="FFFFFF"/>
        </w:rPr>
        <w:t xml:space="preserve"> retention were: (1) loading </w:t>
      </w:r>
      <w:r w:rsidR="00926AF4">
        <w:rPr>
          <w:rFonts w:eastAsia="Times New Roman"/>
          <w:color w:val="000000"/>
          <w:shd w:val="clear" w:color="auto" w:fill="FFFFFF"/>
        </w:rPr>
        <w:t>&gt; 0.5</w:t>
      </w:r>
      <w:r w:rsidR="00986FCD">
        <w:rPr>
          <w:rFonts w:eastAsia="Times New Roman"/>
          <w:color w:val="000000"/>
          <w:shd w:val="clear" w:color="auto" w:fill="FFFFFF"/>
        </w:rPr>
        <w:t xml:space="preserve"> on one factor</w:t>
      </w:r>
      <w:r w:rsidR="00986FCD" w:rsidRPr="00981D9A">
        <w:rPr>
          <w:rFonts w:eastAsia="Times New Roman"/>
          <w:color w:val="000000"/>
          <w:shd w:val="clear" w:color="auto" w:fill="FFFFFF"/>
        </w:rPr>
        <w:t xml:space="preserve"> </w:t>
      </w:r>
      <w:r w:rsidR="00986FCD">
        <w:rPr>
          <w:rFonts w:eastAsia="Times New Roman"/>
          <w:color w:val="000000"/>
          <w:shd w:val="clear" w:color="auto" w:fill="FFFFFF"/>
        </w:rPr>
        <w:t xml:space="preserve">and (2) no cross-loadings above &gt; 0.3. </w:t>
      </w:r>
      <w:r w:rsidR="008F1F3B">
        <w:rPr>
          <w:rFonts w:eastAsia="Times New Roman"/>
          <w:color w:val="000000"/>
          <w:shd w:val="clear" w:color="auto" w:fill="FFFFFF"/>
        </w:rPr>
        <w:t>Applying these criteria</w:t>
      </w:r>
      <w:r w:rsidR="0033107C">
        <w:rPr>
          <w:rFonts w:eastAsia="Times New Roman"/>
          <w:color w:val="000000"/>
          <w:shd w:val="clear" w:color="auto" w:fill="FFFFFF"/>
        </w:rPr>
        <w:t xml:space="preserve"> resulted in retention of 14 items total (seven items per factor</w:t>
      </w:r>
      <w:r w:rsidR="008A132D">
        <w:rPr>
          <w:rFonts w:eastAsia="Times New Roman"/>
          <w:color w:val="000000"/>
          <w:shd w:val="clear" w:color="auto" w:fill="FFFFFF"/>
        </w:rPr>
        <w:t xml:space="preserve">; see Table 1). The correlation between factors was </w:t>
      </w:r>
      <w:r w:rsidR="001551AE">
        <w:rPr>
          <w:rFonts w:eastAsia="Times New Roman"/>
          <w:color w:val="000000"/>
          <w:shd w:val="clear" w:color="auto" w:fill="FFFFFF"/>
        </w:rPr>
        <w:t>0</w:t>
      </w:r>
      <w:r w:rsidR="00623B18">
        <w:rPr>
          <w:rFonts w:eastAsia="Times New Roman"/>
          <w:color w:val="000000"/>
          <w:shd w:val="clear" w:color="auto" w:fill="FFFFFF"/>
        </w:rPr>
        <w:t>.59</w:t>
      </w:r>
      <w:r w:rsidR="0033107C">
        <w:rPr>
          <w:rFonts w:eastAsia="Times New Roman"/>
          <w:color w:val="000000"/>
          <w:shd w:val="clear" w:color="auto" w:fill="FFFFFF"/>
        </w:rPr>
        <w:t xml:space="preserve"> (</w:t>
      </w:r>
      <w:r w:rsidR="0033107C" w:rsidRPr="001551AE">
        <w:rPr>
          <w:rFonts w:eastAsia="Times New Roman"/>
          <w:i/>
          <w:color w:val="000000"/>
          <w:shd w:val="clear" w:color="auto" w:fill="FFFFFF"/>
        </w:rPr>
        <w:t>p</w:t>
      </w:r>
      <w:r w:rsidR="0033107C">
        <w:rPr>
          <w:rFonts w:eastAsia="Times New Roman"/>
          <w:color w:val="000000"/>
          <w:shd w:val="clear" w:color="auto" w:fill="FFFFFF"/>
        </w:rPr>
        <w:t xml:space="preserve"> &lt; .05)</w:t>
      </w:r>
      <w:r w:rsidR="008A132D">
        <w:rPr>
          <w:rFonts w:eastAsia="Times New Roman"/>
          <w:color w:val="000000"/>
          <w:shd w:val="clear" w:color="auto" w:fill="FFFFFF"/>
        </w:rPr>
        <w:t xml:space="preserve">, supporting use of oblique rotation. </w:t>
      </w:r>
      <w:r w:rsidR="0061579D">
        <w:rPr>
          <w:rFonts w:eastAsia="Times New Roman"/>
          <w:color w:val="000000"/>
          <w:shd w:val="clear" w:color="auto" w:fill="FFFFFF"/>
        </w:rPr>
        <w:t xml:space="preserve">Factor 1 consists of items that reflect </w:t>
      </w:r>
      <w:r w:rsidR="00004B29">
        <w:rPr>
          <w:rFonts w:eastAsia="Times New Roman"/>
          <w:color w:val="000000"/>
          <w:shd w:val="clear" w:color="auto" w:fill="FFFFFF"/>
        </w:rPr>
        <w:t>psychological inflexibility related to</w:t>
      </w:r>
      <w:r w:rsidR="00592BEC">
        <w:rPr>
          <w:rFonts w:eastAsia="Times New Roman"/>
          <w:color w:val="000000"/>
          <w:shd w:val="clear" w:color="auto" w:fill="FFFFFF"/>
        </w:rPr>
        <w:t xml:space="preserve"> difficulty</w:t>
      </w:r>
      <w:r w:rsidR="00004B29">
        <w:rPr>
          <w:rFonts w:eastAsia="Times New Roman"/>
          <w:color w:val="000000"/>
          <w:shd w:val="clear" w:color="auto" w:fill="FFFFFF"/>
        </w:rPr>
        <w:t xml:space="preserve"> discarding, while Factor 2 consists of items that reflect psychological inflexibility related to acquiring and possessing belongings. </w:t>
      </w:r>
      <w:r w:rsidR="00623B18">
        <w:rPr>
          <w:rFonts w:eastAsia="Times New Roman"/>
          <w:color w:val="000000"/>
          <w:shd w:val="clear" w:color="auto" w:fill="FFFFFF"/>
        </w:rPr>
        <w:t>We labeled Factor 1</w:t>
      </w:r>
      <w:r w:rsidR="00B22CC0">
        <w:rPr>
          <w:rFonts w:eastAsia="Times New Roman"/>
          <w:color w:val="000000"/>
          <w:shd w:val="clear" w:color="auto" w:fill="FFFFFF"/>
        </w:rPr>
        <w:t xml:space="preserve"> “</w:t>
      </w:r>
      <w:r w:rsidR="00592BEC">
        <w:rPr>
          <w:rFonts w:eastAsia="Times New Roman"/>
          <w:color w:val="000000"/>
          <w:shd w:val="clear" w:color="auto" w:fill="FFFFFF"/>
        </w:rPr>
        <w:t>Saving</w:t>
      </w:r>
      <w:r w:rsidR="00B22CC0">
        <w:rPr>
          <w:rFonts w:eastAsia="Times New Roman"/>
          <w:color w:val="000000"/>
          <w:shd w:val="clear" w:color="auto" w:fill="FFFFFF"/>
        </w:rPr>
        <w:t>”</w:t>
      </w:r>
      <w:r w:rsidR="00D55F48">
        <w:rPr>
          <w:rFonts w:eastAsia="Times New Roman"/>
          <w:color w:val="000000"/>
          <w:shd w:val="clear" w:color="auto" w:fill="FFFFFF"/>
        </w:rPr>
        <w:t xml:space="preserve"> and Factor 2</w:t>
      </w:r>
      <w:r w:rsidR="00B22CC0">
        <w:rPr>
          <w:rFonts w:eastAsia="Times New Roman"/>
          <w:color w:val="000000"/>
          <w:shd w:val="clear" w:color="auto" w:fill="FFFFFF"/>
        </w:rPr>
        <w:t xml:space="preserve"> “</w:t>
      </w:r>
      <w:r w:rsidR="00F6241B">
        <w:rPr>
          <w:rFonts w:eastAsia="Times New Roman"/>
          <w:color w:val="000000"/>
          <w:shd w:val="clear" w:color="auto" w:fill="FFFFFF"/>
        </w:rPr>
        <w:t>Acquisition</w:t>
      </w:r>
      <w:r w:rsidR="00B22CC0">
        <w:rPr>
          <w:rFonts w:eastAsia="Times New Roman"/>
          <w:color w:val="000000"/>
          <w:shd w:val="clear" w:color="auto" w:fill="FFFFFF"/>
        </w:rPr>
        <w:t>.”</w:t>
      </w:r>
    </w:p>
    <w:p w14:paraId="2B7ED132" w14:textId="7A49EFA7" w:rsidR="00AD11E3" w:rsidRDefault="00D8273B" w:rsidP="00467D55">
      <w:pPr>
        <w:pStyle w:val="NormalWeb"/>
        <w:spacing w:before="0" w:beforeAutospacing="0" w:after="0" w:afterAutospacing="0" w:line="480" w:lineRule="auto"/>
        <w:contextualSpacing/>
        <w:textAlignment w:val="baseline"/>
        <w:rPr>
          <w:color w:val="000000"/>
        </w:rPr>
      </w:pPr>
      <w:r>
        <w:rPr>
          <w:color w:val="000000"/>
        </w:rPr>
        <w:tab/>
      </w:r>
      <w:r w:rsidR="0023785B" w:rsidRPr="00981D9A">
        <w:rPr>
          <w:color w:val="000000"/>
        </w:rPr>
        <w:t>Cronbach’s alpha was calculated for the scale with each item deleted, and the value remained between 0.</w:t>
      </w:r>
      <w:r w:rsidR="000F069F">
        <w:rPr>
          <w:color w:val="000000"/>
        </w:rPr>
        <w:t>89</w:t>
      </w:r>
      <w:r w:rsidR="0023785B" w:rsidRPr="00981D9A">
        <w:rPr>
          <w:color w:val="000000"/>
        </w:rPr>
        <w:t xml:space="preserve"> and 0.</w:t>
      </w:r>
      <w:r w:rsidR="000F069F">
        <w:rPr>
          <w:color w:val="000000"/>
        </w:rPr>
        <w:t>90</w:t>
      </w:r>
      <w:r w:rsidR="0023785B" w:rsidRPr="00981D9A">
        <w:rPr>
          <w:color w:val="000000"/>
        </w:rPr>
        <w:t xml:space="preserve"> in each analysis</w:t>
      </w:r>
      <w:r w:rsidR="002B1A53">
        <w:rPr>
          <w:color w:val="000000"/>
        </w:rPr>
        <w:t>, compared to 0.</w:t>
      </w:r>
      <w:r w:rsidR="000F069F">
        <w:rPr>
          <w:color w:val="000000"/>
        </w:rPr>
        <w:t>90</w:t>
      </w:r>
      <w:r w:rsidR="00650B88">
        <w:rPr>
          <w:color w:val="000000"/>
        </w:rPr>
        <w:t xml:space="preserve"> </w:t>
      </w:r>
      <w:r w:rsidR="002B1A53">
        <w:rPr>
          <w:color w:val="000000"/>
        </w:rPr>
        <w:t>for all items,</w:t>
      </w:r>
      <w:r w:rsidR="0023785B" w:rsidRPr="00981D9A">
        <w:rPr>
          <w:color w:val="000000"/>
        </w:rPr>
        <w:t xml:space="preserve"> indicating no items that should be deleted to improve reliability. </w:t>
      </w:r>
      <w:r w:rsidR="008F47EE" w:rsidRPr="00981D9A">
        <w:rPr>
          <w:color w:val="000000"/>
        </w:rPr>
        <w:t xml:space="preserve">This resulted in </w:t>
      </w:r>
      <w:r w:rsidR="000F069F">
        <w:rPr>
          <w:color w:val="000000"/>
        </w:rPr>
        <w:t>14</w:t>
      </w:r>
      <w:r w:rsidR="006E0B84" w:rsidRPr="00981D9A">
        <w:rPr>
          <w:color w:val="000000"/>
        </w:rPr>
        <w:t xml:space="preserve"> </w:t>
      </w:r>
      <w:r w:rsidR="008F47EE" w:rsidRPr="00981D9A">
        <w:rPr>
          <w:color w:val="000000"/>
        </w:rPr>
        <w:t>items being retained for the final scale</w:t>
      </w:r>
      <w:r w:rsidR="008972A5">
        <w:rPr>
          <w:color w:val="000000"/>
        </w:rPr>
        <w:t>.</w:t>
      </w:r>
      <w:r w:rsidR="00191602">
        <w:rPr>
          <w:color w:val="000000"/>
        </w:rPr>
        <w:t xml:space="preserve"> Inter-item correlations ranged from 0.22 to 0.65 with a mean of 0.40. Some inter-item correlations are higher than the range typically recommended (0.15-0.5; Clark &amp; Watson, 1995)</w:t>
      </w:r>
      <w:r w:rsidR="000B3DD1">
        <w:rPr>
          <w:color w:val="000000"/>
        </w:rPr>
        <w:t>. However, higher correlations are</w:t>
      </w:r>
      <w:r w:rsidR="00191602">
        <w:rPr>
          <w:color w:val="000000"/>
        </w:rPr>
        <w:t xml:space="preserve"> appropriate for assessing a relatively </w:t>
      </w:r>
      <w:r w:rsidR="000B3DD1">
        <w:rPr>
          <w:color w:val="000000"/>
        </w:rPr>
        <w:t>specific</w:t>
      </w:r>
      <w:r w:rsidR="00191602">
        <w:rPr>
          <w:color w:val="000000"/>
        </w:rPr>
        <w:t xml:space="preserve"> construct an</w:t>
      </w:r>
      <w:r w:rsidR="00C84B80">
        <w:rPr>
          <w:color w:val="000000"/>
        </w:rPr>
        <w:t xml:space="preserve">d the range of correlations is </w:t>
      </w:r>
      <w:r w:rsidR="000B3DD1">
        <w:rPr>
          <w:color w:val="000000"/>
        </w:rPr>
        <w:t>narrowly clustered around the mean, suggesting good internal consistency (Clark &amp; Watson, 1995).</w:t>
      </w:r>
    </w:p>
    <w:p w14:paraId="10AC8085" w14:textId="6B71FE42" w:rsidR="0066098E" w:rsidRDefault="0066098E" w:rsidP="00467D55">
      <w:pPr>
        <w:pStyle w:val="NormalWeb"/>
        <w:spacing w:before="0" w:beforeAutospacing="0" w:after="0" w:afterAutospacing="0" w:line="480" w:lineRule="auto"/>
        <w:contextualSpacing/>
        <w:textAlignment w:val="baseline"/>
        <w:rPr>
          <w:b/>
          <w:color w:val="000000"/>
        </w:rPr>
      </w:pPr>
      <w:r>
        <w:rPr>
          <w:b/>
          <w:color w:val="000000"/>
        </w:rPr>
        <w:t>Measurement Invariance</w:t>
      </w:r>
    </w:p>
    <w:p w14:paraId="0FD7F8D7" w14:textId="0F6D4110" w:rsidR="0066098E" w:rsidRPr="00BC76EA" w:rsidRDefault="0066098E" w:rsidP="00467D55">
      <w:pPr>
        <w:pStyle w:val="NormalWeb"/>
        <w:spacing w:before="0" w:beforeAutospacing="0" w:after="0" w:afterAutospacing="0" w:line="480" w:lineRule="auto"/>
        <w:contextualSpacing/>
        <w:textAlignment w:val="baseline"/>
        <w:rPr>
          <w:color w:val="000000"/>
        </w:rPr>
      </w:pPr>
      <w:r>
        <w:rPr>
          <w:color w:val="000000"/>
        </w:rPr>
        <w:tab/>
      </w:r>
      <w:r w:rsidR="00EB4069">
        <w:rPr>
          <w:color w:val="000000"/>
        </w:rPr>
        <w:t>Further analyses were conducted to determi</w:t>
      </w:r>
      <w:r w:rsidR="00AA08D6">
        <w:rPr>
          <w:color w:val="000000"/>
        </w:rPr>
        <w:t xml:space="preserve">ne whether the factor structure remained stable </w:t>
      </w:r>
      <w:r w:rsidR="00EB4069">
        <w:rPr>
          <w:color w:val="000000"/>
        </w:rPr>
        <w:t xml:space="preserve">among those lower in hoarding symptoms. </w:t>
      </w:r>
      <w:r>
        <w:rPr>
          <w:color w:val="000000"/>
        </w:rPr>
        <w:t xml:space="preserve">A confirmatory factor analysis was conducted </w:t>
      </w:r>
      <w:r w:rsidR="00EB4069">
        <w:rPr>
          <w:color w:val="000000"/>
        </w:rPr>
        <w:t>to evaluate the fit of the obtained factor structure among individuals who scored at or below the mean of 21 on the Saving Inventory-Revised in the larger sample (</w:t>
      </w:r>
      <w:r w:rsidR="00EB4069">
        <w:rPr>
          <w:i/>
          <w:color w:val="000000"/>
        </w:rPr>
        <w:t>n</w:t>
      </w:r>
      <w:r w:rsidR="00EB4069">
        <w:rPr>
          <w:color w:val="000000"/>
        </w:rPr>
        <w:t xml:space="preserve"> = 276). </w:t>
      </w:r>
      <w:r w:rsidR="00CD3C66">
        <w:rPr>
          <w:color w:val="000000"/>
        </w:rPr>
        <w:t xml:space="preserve">Model fit was </w:t>
      </w:r>
      <w:r w:rsidR="00541A12">
        <w:rPr>
          <w:color w:val="000000"/>
        </w:rPr>
        <w:t>poor</w:t>
      </w:r>
      <w:r w:rsidR="00CD3C66">
        <w:rPr>
          <w:color w:val="000000"/>
        </w:rPr>
        <w:t xml:space="preserve"> (</w:t>
      </w:r>
      <w:r w:rsidR="00A45867">
        <w:rPr>
          <w:color w:val="000000"/>
        </w:rPr>
        <w:t xml:space="preserve">normed chi square = </w:t>
      </w:r>
      <w:r w:rsidR="00541A12">
        <w:rPr>
          <w:color w:val="000000"/>
        </w:rPr>
        <w:t>3.</w:t>
      </w:r>
      <w:r w:rsidR="00BB0A5A">
        <w:rPr>
          <w:color w:val="000000"/>
        </w:rPr>
        <w:t>434</w:t>
      </w:r>
      <w:r w:rsidR="00C31CBD">
        <w:rPr>
          <w:color w:val="000000"/>
        </w:rPr>
        <w:t xml:space="preserve">, </w:t>
      </w:r>
      <w:r w:rsidR="00CD3C66">
        <w:rPr>
          <w:color w:val="000000"/>
        </w:rPr>
        <w:t>RMSEA 95% CI = 0.</w:t>
      </w:r>
      <w:r w:rsidR="00BB0A5A">
        <w:rPr>
          <w:color w:val="000000"/>
        </w:rPr>
        <w:t>082</w:t>
      </w:r>
      <w:r w:rsidR="00C31CBD">
        <w:rPr>
          <w:color w:val="000000"/>
        </w:rPr>
        <w:t xml:space="preserve"> to 0.</w:t>
      </w:r>
      <w:r w:rsidR="00BB0A5A">
        <w:rPr>
          <w:color w:val="000000"/>
        </w:rPr>
        <w:t>10</w:t>
      </w:r>
      <w:r w:rsidR="00541A12">
        <w:rPr>
          <w:color w:val="000000"/>
        </w:rPr>
        <w:t>7</w:t>
      </w:r>
      <w:r w:rsidR="00CD3C66">
        <w:rPr>
          <w:color w:val="000000"/>
        </w:rPr>
        <w:t xml:space="preserve">, CFI = </w:t>
      </w:r>
      <w:r w:rsidR="00547D18">
        <w:rPr>
          <w:color w:val="000000"/>
        </w:rPr>
        <w:t>0.</w:t>
      </w:r>
      <w:r w:rsidR="00541A12">
        <w:rPr>
          <w:color w:val="000000"/>
        </w:rPr>
        <w:t>84</w:t>
      </w:r>
      <w:r w:rsidR="00BB0A5A">
        <w:rPr>
          <w:color w:val="000000"/>
        </w:rPr>
        <w:t>1</w:t>
      </w:r>
      <w:r w:rsidR="00C31CBD">
        <w:rPr>
          <w:color w:val="000000"/>
        </w:rPr>
        <w:t>, TLI = 0.</w:t>
      </w:r>
      <w:r w:rsidR="00BB0A5A">
        <w:rPr>
          <w:color w:val="000000"/>
        </w:rPr>
        <w:t>810</w:t>
      </w:r>
      <w:r w:rsidR="00541A12">
        <w:rPr>
          <w:color w:val="000000"/>
        </w:rPr>
        <w:t>, SRMR = 0.06</w:t>
      </w:r>
      <w:r w:rsidR="00BB0A5A">
        <w:rPr>
          <w:color w:val="000000"/>
        </w:rPr>
        <w:t>4</w:t>
      </w:r>
      <w:r w:rsidR="00547D18">
        <w:rPr>
          <w:color w:val="000000"/>
        </w:rPr>
        <w:t xml:space="preserve">; </w:t>
      </w:r>
      <w:r w:rsidR="00623B18">
        <w:rPr>
          <w:color w:val="000000"/>
        </w:rPr>
        <w:t xml:space="preserve">Bollen, 1989; </w:t>
      </w:r>
      <w:r w:rsidR="00547D18">
        <w:rPr>
          <w:color w:val="000000"/>
        </w:rPr>
        <w:t xml:space="preserve">Hu &amp; Bentler, 1999). </w:t>
      </w:r>
      <w:r w:rsidR="00C31CBD">
        <w:rPr>
          <w:color w:val="000000"/>
        </w:rPr>
        <w:t>M</w:t>
      </w:r>
      <w:r w:rsidR="00547D18">
        <w:rPr>
          <w:color w:val="000000"/>
        </w:rPr>
        <w:t>easurement invariance was tested further by comparing the fit of an unconstrained model (with factor loadings allowed to vary) and a constrained model (with equality constraints placed on factor loadings) across the two samples (</w:t>
      </w:r>
      <w:r w:rsidR="00BC76EA">
        <w:rPr>
          <w:color w:val="000000"/>
        </w:rPr>
        <w:t>Hirschfeld &amp; von Brachel, 2014). Model fit decreased significantly in the constrained model compared to the unconstrained model (</w:t>
      </w:r>
      <w:r w:rsidR="00BC76EA">
        <w:rPr>
          <w:color w:val="000000"/>
        </w:rPr>
        <w:sym w:font="Symbol" w:char="F063"/>
      </w:r>
      <w:r w:rsidR="00BC76EA">
        <w:rPr>
          <w:color w:val="000000"/>
          <w:vertAlign w:val="superscript"/>
        </w:rPr>
        <w:t>2</w:t>
      </w:r>
      <w:r w:rsidR="00D35F12">
        <w:rPr>
          <w:color w:val="000000"/>
        </w:rPr>
        <w:t xml:space="preserve"> diff (12</w:t>
      </w:r>
      <w:r w:rsidR="00BC76EA">
        <w:rPr>
          <w:color w:val="000000"/>
        </w:rPr>
        <w:t xml:space="preserve">) = </w:t>
      </w:r>
      <w:r w:rsidR="00D35F12">
        <w:rPr>
          <w:color w:val="000000"/>
        </w:rPr>
        <w:t>94.77</w:t>
      </w:r>
      <w:r w:rsidR="00BC76EA">
        <w:rPr>
          <w:color w:val="000000"/>
        </w:rPr>
        <w:t xml:space="preserve">, </w:t>
      </w:r>
      <w:r w:rsidR="00BC76EA" w:rsidRPr="004A6D4A">
        <w:rPr>
          <w:i/>
          <w:color w:val="000000"/>
        </w:rPr>
        <w:t>p</w:t>
      </w:r>
      <w:r w:rsidR="00BC76EA">
        <w:rPr>
          <w:color w:val="000000"/>
        </w:rPr>
        <w:t xml:space="preserve"> &lt;.001) and the CFI decreased from </w:t>
      </w:r>
      <w:r w:rsidR="00AA08D6">
        <w:rPr>
          <w:color w:val="000000"/>
        </w:rPr>
        <w:t>0.</w:t>
      </w:r>
      <w:r w:rsidR="00D35F12">
        <w:rPr>
          <w:color w:val="000000"/>
        </w:rPr>
        <w:t>890</w:t>
      </w:r>
      <w:r w:rsidR="00AA08D6">
        <w:rPr>
          <w:color w:val="000000"/>
        </w:rPr>
        <w:t xml:space="preserve"> to 0.</w:t>
      </w:r>
      <w:r w:rsidR="00D35F12">
        <w:rPr>
          <w:color w:val="000000"/>
        </w:rPr>
        <w:t>856</w:t>
      </w:r>
      <w:r w:rsidR="00BC76EA">
        <w:rPr>
          <w:color w:val="000000"/>
        </w:rPr>
        <w:t xml:space="preserve"> (a change of .01 or greater is </w:t>
      </w:r>
      <w:r w:rsidR="001D35B5">
        <w:rPr>
          <w:color w:val="000000"/>
        </w:rPr>
        <w:t>used as a benchmark indicating poor measurement invariance; Cheung &amp; Rensvold, 2002).</w:t>
      </w:r>
      <w:r w:rsidR="00457DB0">
        <w:rPr>
          <w:color w:val="000000"/>
        </w:rPr>
        <w:t xml:space="preserve"> It appears that the factor structure of this measure </w:t>
      </w:r>
      <w:r w:rsidR="0087062F">
        <w:rPr>
          <w:color w:val="000000"/>
        </w:rPr>
        <w:t>does</w:t>
      </w:r>
      <w:r w:rsidR="00457DB0">
        <w:rPr>
          <w:color w:val="000000"/>
        </w:rPr>
        <w:t xml:space="preserve"> not hold for those low in hoarding symptoms.</w:t>
      </w:r>
    </w:p>
    <w:p w14:paraId="3B2C3053" w14:textId="77777777" w:rsidR="00623D6F" w:rsidRPr="00C6071D" w:rsidRDefault="00455254" w:rsidP="00467D55">
      <w:pPr>
        <w:pStyle w:val="NormalWeb"/>
        <w:spacing w:before="0" w:beforeAutospacing="0" w:after="0" w:afterAutospacing="0" w:line="480" w:lineRule="auto"/>
        <w:contextualSpacing/>
        <w:textAlignment w:val="baseline"/>
        <w:rPr>
          <w:b/>
          <w:color w:val="000000"/>
        </w:rPr>
      </w:pPr>
      <w:r>
        <w:rPr>
          <w:b/>
          <w:color w:val="000000"/>
        </w:rPr>
        <w:t>Scale S</w:t>
      </w:r>
      <w:r w:rsidR="00623D6F" w:rsidRPr="00C6071D">
        <w:rPr>
          <w:b/>
          <w:color w:val="000000"/>
        </w:rPr>
        <w:t>coring</w:t>
      </w:r>
      <w:r>
        <w:rPr>
          <w:b/>
          <w:color w:val="000000"/>
        </w:rPr>
        <w:t xml:space="preserve"> and C</w:t>
      </w:r>
      <w:r w:rsidR="00FD4F02">
        <w:rPr>
          <w:b/>
          <w:color w:val="000000"/>
        </w:rPr>
        <w:t>haracteristics</w:t>
      </w:r>
    </w:p>
    <w:p w14:paraId="2946ACBB" w14:textId="71D04FD5" w:rsidR="00623D6F" w:rsidRPr="00623D6F" w:rsidRDefault="00623D6F" w:rsidP="00467D55">
      <w:pPr>
        <w:pStyle w:val="NormalWeb"/>
        <w:spacing w:before="0" w:beforeAutospacing="0" w:after="0" w:afterAutospacing="0" w:line="480" w:lineRule="auto"/>
        <w:contextualSpacing/>
        <w:textAlignment w:val="baseline"/>
        <w:rPr>
          <w:color w:val="000000"/>
        </w:rPr>
      </w:pPr>
      <w:r>
        <w:rPr>
          <w:b/>
          <w:color w:val="000000"/>
        </w:rPr>
        <w:tab/>
      </w:r>
      <w:r>
        <w:rPr>
          <w:color w:val="000000"/>
        </w:rPr>
        <w:t xml:space="preserve">The final AAQH includes </w:t>
      </w:r>
      <w:r w:rsidR="000F069F">
        <w:rPr>
          <w:color w:val="000000"/>
        </w:rPr>
        <w:t>14</w:t>
      </w:r>
      <w:r w:rsidR="00EE7C62">
        <w:rPr>
          <w:color w:val="000000"/>
        </w:rPr>
        <w:t xml:space="preserve"> </w:t>
      </w:r>
      <w:r>
        <w:rPr>
          <w:color w:val="000000"/>
        </w:rPr>
        <w:t xml:space="preserve">items (see Appendix). No items are reverse scored; for each item a higher score indicates greater hoarding-related psychological inflexibility. The total AAQH score is calculated by summing the </w:t>
      </w:r>
      <w:r w:rsidR="000F069F">
        <w:rPr>
          <w:color w:val="000000"/>
        </w:rPr>
        <w:t>14</w:t>
      </w:r>
      <w:r w:rsidR="00EE7C62">
        <w:rPr>
          <w:color w:val="000000"/>
        </w:rPr>
        <w:t xml:space="preserve"> </w:t>
      </w:r>
      <w:r>
        <w:rPr>
          <w:color w:val="000000"/>
        </w:rPr>
        <w:t>item score</w:t>
      </w:r>
      <w:r w:rsidR="00C601C6">
        <w:rPr>
          <w:color w:val="000000"/>
        </w:rPr>
        <w:t>s</w:t>
      </w:r>
      <w:r w:rsidR="0033382C">
        <w:rPr>
          <w:color w:val="000000"/>
        </w:rPr>
        <w:t>,</w:t>
      </w:r>
      <w:r w:rsidR="00C601C6">
        <w:rPr>
          <w:color w:val="000000"/>
        </w:rPr>
        <w:t xml:space="preserve"> </w:t>
      </w:r>
      <w:r w:rsidR="0033382C">
        <w:rPr>
          <w:color w:val="000000"/>
        </w:rPr>
        <w:t>resulting in</w:t>
      </w:r>
      <w:r w:rsidR="00C601C6">
        <w:rPr>
          <w:color w:val="000000"/>
        </w:rPr>
        <w:t xml:space="preserve"> a possible range</w:t>
      </w:r>
      <w:r w:rsidR="0033382C">
        <w:rPr>
          <w:color w:val="000000"/>
        </w:rPr>
        <w:t xml:space="preserve"> of scores</w:t>
      </w:r>
      <w:r w:rsidR="00C601C6">
        <w:rPr>
          <w:color w:val="000000"/>
        </w:rPr>
        <w:t xml:space="preserve"> </w:t>
      </w:r>
      <w:r w:rsidR="0033382C">
        <w:rPr>
          <w:color w:val="000000"/>
        </w:rPr>
        <w:t xml:space="preserve">of </w:t>
      </w:r>
      <w:r w:rsidR="000F069F">
        <w:rPr>
          <w:color w:val="000000"/>
        </w:rPr>
        <w:t>14</w:t>
      </w:r>
      <w:r w:rsidR="00EE7C62">
        <w:rPr>
          <w:color w:val="000000"/>
        </w:rPr>
        <w:t xml:space="preserve"> </w:t>
      </w:r>
      <w:r w:rsidR="00C601C6">
        <w:rPr>
          <w:color w:val="000000"/>
        </w:rPr>
        <w:t xml:space="preserve">to </w:t>
      </w:r>
      <w:r w:rsidR="000F069F">
        <w:rPr>
          <w:color w:val="000000"/>
        </w:rPr>
        <w:t>98</w:t>
      </w:r>
      <w:r w:rsidR="00C601C6">
        <w:rPr>
          <w:color w:val="000000"/>
        </w:rPr>
        <w:t>.</w:t>
      </w:r>
      <w:r w:rsidR="00685EF5">
        <w:rPr>
          <w:color w:val="000000"/>
        </w:rPr>
        <w:t xml:space="preserve"> Subscale scores for </w:t>
      </w:r>
      <w:r w:rsidR="00592BEC">
        <w:rPr>
          <w:color w:val="000000"/>
        </w:rPr>
        <w:t>Saving</w:t>
      </w:r>
      <w:r w:rsidR="00383B95">
        <w:rPr>
          <w:color w:val="000000"/>
        </w:rPr>
        <w:t xml:space="preserve"> and Acquisition</w:t>
      </w:r>
      <w:r w:rsidR="00685EF5">
        <w:rPr>
          <w:color w:val="000000"/>
        </w:rPr>
        <w:t xml:space="preserve"> can also be obtained by summing the items on each subscale.</w:t>
      </w:r>
    </w:p>
    <w:p w14:paraId="175D4DD7" w14:textId="6D65A98C" w:rsidR="00563F37" w:rsidRPr="00B92257" w:rsidRDefault="008F47EE" w:rsidP="00467D55">
      <w:pPr>
        <w:pStyle w:val="NormalWeb"/>
        <w:spacing w:before="0" w:beforeAutospacing="0" w:after="0" w:afterAutospacing="0" w:line="480" w:lineRule="auto"/>
        <w:contextualSpacing/>
        <w:textAlignment w:val="baseline"/>
        <w:rPr>
          <w:color w:val="000000"/>
        </w:rPr>
      </w:pPr>
      <w:r w:rsidRPr="00981D9A">
        <w:rPr>
          <w:color w:val="000000"/>
        </w:rPr>
        <w:tab/>
      </w:r>
      <w:r w:rsidR="0033382C">
        <w:rPr>
          <w:color w:val="000000"/>
        </w:rPr>
        <w:t xml:space="preserve">In the present sample the mean AAQH </w:t>
      </w:r>
      <w:r w:rsidR="003536A4">
        <w:rPr>
          <w:color w:val="000000"/>
        </w:rPr>
        <w:t xml:space="preserve">total </w:t>
      </w:r>
      <w:r w:rsidR="0033382C">
        <w:rPr>
          <w:color w:val="000000"/>
        </w:rPr>
        <w:t xml:space="preserve">score was </w:t>
      </w:r>
      <w:r w:rsidR="00C77AF4">
        <w:rPr>
          <w:color w:val="000000"/>
        </w:rPr>
        <w:t>45.17</w:t>
      </w:r>
      <w:r w:rsidR="0033382C">
        <w:rPr>
          <w:color w:val="000000"/>
        </w:rPr>
        <w:t xml:space="preserve"> (</w:t>
      </w:r>
      <w:r w:rsidR="0033382C">
        <w:rPr>
          <w:i/>
          <w:color w:val="000000"/>
        </w:rPr>
        <w:t>SD</w:t>
      </w:r>
      <w:r w:rsidR="0033382C">
        <w:rPr>
          <w:color w:val="000000"/>
        </w:rPr>
        <w:t xml:space="preserve"> = </w:t>
      </w:r>
      <w:r w:rsidR="006308FA">
        <w:rPr>
          <w:color w:val="000000"/>
        </w:rPr>
        <w:t>1</w:t>
      </w:r>
      <w:r w:rsidR="00C77AF4">
        <w:rPr>
          <w:color w:val="000000"/>
        </w:rPr>
        <w:t>3.49</w:t>
      </w:r>
      <w:r w:rsidR="0033382C">
        <w:rPr>
          <w:color w:val="000000"/>
        </w:rPr>
        <w:t>)</w:t>
      </w:r>
      <w:r w:rsidR="003536A4">
        <w:rPr>
          <w:color w:val="000000"/>
        </w:rPr>
        <w:t xml:space="preserve">, </w:t>
      </w:r>
      <w:r w:rsidR="002E16EE">
        <w:rPr>
          <w:color w:val="000000"/>
        </w:rPr>
        <w:t>the mean AAQH-</w:t>
      </w:r>
      <w:r w:rsidR="00592BEC">
        <w:rPr>
          <w:color w:val="000000"/>
        </w:rPr>
        <w:t>Saving</w:t>
      </w:r>
      <w:r w:rsidR="00B76768">
        <w:rPr>
          <w:color w:val="000000"/>
        </w:rPr>
        <w:t xml:space="preserve"> score was </w:t>
      </w:r>
      <w:r w:rsidR="00C77AF4">
        <w:rPr>
          <w:color w:val="000000"/>
        </w:rPr>
        <w:t>26.60</w:t>
      </w:r>
      <w:r w:rsidR="006308FA">
        <w:rPr>
          <w:color w:val="000000"/>
        </w:rPr>
        <w:t xml:space="preserve"> (SD = </w:t>
      </w:r>
      <w:r w:rsidR="00C77AF4">
        <w:rPr>
          <w:color w:val="000000"/>
        </w:rPr>
        <w:t>8.31</w:t>
      </w:r>
      <w:r w:rsidR="00383B95">
        <w:rPr>
          <w:color w:val="000000"/>
        </w:rPr>
        <w:t>) and the mean AAQH-Acquisition</w:t>
      </w:r>
      <w:r w:rsidR="002E16EE">
        <w:rPr>
          <w:color w:val="000000"/>
        </w:rPr>
        <w:t xml:space="preserve"> score was</w:t>
      </w:r>
      <w:r w:rsidR="006308FA">
        <w:rPr>
          <w:color w:val="000000"/>
        </w:rPr>
        <w:t xml:space="preserve"> </w:t>
      </w:r>
      <w:r w:rsidR="00C77AF4">
        <w:rPr>
          <w:color w:val="000000"/>
        </w:rPr>
        <w:t>18.56</w:t>
      </w:r>
      <w:r w:rsidR="002E16EE">
        <w:rPr>
          <w:color w:val="000000"/>
        </w:rPr>
        <w:t xml:space="preserve"> (SD = </w:t>
      </w:r>
      <w:r w:rsidR="00C77AF4">
        <w:rPr>
          <w:color w:val="000000"/>
        </w:rPr>
        <w:t>6.96</w:t>
      </w:r>
      <w:r w:rsidR="002E16EE">
        <w:rPr>
          <w:color w:val="000000"/>
        </w:rPr>
        <w:t>)</w:t>
      </w:r>
      <w:r w:rsidR="0033382C">
        <w:rPr>
          <w:color w:val="000000"/>
        </w:rPr>
        <w:t xml:space="preserve">. </w:t>
      </w:r>
      <w:r w:rsidRPr="00981D9A">
        <w:rPr>
          <w:color w:val="000000"/>
        </w:rPr>
        <w:t>Cronbach’s alpha for the 1</w:t>
      </w:r>
      <w:r w:rsidR="000F069F">
        <w:rPr>
          <w:color w:val="000000"/>
        </w:rPr>
        <w:t>4</w:t>
      </w:r>
      <w:r w:rsidRPr="00981D9A">
        <w:rPr>
          <w:color w:val="000000"/>
        </w:rPr>
        <w:t xml:space="preserve">-item scale </w:t>
      </w:r>
      <w:r w:rsidR="0033382C">
        <w:rPr>
          <w:color w:val="000000"/>
        </w:rPr>
        <w:t>was</w:t>
      </w:r>
      <w:r w:rsidR="0033382C" w:rsidRPr="00981D9A">
        <w:rPr>
          <w:color w:val="000000"/>
        </w:rPr>
        <w:t xml:space="preserve"> </w:t>
      </w:r>
      <w:r w:rsidRPr="00981D9A">
        <w:rPr>
          <w:color w:val="000000"/>
        </w:rPr>
        <w:t>0.</w:t>
      </w:r>
      <w:r w:rsidR="000F069F">
        <w:rPr>
          <w:color w:val="000000"/>
        </w:rPr>
        <w:t>90</w:t>
      </w:r>
      <w:r w:rsidR="002665D8" w:rsidRPr="00981D9A">
        <w:rPr>
          <w:color w:val="000000"/>
        </w:rPr>
        <w:t xml:space="preserve">, indicating </w:t>
      </w:r>
      <w:r w:rsidR="007E5C4B">
        <w:rPr>
          <w:color w:val="000000"/>
        </w:rPr>
        <w:t>excellent</w:t>
      </w:r>
      <w:r w:rsidR="00E3453C" w:rsidRPr="00981D9A">
        <w:rPr>
          <w:color w:val="000000"/>
        </w:rPr>
        <w:t xml:space="preserve"> </w:t>
      </w:r>
      <w:r w:rsidR="002665D8" w:rsidRPr="00981D9A">
        <w:rPr>
          <w:color w:val="000000"/>
        </w:rPr>
        <w:t xml:space="preserve">reliability. </w:t>
      </w:r>
      <w:r w:rsidR="000F069F">
        <w:rPr>
          <w:color w:val="000000"/>
        </w:rPr>
        <w:t xml:space="preserve">The reliability of the subscales was also good (AAQH Saving </w:t>
      </w:r>
      <w:r w:rsidR="000F069F">
        <w:rPr>
          <w:color w:val="000000"/>
        </w:rPr>
        <w:sym w:font="Symbol" w:char="F061"/>
      </w:r>
      <w:r w:rsidR="000F069F">
        <w:rPr>
          <w:color w:val="000000"/>
        </w:rPr>
        <w:t xml:space="preserve"> = 0.89; AAQH Acquisition </w:t>
      </w:r>
      <w:r w:rsidR="000F069F">
        <w:rPr>
          <w:color w:val="000000"/>
        </w:rPr>
        <w:sym w:font="Symbol" w:char="F061"/>
      </w:r>
      <w:r w:rsidR="000F069F">
        <w:rPr>
          <w:color w:val="000000"/>
        </w:rPr>
        <w:t xml:space="preserve"> = 0.84). </w:t>
      </w:r>
      <w:r w:rsidR="00B92257">
        <w:rPr>
          <w:color w:val="000000"/>
        </w:rPr>
        <w:t xml:space="preserve">The two subscales </w:t>
      </w:r>
      <w:r w:rsidR="007E5C4B">
        <w:rPr>
          <w:color w:val="000000"/>
        </w:rPr>
        <w:t>are</w:t>
      </w:r>
      <w:r w:rsidR="00B92257">
        <w:rPr>
          <w:color w:val="000000"/>
        </w:rPr>
        <w:t xml:space="preserve"> highly correlated with one another (</w:t>
      </w:r>
      <w:r w:rsidR="00B92257">
        <w:rPr>
          <w:i/>
          <w:color w:val="000000"/>
        </w:rPr>
        <w:t>r</w:t>
      </w:r>
      <w:r w:rsidR="00B92257">
        <w:rPr>
          <w:color w:val="000000"/>
        </w:rPr>
        <w:t xml:space="preserve"> = 0.</w:t>
      </w:r>
      <w:r w:rsidR="00C77AF4">
        <w:rPr>
          <w:color w:val="000000"/>
        </w:rPr>
        <w:t>56</w:t>
      </w:r>
      <w:r w:rsidR="00B92257">
        <w:rPr>
          <w:color w:val="000000"/>
        </w:rPr>
        <w:t xml:space="preserve">, </w:t>
      </w:r>
      <w:r w:rsidR="00B92257">
        <w:rPr>
          <w:i/>
          <w:color w:val="000000"/>
        </w:rPr>
        <w:t>p</w:t>
      </w:r>
      <w:r w:rsidR="00B92257">
        <w:rPr>
          <w:color w:val="000000"/>
        </w:rPr>
        <w:t xml:space="preserve"> &lt; .001) and with the AAQH total score (</w:t>
      </w:r>
      <w:r w:rsidR="00B92257">
        <w:rPr>
          <w:i/>
          <w:color w:val="000000"/>
        </w:rPr>
        <w:t>r</w:t>
      </w:r>
      <w:r w:rsidR="007E5C4B">
        <w:rPr>
          <w:color w:val="000000"/>
        </w:rPr>
        <w:t xml:space="preserve"> = 0.</w:t>
      </w:r>
      <w:r w:rsidR="00C77AF4">
        <w:rPr>
          <w:color w:val="000000"/>
        </w:rPr>
        <w:t>90</w:t>
      </w:r>
      <w:r w:rsidR="00B92257">
        <w:rPr>
          <w:color w:val="000000"/>
        </w:rPr>
        <w:t xml:space="preserve">, </w:t>
      </w:r>
      <w:r w:rsidR="00B92257">
        <w:rPr>
          <w:i/>
          <w:color w:val="000000"/>
        </w:rPr>
        <w:t>p</w:t>
      </w:r>
      <w:r w:rsidR="00B92257">
        <w:rPr>
          <w:color w:val="000000"/>
        </w:rPr>
        <w:t xml:space="preserve"> &lt; .001 for </w:t>
      </w:r>
      <w:r w:rsidR="00592BEC">
        <w:rPr>
          <w:color w:val="000000"/>
        </w:rPr>
        <w:t>Saving</w:t>
      </w:r>
      <w:r w:rsidR="00B92257">
        <w:rPr>
          <w:color w:val="000000"/>
        </w:rPr>
        <w:t xml:space="preserve">; </w:t>
      </w:r>
      <w:r w:rsidR="00B92257">
        <w:rPr>
          <w:i/>
          <w:color w:val="000000"/>
        </w:rPr>
        <w:t>r</w:t>
      </w:r>
      <w:r w:rsidR="00B92257">
        <w:rPr>
          <w:color w:val="000000"/>
        </w:rPr>
        <w:t xml:space="preserve"> = 0.</w:t>
      </w:r>
      <w:r w:rsidR="00C77AF4">
        <w:rPr>
          <w:color w:val="000000"/>
        </w:rPr>
        <w:t>86</w:t>
      </w:r>
      <w:r w:rsidR="00B92257">
        <w:rPr>
          <w:color w:val="000000"/>
        </w:rPr>
        <w:t xml:space="preserve">, </w:t>
      </w:r>
      <w:r w:rsidR="00B92257">
        <w:rPr>
          <w:i/>
          <w:color w:val="000000"/>
        </w:rPr>
        <w:t>p</w:t>
      </w:r>
      <w:r w:rsidR="00B92257">
        <w:rPr>
          <w:color w:val="000000"/>
        </w:rPr>
        <w:t xml:space="preserve"> &lt; .001 f</w:t>
      </w:r>
      <w:r w:rsidR="00F6241B">
        <w:rPr>
          <w:color w:val="000000"/>
        </w:rPr>
        <w:t>or Acquisition</w:t>
      </w:r>
      <w:r w:rsidR="00B92257">
        <w:rPr>
          <w:color w:val="000000"/>
        </w:rPr>
        <w:t xml:space="preserve">). </w:t>
      </w:r>
    </w:p>
    <w:p w14:paraId="717FE4A7" w14:textId="77777777" w:rsidR="00563F37" w:rsidRPr="00C6071D" w:rsidRDefault="00CC0EA8" w:rsidP="00467D55">
      <w:pPr>
        <w:pStyle w:val="NormalWeb"/>
        <w:spacing w:before="0" w:beforeAutospacing="0" w:after="0" w:afterAutospacing="0" w:line="480" w:lineRule="auto"/>
        <w:contextualSpacing/>
        <w:textAlignment w:val="baseline"/>
        <w:rPr>
          <w:b/>
          <w:color w:val="000000"/>
        </w:rPr>
      </w:pPr>
      <w:r w:rsidRPr="00C6071D">
        <w:rPr>
          <w:b/>
          <w:color w:val="000000"/>
        </w:rPr>
        <w:t>Validity</w:t>
      </w:r>
    </w:p>
    <w:p w14:paraId="5273D9AC" w14:textId="62043367" w:rsidR="00FD4F02" w:rsidRDefault="00CC0EA8" w:rsidP="00467D55">
      <w:pPr>
        <w:pStyle w:val="NormalWeb"/>
        <w:spacing w:before="0" w:beforeAutospacing="0" w:after="0" w:afterAutospacing="0" w:line="480" w:lineRule="auto"/>
        <w:contextualSpacing/>
        <w:textAlignment w:val="baseline"/>
        <w:rPr>
          <w:color w:val="000000"/>
        </w:rPr>
      </w:pPr>
      <w:r w:rsidRPr="00981D9A">
        <w:rPr>
          <w:b/>
          <w:color w:val="000000"/>
        </w:rPr>
        <w:tab/>
      </w:r>
      <w:r w:rsidR="00B634B1">
        <w:rPr>
          <w:b/>
          <w:color w:val="000000"/>
        </w:rPr>
        <w:t>Convergent/</w:t>
      </w:r>
      <w:r w:rsidR="00C531F2">
        <w:rPr>
          <w:b/>
          <w:color w:val="000000"/>
        </w:rPr>
        <w:t>d</w:t>
      </w:r>
      <w:r w:rsidR="00B634B1">
        <w:rPr>
          <w:b/>
          <w:color w:val="000000"/>
        </w:rPr>
        <w:t xml:space="preserve">ivergent </w:t>
      </w:r>
      <w:r w:rsidR="00C531F2">
        <w:rPr>
          <w:b/>
          <w:color w:val="000000"/>
        </w:rPr>
        <w:t>v</w:t>
      </w:r>
      <w:r w:rsidR="00B634B1">
        <w:rPr>
          <w:b/>
          <w:color w:val="000000"/>
        </w:rPr>
        <w:t xml:space="preserve">alidity. </w:t>
      </w:r>
      <w:r w:rsidRPr="00981D9A">
        <w:rPr>
          <w:color w:val="000000"/>
        </w:rPr>
        <w:t xml:space="preserve">The </w:t>
      </w:r>
      <w:r w:rsidR="00B634B1">
        <w:rPr>
          <w:color w:val="000000"/>
        </w:rPr>
        <w:t>convergent/divergent</w:t>
      </w:r>
      <w:r w:rsidR="00B634B1" w:rsidRPr="00981D9A">
        <w:rPr>
          <w:color w:val="000000"/>
        </w:rPr>
        <w:t xml:space="preserve"> </w:t>
      </w:r>
      <w:r w:rsidRPr="00981D9A">
        <w:rPr>
          <w:color w:val="000000"/>
        </w:rPr>
        <w:t>validity of the</w:t>
      </w:r>
      <w:r w:rsidR="00425F98" w:rsidRPr="00981D9A">
        <w:rPr>
          <w:color w:val="000000"/>
        </w:rPr>
        <w:t xml:space="preserve"> 1</w:t>
      </w:r>
      <w:r w:rsidR="00C77AF4">
        <w:rPr>
          <w:color w:val="000000"/>
        </w:rPr>
        <w:t>4</w:t>
      </w:r>
      <w:r w:rsidR="00425F98" w:rsidRPr="00981D9A">
        <w:rPr>
          <w:color w:val="000000"/>
        </w:rPr>
        <w:t>-item</w:t>
      </w:r>
      <w:r w:rsidRPr="00981D9A">
        <w:rPr>
          <w:color w:val="000000"/>
        </w:rPr>
        <w:t xml:space="preserve"> AAQH was tested by examining correlations with measures of psychological </w:t>
      </w:r>
      <w:r w:rsidR="0087444E">
        <w:rPr>
          <w:color w:val="000000"/>
        </w:rPr>
        <w:t>in</w:t>
      </w:r>
      <w:r w:rsidRPr="00981D9A">
        <w:rPr>
          <w:color w:val="000000"/>
        </w:rPr>
        <w:t xml:space="preserve">flexibility and its components (acceptance, </w:t>
      </w:r>
      <w:r w:rsidR="00425F98" w:rsidRPr="00981D9A">
        <w:rPr>
          <w:color w:val="000000"/>
        </w:rPr>
        <w:t>mindful awareness</w:t>
      </w:r>
      <w:r w:rsidRPr="00981D9A">
        <w:rPr>
          <w:color w:val="000000"/>
        </w:rPr>
        <w:t xml:space="preserve">, </w:t>
      </w:r>
      <w:r w:rsidR="00425F98" w:rsidRPr="00981D9A">
        <w:rPr>
          <w:color w:val="000000"/>
        </w:rPr>
        <w:t>cognitive fusion, values progress, and values obstruction</w:t>
      </w:r>
      <w:r w:rsidRPr="00981D9A">
        <w:rPr>
          <w:color w:val="000000"/>
        </w:rPr>
        <w:t xml:space="preserve">), hoarding symptoms, other symptoms of psychological disorders (depression, anxiety) and life satisfaction. </w:t>
      </w:r>
      <w:r w:rsidR="00425F98" w:rsidRPr="00981D9A">
        <w:rPr>
          <w:color w:val="000000"/>
        </w:rPr>
        <w:t xml:space="preserve">Correlations were significant in the expected directions for all measures except </w:t>
      </w:r>
      <w:r w:rsidR="004A45AC">
        <w:rPr>
          <w:color w:val="000000"/>
        </w:rPr>
        <w:t xml:space="preserve">depression, </w:t>
      </w:r>
      <w:r w:rsidR="00425F98" w:rsidRPr="00981D9A">
        <w:rPr>
          <w:color w:val="000000"/>
        </w:rPr>
        <w:t>progress towards values</w:t>
      </w:r>
      <w:r w:rsidR="004A45AC">
        <w:rPr>
          <w:color w:val="000000"/>
        </w:rPr>
        <w:t>,</w:t>
      </w:r>
      <w:r w:rsidR="00CB2F1C">
        <w:rPr>
          <w:color w:val="000000"/>
        </w:rPr>
        <w:t xml:space="preserve"> and life satisfaction</w:t>
      </w:r>
      <w:r w:rsidR="00FF11E5" w:rsidRPr="00981D9A">
        <w:rPr>
          <w:color w:val="000000"/>
        </w:rPr>
        <w:t xml:space="preserve"> (see Table </w:t>
      </w:r>
      <w:r w:rsidR="00C07773">
        <w:rPr>
          <w:color w:val="000000"/>
        </w:rPr>
        <w:t>3</w:t>
      </w:r>
      <w:r w:rsidR="00FF11E5" w:rsidRPr="00981D9A">
        <w:rPr>
          <w:color w:val="000000"/>
        </w:rPr>
        <w:t>)</w:t>
      </w:r>
      <w:r w:rsidR="00425F98" w:rsidRPr="00981D9A">
        <w:rPr>
          <w:color w:val="000000"/>
        </w:rPr>
        <w:t xml:space="preserve">. Higher </w:t>
      </w:r>
      <w:r w:rsidR="002E5E27" w:rsidRPr="00981D9A">
        <w:rPr>
          <w:color w:val="000000"/>
        </w:rPr>
        <w:t xml:space="preserve">hoarding-related </w:t>
      </w:r>
      <w:r w:rsidR="00425F98" w:rsidRPr="00981D9A">
        <w:rPr>
          <w:color w:val="000000"/>
        </w:rPr>
        <w:t xml:space="preserve">psychological inflexibility (measured by high scores on the </w:t>
      </w:r>
      <w:r w:rsidR="00CB2F1C">
        <w:rPr>
          <w:color w:val="000000"/>
        </w:rPr>
        <w:t xml:space="preserve">total </w:t>
      </w:r>
      <w:r w:rsidR="00425F98" w:rsidRPr="00981D9A">
        <w:rPr>
          <w:color w:val="000000"/>
        </w:rPr>
        <w:t>AAQH) was associated with higher hoarding symptoms</w:t>
      </w:r>
      <w:r w:rsidR="008E2248" w:rsidRPr="00981D9A">
        <w:rPr>
          <w:color w:val="000000"/>
        </w:rPr>
        <w:t xml:space="preserve"> with correlations between 0.3</w:t>
      </w:r>
      <w:r w:rsidR="004A45AC">
        <w:rPr>
          <w:color w:val="000000"/>
        </w:rPr>
        <w:t>1</w:t>
      </w:r>
      <w:r w:rsidR="008E2248" w:rsidRPr="00981D9A">
        <w:rPr>
          <w:color w:val="000000"/>
        </w:rPr>
        <w:t xml:space="preserve"> and 0.6</w:t>
      </w:r>
      <w:r w:rsidR="004A45AC">
        <w:rPr>
          <w:color w:val="000000"/>
        </w:rPr>
        <w:t>4</w:t>
      </w:r>
      <w:r w:rsidR="00425F98" w:rsidRPr="00981D9A">
        <w:rPr>
          <w:color w:val="000000"/>
        </w:rPr>
        <w:t>, higher psychological inflexibility</w:t>
      </w:r>
      <w:r w:rsidR="00FF11E5" w:rsidRPr="00981D9A">
        <w:rPr>
          <w:color w:val="000000"/>
        </w:rPr>
        <w:t xml:space="preserve"> processes with correlations between </w:t>
      </w:r>
      <w:r w:rsidR="00BF0047">
        <w:rPr>
          <w:color w:val="000000"/>
        </w:rPr>
        <w:t>-0.07</w:t>
      </w:r>
      <w:r w:rsidR="00FF11E5" w:rsidRPr="00981D9A">
        <w:rPr>
          <w:color w:val="000000"/>
        </w:rPr>
        <w:t xml:space="preserve"> and 0.</w:t>
      </w:r>
      <w:r w:rsidR="004A45AC">
        <w:rPr>
          <w:color w:val="000000"/>
        </w:rPr>
        <w:t>49</w:t>
      </w:r>
      <w:r w:rsidR="00425F98" w:rsidRPr="00981D9A">
        <w:rPr>
          <w:color w:val="000000"/>
        </w:rPr>
        <w:t>,</w:t>
      </w:r>
      <w:r w:rsidR="00FF11E5" w:rsidRPr="00981D9A">
        <w:rPr>
          <w:color w:val="000000"/>
        </w:rPr>
        <w:t xml:space="preserve"> higher anxiety symptoms (</w:t>
      </w:r>
      <w:r w:rsidR="00FF11E5" w:rsidRPr="00981D9A">
        <w:rPr>
          <w:i/>
          <w:color w:val="000000"/>
        </w:rPr>
        <w:t>r</w:t>
      </w:r>
      <w:r w:rsidR="00FF11E5" w:rsidRPr="00981D9A">
        <w:rPr>
          <w:color w:val="000000"/>
        </w:rPr>
        <w:t xml:space="preserve"> = 0.2</w:t>
      </w:r>
      <w:r w:rsidR="004A45AC">
        <w:rPr>
          <w:color w:val="000000"/>
        </w:rPr>
        <w:t>3</w:t>
      </w:r>
      <w:r w:rsidR="00FF11E5" w:rsidRPr="00981D9A">
        <w:rPr>
          <w:color w:val="000000"/>
        </w:rPr>
        <w:t xml:space="preserve">), </w:t>
      </w:r>
      <w:r w:rsidR="00CB2F1C">
        <w:rPr>
          <w:color w:val="000000"/>
        </w:rPr>
        <w:t xml:space="preserve">and </w:t>
      </w:r>
      <w:r w:rsidR="00FF11E5" w:rsidRPr="00981D9A">
        <w:rPr>
          <w:color w:val="000000"/>
        </w:rPr>
        <w:t>higher overall distress (</w:t>
      </w:r>
      <w:r w:rsidR="00FF11E5" w:rsidRPr="00981D9A">
        <w:rPr>
          <w:i/>
          <w:color w:val="000000"/>
        </w:rPr>
        <w:t>r</w:t>
      </w:r>
      <w:r w:rsidR="00FF11E5" w:rsidRPr="00981D9A">
        <w:rPr>
          <w:color w:val="000000"/>
        </w:rPr>
        <w:t xml:space="preserve"> = 0.</w:t>
      </w:r>
      <w:r w:rsidR="00CB2F1C">
        <w:rPr>
          <w:color w:val="000000"/>
        </w:rPr>
        <w:t>2</w:t>
      </w:r>
      <w:r w:rsidR="004A6D4A">
        <w:rPr>
          <w:color w:val="000000"/>
        </w:rPr>
        <w:t>8</w:t>
      </w:r>
      <w:r w:rsidR="00FF11E5" w:rsidRPr="00981D9A">
        <w:rPr>
          <w:color w:val="000000"/>
        </w:rPr>
        <w:t>)</w:t>
      </w:r>
      <w:r w:rsidR="00CB2F1C">
        <w:rPr>
          <w:color w:val="000000"/>
        </w:rPr>
        <w:t>.</w:t>
      </w:r>
    </w:p>
    <w:p w14:paraId="417270D4" w14:textId="4F1C6435" w:rsidR="00781D2E" w:rsidRPr="00981D9A" w:rsidRDefault="00FD4F02" w:rsidP="009D726A">
      <w:pPr>
        <w:pStyle w:val="NormalWeb"/>
        <w:spacing w:before="0" w:beforeAutospacing="0" w:after="0" w:afterAutospacing="0" w:line="480" w:lineRule="auto"/>
        <w:ind w:firstLine="720"/>
        <w:contextualSpacing/>
        <w:textAlignment w:val="baseline"/>
        <w:rPr>
          <w:color w:val="000000"/>
        </w:rPr>
      </w:pPr>
      <w:r>
        <w:rPr>
          <w:color w:val="000000"/>
        </w:rPr>
        <w:t>To further assess divergent validity</w:t>
      </w:r>
      <w:r w:rsidR="00425F98" w:rsidRPr="00981D9A">
        <w:rPr>
          <w:color w:val="000000"/>
        </w:rPr>
        <w:t xml:space="preserve">, </w:t>
      </w:r>
      <w:r w:rsidR="00904913" w:rsidRPr="00981D9A">
        <w:rPr>
          <w:color w:val="000000"/>
        </w:rPr>
        <w:t>the correlation</w:t>
      </w:r>
      <w:r w:rsidR="00425F98" w:rsidRPr="00981D9A">
        <w:rPr>
          <w:color w:val="000000"/>
        </w:rPr>
        <w:t xml:space="preserve"> between the AAQH and the SI-R </w:t>
      </w:r>
      <w:r w:rsidR="00904913" w:rsidRPr="00981D9A">
        <w:rPr>
          <w:color w:val="000000"/>
        </w:rPr>
        <w:t>was compared to the</w:t>
      </w:r>
      <w:r w:rsidR="00425F98" w:rsidRPr="00981D9A">
        <w:rPr>
          <w:color w:val="000000"/>
        </w:rPr>
        <w:t xml:space="preserve"> correlations between the AAQH and DASS-depression </w:t>
      </w:r>
      <w:r w:rsidR="00904913" w:rsidRPr="00981D9A">
        <w:rPr>
          <w:color w:val="000000"/>
        </w:rPr>
        <w:t xml:space="preserve">as well as </w:t>
      </w:r>
      <w:r w:rsidR="00425F98" w:rsidRPr="00981D9A">
        <w:rPr>
          <w:color w:val="000000"/>
        </w:rPr>
        <w:t>DASS-anxiety</w:t>
      </w:r>
      <w:r w:rsidR="00904913" w:rsidRPr="00981D9A">
        <w:rPr>
          <w:color w:val="000000"/>
        </w:rPr>
        <w:t xml:space="preserve"> using recommended method</w:t>
      </w:r>
      <w:r w:rsidR="00116DF9" w:rsidRPr="00981D9A">
        <w:rPr>
          <w:color w:val="000000"/>
        </w:rPr>
        <w:t>s</w:t>
      </w:r>
      <w:r w:rsidR="00FB36FF">
        <w:rPr>
          <w:color w:val="000000"/>
        </w:rPr>
        <w:t xml:space="preserve"> </w:t>
      </w:r>
      <w:r w:rsidR="00FB36FF">
        <w:rPr>
          <w:color w:val="000000"/>
        </w:rPr>
        <w:fldChar w:fldCharType="begin" w:fldLock="1"/>
      </w:r>
      <w:r w:rsidR="00FB36FF">
        <w:rPr>
          <w:color w:val="000000"/>
        </w:rPr>
        <w:instrText>ADDIN CSL_CITATION { "citationItems" : [ { "id" : "ITEM-1", "itemData" : { "author" : [ { "dropping-particle" : "", "family" : "Meng", "given" : "Xiao-Li", "non-dropping-particle" : "", "parse-names" : false, "suffix" : "" }, { "dropping-particle" : "", "family" : "Rosenthal", "given" : "Robert", "non-dropping-particle" : "", "parse-names" : false, "suffix" : "" }, { "dropping-particle" : "", "family" : "Rubin", "given" : "Donald B", "non-dropping-particle" : "", "parse-names" : false, "suffix" : "" } ], "container-title" : "Psychological Bulletin", "id" : "ITEM-1", "issued" : { "date-parts" : [ [ "1992" ] ] }, "page" : "172-175", "title" : "Comparing correlated correlation coefficients", "type" : "article-journal", "volume" : "111" }, "uris" : [ "http://www.mendeley.com/documents/?uuid=bba1cb72-56e5-40ec-aad8-89e212b5beb5" ] } ], "mendeley" : { "formattedCitation" : "(Meng, Rosenthal, &amp; Rubin, 1992)", "plainTextFormattedCitation" : "(Meng, Rosenthal, &amp; Rubin, 1992)", "previouslyFormattedCitation" : "(Meng, Rosenthal, &amp; Rubin, 1992)" }, "properties" : { "noteIndex" : 0 }, "schema" : "https://github.com/citation-style-language/schema/raw/master/csl-citation.json" }</w:instrText>
      </w:r>
      <w:r w:rsidR="00FB36FF">
        <w:rPr>
          <w:color w:val="000000"/>
        </w:rPr>
        <w:fldChar w:fldCharType="separate"/>
      </w:r>
      <w:r w:rsidR="00FB36FF" w:rsidRPr="00FB36FF">
        <w:rPr>
          <w:noProof/>
          <w:color w:val="000000"/>
        </w:rPr>
        <w:t>(Meng, Rosenthal, &amp; Rubin, 1992)</w:t>
      </w:r>
      <w:r w:rsidR="00FB36FF">
        <w:rPr>
          <w:color w:val="000000"/>
        </w:rPr>
        <w:fldChar w:fldCharType="end"/>
      </w:r>
      <w:r w:rsidR="00904913" w:rsidRPr="00981D9A">
        <w:rPr>
          <w:color w:val="000000"/>
        </w:rPr>
        <w:t>. The correlation between the AAQH and SI-R was significantly higher than the correlation between the AAQH and DASS-depression (</w:t>
      </w:r>
      <w:r w:rsidR="00904913" w:rsidRPr="00981D9A">
        <w:rPr>
          <w:i/>
          <w:color w:val="000000"/>
        </w:rPr>
        <w:t>Z</w:t>
      </w:r>
      <w:r w:rsidR="001C6D39">
        <w:rPr>
          <w:i/>
          <w:color w:val="000000"/>
        </w:rPr>
        <w:t xml:space="preserve"> </w:t>
      </w:r>
      <w:r w:rsidR="00904913" w:rsidRPr="00981D9A">
        <w:rPr>
          <w:color w:val="000000"/>
        </w:rPr>
        <w:t>=</w:t>
      </w:r>
      <w:r w:rsidR="001C6D39">
        <w:rPr>
          <w:color w:val="000000"/>
        </w:rPr>
        <w:t xml:space="preserve"> </w:t>
      </w:r>
      <w:r w:rsidR="009A7883">
        <w:rPr>
          <w:color w:val="000000"/>
        </w:rPr>
        <w:t>6.</w:t>
      </w:r>
      <w:r w:rsidR="00734844">
        <w:rPr>
          <w:color w:val="000000"/>
        </w:rPr>
        <w:t>28</w:t>
      </w:r>
      <w:r w:rsidR="00904913" w:rsidRPr="00981D9A">
        <w:rPr>
          <w:color w:val="000000"/>
        </w:rPr>
        <w:t xml:space="preserve">, </w:t>
      </w:r>
      <w:r w:rsidR="00904913" w:rsidRPr="00981D9A">
        <w:rPr>
          <w:i/>
          <w:color w:val="000000"/>
        </w:rPr>
        <w:t>p</w:t>
      </w:r>
      <w:r w:rsidR="00CC1396">
        <w:rPr>
          <w:i/>
          <w:color w:val="000000"/>
        </w:rPr>
        <w:t xml:space="preserve"> </w:t>
      </w:r>
      <w:r w:rsidR="00904913" w:rsidRPr="00981D9A">
        <w:rPr>
          <w:color w:val="000000"/>
        </w:rPr>
        <w:t>&lt;</w:t>
      </w:r>
      <w:r w:rsidR="00CC1396">
        <w:rPr>
          <w:color w:val="000000"/>
        </w:rPr>
        <w:t xml:space="preserve"> </w:t>
      </w:r>
      <w:r w:rsidR="00904913" w:rsidRPr="00981D9A">
        <w:rPr>
          <w:color w:val="000000"/>
        </w:rPr>
        <w:t>.001)</w:t>
      </w:r>
      <w:r w:rsidR="00425F98" w:rsidRPr="00981D9A">
        <w:rPr>
          <w:color w:val="000000"/>
        </w:rPr>
        <w:t xml:space="preserve"> </w:t>
      </w:r>
      <w:r w:rsidR="004D524C" w:rsidRPr="00981D9A">
        <w:rPr>
          <w:color w:val="000000"/>
        </w:rPr>
        <w:t>as well as</w:t>
      </w:r>
      <w:r w:rsidR="00904913" w:rsidRPr="00981D9A">
        <w:rPr>
          <w:color w:val="000000"/>
        </w:rPr>
        <w:t xml:space="preserve"> the correlation between the AAQH and DASS-anxiety (</w:t>
      </w:r>
      <w:r w:rsidR="00904913" w:rsidRPr="00981D9A">
        <w:rPr>
          <w:i/>
          <w:color w:val="000000"/>
        </w:rPr>
        <w:t>Z</w:t>
      </w:r>
      <w:r w:rsidR="001C6D39">
        <w:rPr>
          <w:i/>
          <w:color w:val="000000"/>
        </w:rPr>
        <w:t xml:space="preserve"> </w:t>
      </w:r>
      <w:r w:rsidR="00904913" w:rsidRPr="00981D9A">
        <w:rPr>
          <w:color w:val="000000"/>
        </w:rPr>
        <w:t>=</w:t>
      </w:r>
      <w:r w:rsidR="001C6D39">
        <w:rPr>
          <w:color w:val="000000"/>
        </w:rPr>
        <w:t xml:space="preserve"> </w:t>
      </w:r>
      <w:r w:rsidR="00904913" w:rsidRPr="00981D9A">
        <w:rPr>
          <w:color w:val="000000"/>
        </w:rPr>
        <w:t>5.</w:t>
      </w:r>
      <w:r w:rsidR="00D20D47">
        <w:rPr>
          <w:color w:val="000000"/>
        </w:rPr>
        <w:t>60</w:t>
      </w:r>
      <w:r w:rsidR="00904913" w:rsidRPr="00981D9A">
        <w:rPr>
          <w:color w:val="000000"/>
        </w:rPr>
        <w:t xml:space="preserve">, </w:t>
      </w:r>
      <w:r w:rsidR="00904913" w:rsidRPr="00981D9A">
        <w:rPr>
          <w:i/>
          <w:color w:val="000000"/>
        </w:rPr>
        <w:t>p</w:t>
      </w:r>
      <w:r w:rsidR="00CC1396">
        <w:rPr>
          <w:i/>
          <w:color w:val="000000"/>
        </w:rPr>
        <w:t xml:space="preserve"> </w:t>
      </w:r>
      <w:r w:rsidR="00904913" w:rsidRPr="00981D9A">
        <w:rPr>
          <w:color w:val="000000"/>
        </w:rPr>
        <w:t>&lt;</w:t>
      </w:r>
      <w:r w:rsidR="00CC1396">
        <w:rPr>
          <w:color w:val="000000"/>
        </w:rPr>
        <w:t xml:space="preserve"> </w:t>
      </w:r>
      <w:r w:rsidR="00904913" w:rsidRPr="00981D9A">
        <w:rPr>
          <w:color w:val="000000"/>
        </w:rPr>
        <w:t xml:space="preserve">.001) </w:t>
      </w:r>
      <w:r w:rsidR="00425F98" w:rsidRPr="00981D9A">
        <w:rPr>
          <w:color w:val="000000"/>
        </w:rPr>
        <w:t>showing initial support for divergent validity</w:t>
      </w:r>
      <w:r w:rsidR="0004768B" w:rsidRPr="00981D9A">
        <w:rPr>
          <w:color w:val="000000"/>
        </w:rPr>
        <w:t>.</w:t>
      </w:r>
      <w:r w:rsidR="00425F98" w:rsidRPr="00981D9A">
        <w:rPr>
          <w:color w:val="000000"/>
        </w:rPr>
        <w:t xml:space="preserve"> </w:t>
      </w:r>
      <w:r w:rsidR="0004768B" w:rsidRPr="00981D9A">
        <w:rPr>
          <w:color w:val="000000"/>
        </w:rPr>
        <w:t>T</w:t>
      </w:r>
      <w:r w:rsidR="00425F98" w:rsidRPr="00981D9A">
        <w:rPr>
          <w:color w:val="000000"/>
        </w:rPr>
        <w:t>hat is, the AAQH does not appear to be measuring general distress or psychopathology</w:t>
      </w:r>
      <w:r w:rsidR="00116DF9" w:rsidRPr="00981D9A">
        <w:rPr>
          <w:color w:val="000000"/>
        </w:rPr>
        <w:t xml:space="preserve"> and is more relevant to hoarding symptomatology specifically</w:t>
      </w:r>
      <w:r w:rsidR="00425F98" w:rsidRPr="00981D9A">
        <w:rPr>
          <w:color w:val="000000"/>
        </w:rPr>
        <w:t>.</w:t>
      </w:r>
    </w:p>
    <w:p w14:paraId="5E5F4A95" w14:textId="5D597FFE" w:rsidR="00B634B1" w:rsidRDefault="00425F98" w:rsidP="00467D55">
      <w:pPr>
        <w:spacing w:line="480" w:lineRule="auto"/>
        <w:contextualSpacing/>
        <w:rPr>
          <w:rFonts w:eastAsia="Times New Roman"/>
        </w:rPr>
      </w:pPr>
      <w:r w:rsidRPr="00981D9A">
        <w:rPr>
          <w:rFonts w:eastAsia="Times New Roman"/>
        </w:rPr>
        <w:tab/>
      </w:r>
      <w:r w:rsidR="00B634B1">
        <w:rPr>
          <w:rFonts w:eastAsia="Times New Roman"/>
          <w:b/>
        </w:rPr>
        <w:t xml:space="preserve">Incremental </w:t>
      </w:r>
      <w:r w:rsidR="009D726A">
        <w:rPr>
          <w:rFonts w:eastAsia="Times New Roman"/>
          <w:b/>
        </w:rPr>
        <w:t>v</w:t>
      </w:r>
      <w:r w:rsidR="00B634B1">
        <w:rPr>
          <w:rFonts w:eastAsia="Times New Roman"/>
          <w:b/>
        </w:rPr>
        <w:t xml:space="preserve">alidity. </w:t>
      </w:r>
      <w:r w:rsidR="00004698" w:rsidRPr="00981D9A">
        <w:rPr>
          <w:rFonts w:eastAsia="Times New Roman"/>
        </w:rPr>
        <w:t>Next, several analyses were conducted</w:t>
      </w:r>
      <w:r w:rsidRPr="00981D9A">
        <w:rPr>
          <w:rFonts w:eastAsia="Times New Roman"/>
        </w:rPr>
        <w:t xml:space="preserve"> to determine whether or not the AAQH has incremental validity over a general measure of psychological inflexibility in predicting hoarding</w:t>
      </w:r>
      <w:r w:rsidR="005E23B3" w:rsidRPr="00981D9A">
        <w:rPr>
          <w:rFonts w:eastAsia="Times New Roman"/>
        </w:rPr>
        <w:t xml:space="preserve">, as the </w:t>
      </w:r>
      <w:r w:rsidR="00C0428E">
        <w:rPr>
          <w:rFonts w:eastAsia="Times New Roman"/>
        </w:rPr>
        <w:t>AAQ-II and AAQH have a large correlation (</w:t>
      </w:r>
      <w:r w:rsidR="00C0428E" w:rsidRPr="00C0428E">
        <w:rPr>
          <w:rFonts w:eastAsia="Times New Roman"/>
          <w:i/>
        </w:rPr>
        <w:t>r</w:t>
      </w:r>
      <w:r w:rsidR="00E321EE">
        <w:rPr>
          <w:rFonts w:eastAsia="Times New Roman"/>
        </w:rPr>
        <w:t xml:space="preserve"> = 0.4</w:t>
      </w:r>
      <w:r w:rsidR="00361948">
        <w:rPr>
          <w:rFonts w:eastAsia="Times New Roman"/>
        </w:rPr>
        <w:t>9</w:t>
      </w:r>
      <w:r w:rsidR="00C0428E">
        <w:rPr>
          <w:rFonts w:eastAsia="Times New Roman"/>
        </w:rPr>
        <w:t xml:space="preserve">, </w:t>
      </w:r>
      <w:r w:rsidR="00C0428E" w:rsidRPr="00C0428E">
        <w:rPr>
          <w:rFonts w:eastAsia="Times New Roman"/>
          <w:i/>
        </w:rPr>
        <w:t>p</w:t>
      </w:r>
      <w:r w:rsidR="00C0428E">
        <w:rPr>
          <w:rFonts w:eastAsia="Times New Roman"/>
        </w:rPr>
        <w:t xml:space="preserve"> &lt; .001) and the </w:t>
      </w:r>
      <w:r w:rsidR="005E23B3" w:rsidRPr="00C0428E">
        <w:rPr>
          <w:rFonts w:eastAsia="Times New Roman"/>
        </w:rPr>
        <w:t>AAQ</w:t>
      </w:r>
      <w:r w:rsidR="005E23B3" w:rsidRPr="00981D9A">
        <w:rPr>
          <w:rFonts w:eastAsia="Times New Roman"/>
        </w:rPr>
        <w:t xml:space="preserve">-II </w:t>
      </w:r>
      <w:r w:rsidR="00352315" w:rsidRPr="00981D9A">
        <w:rPr>
          <w:rFonts w:eastAsia="Times New Roman"/>
        </w:rPr>
        <w:t>also had</w:t>
      </w:r>
      <w:r w:rsidR="005E23B3" w:rsidRPr="00981D9A">
        <w:rPr>
          <w:rFonts w:eastAsia="Times New Roman"/>
        </w:rPr>
        <w:t xml:space="preserve"> a significant </w:t>
      </w:r>
      <w:r w:rsidR="00352315" w:rsidRPr="00981D9A">
        <w:rPr>
          <w:rFonts w:eastAsia="Times New Roman"/>
        </w:rPr>
        <w:t>correlation with the SI-R (</w:t>
      </w:r>
      <w:r w:rsidR="00352315" w:rsidRPr="00981D9A">
        <w:rPr>
          <w:rFonts w:eastAsia="Times New Roman"/>
          <w:i/>
        </w:rPr>
        <w:t>r</w:t>
      </w:r>
      <w:r w:rsidR="001C6D39">
        <w:rPr>
          <w:rFonts w:eastAsia="Times New Roman"/>
          <w:i/>
        </w:rPr>
        <w:t xml:space="preserve"> </w:t>
      </w:r>
      <w:r w:rsidR="00352315" w:rsidRPr="00981D9A">
        <w:rPr>
          <w:rFonts w:eastAsia="Times New Roman"/>
        </w:rPr>
        <w:t>=</w:t>
      </w:r>
      <w:r w:rsidR="001C6D39">
        <w:rPr>
          <w:rFonts w:eastAsia="Times New Roman"/>
        </w:rPr>
        <w:t xml:space="preserve"> </w:t>
      </w:r>
      <w:r w:rsidR="00352315" w:rsidRPr="00981D9A">
        <w:rPr>
          <w:rFonts w:eastAsia="Times New Roman"/>
        </w:rPr>
        <w:t xml:space="preserve">0.42, </w:t>
      </w:r>
      <w:r w:rsidR="00352315" w:rsidRPr="00981D9A">
        <w:rPr>
          <w:rFonts w:eastAsia="Times New Roman"/>
          <w:i/>
        </w:rPr>
        <w:t>p</w:t>
      </w:r>
      <w:r w:rsidR="00CC1396">
        <w:rPr>
          <w:rFonts w:eastAsia="Times New Roman"/>
          <w:i/>
        </w:rPr>
        <w:t xml:space="preserve"> </w:t>
      </w:r>
      <w:r w:rsidR="00352315" w:rsidRPr="00981D9A">
        <w:rPr>
          <w:rFonts w:eastAsia="Times New Roman"/>
        </w:rPr>
        <w:t>&lt;</w:t>
      </w:r>
      <w:r w:rsidR="00CC1396">
        <w:rPr>
          <w:rFonts w:eastAsia="Times New Roman"/>
        </w:rPr>
        <w:t xml:space="preserve"> </w:t>
      </w:r>
      <w:r w:rsidR="00352315" w:rsidRPr="00981D9A">
        <w:rPr>
          <w:rFonts w:eastAsia="Times New Roman"/>
        </w:rPr>
        <w:t>.001)</w:t>
      </w:r>
      <w:r w:rsidR="00004698" w:rsidRPr="00981D9A">
        <w:rPr>
          <w:rFonts w:eastAsia="Times New Roman"/>
        </w:rPr>
        <w:t xml:space="preserve">. </w:t>
      </w:r>
    </w:p>
    <w:p w14:paraId="08BD209B" w14:textId="03D922B9" w:rsidR="00B634B1" w:rsidRDefault="00B634B1" w:rsidP="009D726A">
      <w:pPr>
        <w:spacing w:line="480" w:lineRule="auto"/>
        <w:ind w:firstLine="720"/>
        <w:contextualSpacing/>
        <w:rPr>
          <w:rFonts w:eastAsia="Times New Roman"/>
        </w:rPr>
      </w:pPr>
      <w:r>
        <w:rPr>
          <w:rFonts w:eastAsia="Times New Roman"/>
        </w:rPr>
        <w:t>First, the strength of correlations between the AAQH and SI-R were compared to the AAQ-II and SI-R. T</w:t>
      </w:r>
      <w:r w:rsidRPr="00981D9A">
        <w:rPr>
          <w:rFonts w:eastAsia="Times New Roman"/>
        </w:rPr>
        <w:t>he correlation between the AAQH and SI-R was found to be significantly higher than the correlation between the AAQ-II and SI-R (</w:t>
      </w:r>
      <w:r w:rsidRPr="00981D9A">
        <w:rPr>
          <w:rFonts w:eastAsia="Times New Roman"/>
          <w:i/>
        </w:rPr>
        <w:t>Z</w:t>
      </w:r>
      <w:r>
        <w:rPr>
          <w:rFonts w:eastAsia="Times New Roman"/>
          <w:i/>
        </w:rPr>
        <w:t xml:space="preserve"> </w:t>
      </w:r>
      <w:r w:rsidRPr="00981D9A">
        <w:rPr>
          <w:rFonts w:eastAsia="Times New Roman"/>
        </w:rPr>
        <w:t>=</w:t>
      </w:r>
      <w:r>
        <w:rPr>
          <w:rFonts w:eastAsia="Times New Roman"/>
        </w:rPr>
        <w:t xml:space="preserve"> </w:t>
      </w:r>
      <w:r w:rsidR="0043764D">
        <w:rPr>
          <w:rFonts w:eastAsia="Times New Roman"/>
        </w:rPr>
        <w:t>3.</w:t>
      </w:r>
      <w:r w:rsidR="00E321EE">
        <w:rPr>
          <w:rFonts w:eastAsia="Times New Roman"/>
        </w:rPr>
        <w:t>78</w:t>
      </w:r>
      <w:r w:rsidRPr="00981D9A">
        <w:rPr>
          <w:rFonts w:eastAsia="Times New Roman"/>
        </w:rPr>
        <w:t xml:space="preserve">, </w:t>
      </w:r>
      <w:r w:rsidRPr="00981D9A">
        <w:rPr>
          <w:rFonts w:eastAsia="Times New Roman"/>
          <w:i/>
        </w:rPr>
        <w:t>p</w:t>
      </w:r>
      <w:r w:rsidR="00CC1396">
        <w:rPr>
          <w:rFonts w:eastAsia="Times New Roman"/>
          <w:i/>
        </w:rPr>
        <w:t xml:space="preserve"> </w:t>
      </w:r>
      <w:r w:rsidRPr="00981D9A">
        <w:rPr>
          <w:rFonts w:eastAsia="Times New Roman"/>
        </w:rPr>
        <w:t>&lt;</w:t>
      </w:r>
      <w:r w:rsidR="00CC1396">
        <w:rPr>
          <w:rFonts w:eastAsia="Times New Roman"/>
        </w:rPr>
        <w:t xml:space="preserve"> </w:t>
      </w:r>
      <w:r w:rsidRPr="00981D9A">
        <w:rPr>
          <w:rFonts w:eastAsia="Times New Roman"/>
        </w:rPr>
        <w:t xml:space="preserve">.001). The AAQH correlation was also significantly higher than the AAQ-II correlation </w:t>
      </w:r>
      <w:r w:rsidR="00623B18">
        <w:rPr>
          <w:rFonts w:eastAsia="Times New Roman"/>
        </w:rPr>
        <w:t>with</w:t>
      </w:r>
      <w:r w:rsidRPr="00981D9A">
        <w:rPr>
          <w:rFonts w:eastAsia="Times New Roman"/>
        </w:rPr>
        <w:t xml:space="preserve"> SI-R acquisition (</w:t>
      </w:r>
      <w:r w:rsidRPr="00981D9A">
        <w:rPr>
          <w:rFonts w:eastAsia="Times New Roman"/>
          <w:i/>
        </w:rPr>
        <w:t>Z</w:t>
      </w:r>
      <w:r>
        <w:rPr>
          <w:rFonts w:eastAsia="Times New Roman"/>
          <w:i/>
        </w:rPr>
        <w:t xml:space="preserve"> </w:t>
      </w:r>
      <w:r w:rsidRPr="00981D9A">
        <w:rPr>
          <w:rFonts w:eastAsia="Times New Roman"/>
        </w:rPr>
        <w:t>=</w:t>
      </w:r>
      <w:r>
        <w:rPr>
          <w:rFonts w:eastAsia="Times New Roman"/>
        </w:rPr>
        <w:t xml:space="preserve"> </w:t>
      </w:r>
      <w:r w:rsidR="00BA7503">
        <w:rPr>
          <w:rFonts w:eastAsia="Times New Roman"/>
        </w:rPr>
        <w:t>2.83</w:t>
      </w:r>
      <w:r w:rsidRPr="00981D9A">
        <w:rPr>
          <w:rFonts w:eastAsia="Times New Roman"/>
        </w:rPr>
        <w:t xml:space="preserve">, </w:t>
      </w:r>
      <w:r w:rsidRPr="00981D9A">
        <w:rPr>
          <w:rFonts w:eastAsia="Times New Roman"/>
          <w:i/>
        </w:rPr>
        <w:t>p</w:t>
      </w:r>
      <w:r w:rsidR="00CC1396">
        <w:rPr>
          <w:rFonts w:eastAsia="Times New Roman"/>
          <w:i/>
        </w:rPr>
        <w:t xml:space="preserve"> </w:t>
      </w:r>
      <w:r w:rsidRPr="00981D9A">
        <w:rPr>
          <w:rFonts w:eastAsia="Times New Roman"/>
        </w:rPr>
        <w:t>&lt;</w:t>
      </w:r>
      <w:r w:rsidR="00CC1396">
        <w:rPr>
          <w:rFonts w:eastAsia="Times New Roman"/>
        </w:rPr>
        <w:t xml:space="preserve"> </w:t>
      </w:r>
      <w:r w:rsidRPr="00981D9A">
        <w:rPr>
          <w:rFonts w:eastAsia="Times New Roman"/>
        </w:rPr>
        <w:t>.01) and SI-R difficulty discarding (</w:t>
      </w:r>
      <w:r w:rsidRPr="00981D9A">
        <w:rPr>
          <w:rFonts w:eastAsia="Times New Roman"/>
          <w:i/>
        </w:rPr>
        <w:t>Z</w:t>
      </w:r>
      <w:r>
        <w:rPr>
          <w:rFonts w:eastAsia="Times New Roman"/>
          <w:i/>
        </w:rPr>
        <w:t xml:space="preserve"> </w:t>
      </w:r>
      <w:r w:rsidRPr="00981D9A">
        <w:rPr>
          <w:rFonts w:eastAsia="Times New Roman"/>
        </w:rPr>
        <w:t>=</w:t>
      </w:r>
      <w:r>
        <w:rPr>
          <w:rFonts w:eastAsia="Times New Roman"/>
        </w:rPr>
        <w:t xml:space="preserve"> </w:t>
      </w:r>
      <w:r w:rsidR="00FC6EFD">
        <w:rPr>
          <w:rFonts w:eastAsia="Times New Roman"/>
        </w:rPr>
        <w:t>4.</w:t>
      </w:r>
      <w:r w:rsidR="00BE7893">
        <w:rPr>
          <w:rFonts w:eastAsia="Times New Roman"/>
        </w:rPr>
        <w:t>40</w:t>
      </w:r>
      <w:r w:rsidRPr="00981D9A">
        <w:rPr>
          <w:rFonts w:eastAsia="Times New Roman"/>
        </w:rPr>
        <w:t xml:space="preserve">, </w:t>
      </w:r>
      <w:r w:rsidRPr="00981D9A">
        <w:rPr>
          <w:rFonts w:eastAsia="Times New Roman"/>
          <w:i/>
        </w:rPr>
        <w:t>p</w:t>
      </w:r>
      <w:r w:rsidR="00CC1396">
        <w:rPr>
          <w:rFonts w:eastAsia="Times New Roman"/>
          <w:i/>
        </w:rPr>
        <w:t xml:space="preserve"> </w:t>
      </w:r>
      <w:r w:rsidRPr="00981D9A">
        <w:rPr>
          <w:rFonts w:eastAsia="Times New Roman"/>
        </w:rPr>
        <w:t>&lt;</w:t>
      </w:r>
      <w:r w:rsidR="00CC1396">
        <w:rPr>
          <w:rFonts w:eastAsia="Times New Roman"/>
        </w:rPr>
        <w:t xml:space="preserve"> </w:t>
      </w:r>
      <w:r w:rsidRPr="00981D9A">
        <w:rPr>
          <w:rFonts w:eastAsia="Times New Roman"/>
        </w:rPr>
        <w:t xml:space="preserve">.001), </w:t>
      </w:r>
      <w:r w:rsidR="00623B18">
        <w:rPr>
          <w:rFonts w:eastAsia="Times New Roman"/>
        </w:rPr>
        <w:t>although</w:t>
      </w:r>
      <w:r w:rsidRPr="00981D9A">
        <w:rPr>
          <w:rFonts w:eastAsia="Times New Roman"/>
        </w:rPr>
        <w:t xml:space="preserve"> not SI-R clutter (</w:t>
      </w:r>
      <w:r w:rsidRPr="00981D9A">
        <w:rPr>
          <w:rFonts w:eastAsia="Times New Roman"/>
          <w:i/>
        </w:rPr>
        <w:t>p</w:t>
      </w:r>
      <w:r w:rsidR="00CC1396">
        <w:rPr>
          <w:rFonts w:eastAsia="Times New Roman"/>
          <w:i/>
        </w:rPr>
        <w:t xml:space="preserve"> </w:t>
      </w:r>
      <w:r w:rsidRPr="00981D9A">
        <w:rPr>
          <w:rFonts w:eastAsia="Times New Roman"/>
        </w:rPr>
        <w:t>=</w:t>
      </w:r>
      <w:r w:rsidR="00CC1396">
        <w:rPr>
          <w:rFonts w:eastAsia="Times New Roman"/>
        </w:rPr>
        <w:t xml:space="preserve"> </w:t>
      </w:r>
      <w:r w:rsidRPr="00981D9A">
        <w:rPr>
          <w:rFonts w:eastAsia="Times New Roman"/>
        </w:rPr>
        <w:t>.</w:t>
      </w:r>
      <w:r w:rsidR="00081C57">
        <w:rPr>
          <w:rFonts w:eastAsia="Times New Roman"/>
        </w:rPr>
        <w:t>52</w:t>
      </w:r>
      <w:r w:rsidRPr="00981D9A">
        <w:rPr>
          <w:rFonts w:eastAsia="Times New Roman"/>
        </w:rPr>
        <w:t>).</w:t>
      </w:r>
      <w:r w:rsidR="00352315" w:rsidRPr="00981D9A">
        <w:rPr>
          <w:rFonts w:eastAsia="Times New Roman"/>
        </w:rPr>
        <w:t xml:space="preserve"> </w:t>
      </w:r>
    </w:p>
    <w:p w14:paraId="5A98920E" w14:textId="56A0A0FA" w:rsidR="00FD4F02" w:rsidRDefault="00004698" w:rsidP="009D726A">
      <w:pPr>
        <w:spacing w:line="480" w:lineRule="auto"/>
        <w:ind w:firstLine="720"/>
        <w:contextualSpacing/>
        <w:rPr>
          <w:rFonts w:eastAsia="Times New Roman"/>
        </w:rPr>
      </w:pPr>
      <w:r w:rsidRPr="00981D9A">
        <w:rPr>
          <w:rFonts w:eastAsia="Times New Roman"/>
        </w:rPr>
        <w:t xml:space="preserve">In a series of </w:t>
      </w:r>
      <w:r w:rsidR="007824CA" w:rsidRPr="00981D9A">
        <w:rPr>
          <w:rFonts w:eastAsia="Times New Roman"/>
        </w:rPr>
        <w:t xml:space="preserve">hierarchical linear </w:t>
      </w:r>
      <w:r w:rsidRPr="00981D9A">
        <w:rPr>
          <w:rFonts w:eastAsia="Times New Roman"/>
        </w:rPr>
        <w:t>regression</w:t>
      </w:r>
      <w:r w:rsidR="007824CA" w:rsidRPr="00981D9A">
        <w:rPr>
          <w:rFonts w:eastAsia="Times New Roman"/>
        </w:rPr>
        <w:t>s</w:t>
      </w:r>
      <w:r w:rsidRPr="00981D9A">
        <w:rPr>
          <w:rFonts w:eastAsia="Times New Roman"/>
        </w:rPr>
        <w:t xml:space="preserve">, we investigated whether </w:t>
      </w:r>
      <w:r w:rsidR="009F00FC">
        <w:rPr>
          <w:rFonts w:eastAsia="Times New Roman"/>
        </w:rPr>
        <w:t>a model including</w:t>
      </w:r>
      <w:r w:rsidRPr="00981D9A">
        <w:rPr>
          <w:rFonts w:eastAsia="Times New Roman"/>
        </w:rPr>
        <w:t xml:space="preserve"> the AAQH predicted significant additional variance in hoarding symptoms </w:t>
      </w:r>
      <w:r w:rsidR="008E2248" w:rsidRPr="00981D9A">
        <w:rPr>
          <w:rFonts w:eastAsia="Times New Roman"/>
        </w:rPr>
        <w:t>above and beyond</w:t>
      </w:r>
      <w:r w:rsidR="009F00FC">
        <w:rPr>
          <w:rFonts w:eastAsia="Times New Roman"/>
        </w:rPr>
        <w:t xml:space="preserve"> a model with only</w:t>
      </w:r>
      <w:r w:rsidR="008E2248" w:rsidRPr="00981D9A">
        <w:rPr>
          <w:rFonts w:eastAsia="Times New Roman"/>
        </w:rPr>
        <w:t xml:space="preserve"> the AAQ-II</w:t>
      </w:r>
      <w:r w:rsidR="009F00FC">
        <w:rPr>
          <w:rFonts w:eastAsia="Times New Roman"/>
        </w:rPr>
        <w:t xml:space="preserve"> as a predictor</w:t>
      </w:r>
      <w:r w:rsidR="008E2248" w:rsidRPr="00981D9A">
        <w:rPr>
          <w:rFonts w:eastAsia="Times New Roman"/>
        </w:rPr>
        <w:t xml:space="preserve">. The results showed that </w:t>
      </w:r>
      <w:r w:rsidR="009F00FC">
        <w:rPr>
          <w:rFonts w:eastAsia="Times New Roman"/>
        </w:rPr>
        <w:t xml:space="preserve">for each dependent variable </w:t>
      </w:r>
      <w:r w:rsidR="008E2248" w:rsidRPr="00981D9A">
        <w:rPr>
          <w:rFonts w:eastAsia="Times New Roman"/>
        </w:rPr>
        <w:t>the</w:t>
      </w:r>
      <w:r w:rsidRPr="00981D9A">
        <w:rPr>
          <w:rFonts w:eastAsia="Times New Roman"/>
        </w:rPr>
        <w:t xml:space="preserve"> AAQH </w:t>
      </w:r>
      <w:r w:rsidR="00E11479" w:rsidRPr="00981D9A">
        <w:rPr>
          <w:rFonts w:eastAsia="Times New Roman"/>
        </w:rPr>
        <w:t xml:space="preserve">significantly predicted </w:t>
      </w:r>
      <w:r w:rsidR="008E2248" w:rsidRPr="00981D9A">
        <w:rPr>
          <w:rFonts w:eastAsia="Times New Roman"/>
        </w:rPr>
        <w:t>hoarding symptoms</w:t>
      </w:r>
      <w:r w:rsidR="00E11479" w:rsidRPr="00981D9A">
        <w:rPr>
          <w:rFonts w:eastAsia="Times New Roman"/>
        </w:rPr>
        <w:t xml:space="preserve"> after entering the AAQ-II</w:t>
      </w:r>
      <w:r w:rsidR="007824CA" w:rsidRPr="00981D9A">
        <w:rPr>
          <w:rFonts w:eastAsia="Times New Roman"/>
        </w:rPr>
        <w:t>, and adding the AAQH resulted in a significant change in R</w:t>
      </w:r>
      <w:r w:rsidR="007824CA" w:rsidRPr="00981D9A">
        <w:rPr>
          <w:rFonts w:eastAsia="Times New Roman"/>
          <w:vertAlign w:val="superscript"/>
        </w:rPr>
        <w:t>2</w:t>
      </w:r>
      <w:r w:rsidR="0004768B" w:rsidRPr="00981D9A">
        <w:rPr>
          <w:rFonts w:eastAsia="Times New Roman"/>
        </w:rPr>
        <w:t xml:space="preserve">, ranging from </w:t>
      </w:r>
      <w:r w:rsidR="00477B1C">
        <w:rPr>
          <w:rFonts w:eastAsia="Times New Roman"/>
        </w:rPr>
        <w:t>4</w:t>
      </w:r>
      <w:r w:rsidR="0004768B" w:rsidRPr="00981D9A">
        <w:rPr>
          <w:rFonts w:eastAsia="Times New Roman"/>
        </w:rPr>
        <w:t xml:space="preserve"> to 25% </w:t>
      </w:r>
      <w:r w:rsidR="008E2248" w:rsidRPr="00981D9A">
        <w:rPr>
          <w:rFonts w:eastAsia="Times New Roman"/>
        </w:rPr>
        <w:t xml:space="preserve">(see Table </w:t>
      </w:r>
      <w:r w:rsidR="00C07773">
        <w:rPr>
          <w:rFonts w:eastAsia="Times New Roman"/>
        </w:rPr>
        <w:t>4</w:t>
      </w:r>
      <w:r w:rsidR="008E2248" w:rsidRPr="00981D9A">
        <w:rPr>
          <w:rFonts w:eastAsia="Times New Roman"/>
        </w:rPr>
        <w:t>)</w:t>
      </w:r>
      <w:r w:rsidR="00E11479" w:rsidRPr="00981D9A">
        <w:rPr>
          <w:rFonts w:eastAsia="Times New Roman"/>
        </w:rPr>
        <w:t>.</w:t>
      </w:r>
      <w:r w:rsidRPr="00981D9A">
        <w:rPr>
          <w:rFonts w:eastAsia="Times New Roman"/>
        </w:rPr>
        <w:t xml:space="preserve"> </w:t>
      </w:r>
      <w:r w:rsidR="00FD4F02">
        <w:rPr>
          <w:rFonts w:eastAsia="Times New Roman"/>
        </w:rPr>
        <w:t xml:space="preserve">Furthermore, the AAQ-II shifted from a significant to a non-significant predictor of hoarding symptoms </w:t>
      </w:r>
      <w:r w:rsidR="00173F65">
        <w:rPr>
          <w:rFonts w:eastAsia="Times New Roman"/>
        </w:rPr>
        <w:t xml:space="preserve">for </w:t>
      </w:r>
      <w:r w:rsidR="00A43EC9">
        <w:rPr>
          <w:rFonts w:eastAsia="Times New Roman"/>
        </w:rPr>
        <w:t xml:space="preserve">three of the four </w:t>
      </w:r>
      <w:r w:rsidR="00173F65">
        <w:rPr>
          <w:rFonts w:eastAsia="Times New Roman"/>
        </w:rPr>
        <w:t>dependent variables</w:t>
      </w:r>
      <w:r w:rsidR="00A43EC9">
        <w:rPr>
          <w:rFonts w:eastAsia="Times New Roman"/>
        </w:rPr>
        <w:t xml:space="preserve"> </w:t>
      </w:r>
      <w:r w:rsidR="00FD4F02">
        <w:rPr>
          <w:rFonts w:eastAsia="Times New Roman"/>
        </w:rPr>
        <w:t xml:space="preserve">after the AAQH was added </w:t>
      </w:r>
      <w:r w:rsidR="00A43EC9">
        <w:rPr>
          <w:rFonts w:eastAsia="Times New Roman"/>
        </w:rPr>
        <w:t>as a predictor</w:t>
      </w:r>
      <w:r w:rsidR="00FD4F02">
        <w:rPr>
          <w:rFonts w:eastAsia="Times New Roman"/>
        </w:rPr>
        <w:t xml:space="preserve">. Thus, it appears that the AAQH is more strongly related to hoarding symptoms than the AAQ-II and accounts </w:t>
      </w:r>
      <w:r w:rsidR="00A43EC9">
        <w:rPr>
          <w:rFonts w:eastAsia="Times New Roman"/>
        </w:rPr>
        <w:t xml:space="preserve">for a large amount of </w:t>
      </w:r>
      <w:r w:rsidR="00FD4F02">
        <w:rPr>
          <w:rFonts w:eastAsia="Times New Roman"/>
        </w:rPr>
        <w:t xml:space="preserve">variance in hoarding symptoms </w:t>
      </w:r>
      <w:r w:rsidR="00A43EC9">
        <w:rPr>
          <w:rFonts w:eastAsia="Times New Roman"/>
        </w:rPr>
        <w:t xml:space="preserve">beyond what is </w:t>
      </w:r>
      <w:r w:rsidR="00FD4F02">
        <w:rPr>
          <w:rFonts w:eastAsia="Times New Roman"/>
        </w:rPr>
        <w:t xml:space="preserve">predicted by a more general measure of inflexibility. </w:t>
      </w:r>
      <w:r w:rsidR="0089589E">
        <w:rPr>
          <w:rFonts w:eastAsia="Times New Roman"/>
        </w:rPr>
        <w:t>All tolerance statistics exceeded</w:t>
      </w:r>
      <w:r w:rsidR="00B55FCF">
        <w:rPr>
          <w:rFonts w:eastAsia="Times New Roman"/>
        </w:rPr>
        <w:t xml:space="preserve"> 0.2, indicating no problematic</w:t>
      </w:r>
      <w:r w:rsidR="00361948">
        <w:rPr>
          <w:rFonts w:eastAsia="Times New Roman"/>
        </w:rPr>
        <w:t xml:space="preserve"> multi</w:t>
      </w:r>
      <w:r w:rsidR="0089589E">
        <w:rPr>
          <w:rFonts w:eastAsia="Times New Roman"/>
        </w:rPr>
        <w:t>collinearity</w:t>
      </w:r>
      <w:r w:rsidR="00C15820">
        <w:rPr>
          <w:rFonts w:eastAsia="Times New Roman"/>
        </w:rPr>
        <w:t>.</w:t>
      </w:r>
    </w:p>
    <w:p w14:paraId="2A280252" w14:textId="77777777" w:rsidR="00EC6A0C" w:rsidRDefault="00210C71" w:rsidP="00467D55">
      <w:pPr>
        <w:spacing w:line="480" w:lineRule="auto"/>
        <w:contextualSpacing/>
        <w:rPr>
          <w:rFonts w:eastAsia="Times New Roman"/>
        </w:rPr>
      </w:pPr>
      <w:r w:rsidRPr="00981D9A">
        <w:rPr>
          <w:rFonts w:eastAsia="Times New Roman"/>
        </w:rPr>
        <w:tab/>
      </w:r>
      <w:r w:rsidR="00B634B1">
        <w:rPr>
          <w:rFonts w:eastAsia="Times New Roman"/>
          <w:b/>
        </w:rPr>
        <w:t xml:space="preserve">Mediational </w:t>
      </w:r>
      <w:r w:rsidR="009D726A">
        <w:rPr>
          <w:rFonts w:eastAsia="Times New Roman"/>
          <w:b/>
        </w:rPr>
        <w:t>a</w:t>
      </w:r>
      <w:r w:rsidR="00B634B1">
        <w:rPr>
          <w:rFonts w:eastAsia="Times New Roman"/>
          <w:b/>
        </w:rPr>
        <w:t xml:space="preserve">nalysis. </w:t>
      </w:r>
      <w:r w:rsidR="00A8236A" w:rsidRPr="00981D9A">
        <w:rPr>
          <w:rFonts w:eastAsia="Times New Roman"/>
        </w:rPr>
        <w:t>As an additional test of construct validity, a mediational analysis was conducted to determine whether or not the AAQH mediates between distress (DASS total) and hoarding symptoms (SI-R total). Theoretically, hoarding behaviors are linked to dis</w:t>
      </w:r>
      <w:r w:rsidR="00FB36FF">
        <w:rPr>
          <w:rFonts w:eastAsia="Times New Roman"/>
        </w:rPr>
        <w:t xml:space="preserve">tressing thoughts and emotions </w:t>
      </w:r>
      <w:r w:rsidR="00FB36FF">
        <w:rPr>
          <w:rFonts w:eastAsia="Times New Roman"/>
        </w:rPr>
        <w:fldChar w:fldCharType="begin" w:fldLock="1"/>
      </w:r>
      <w:r w:rsidR="00FB36FF">
        <w:rPr>
          <w:rFonts w:eastAsia="Times New Roman"/>
        </w:rPr>
        <w:instrText>ADDIN CSL_CITATION { "citationItems" : [ { "id" : "ITEM-1", "itemData" : { "author" : [ { "dropping-particle" : "", "family" : "Frost", "given" : "Randy O.", "non-dropping-particle" : "", "parse-names" : false, "suffix" : "" }, { "dropping-particle" : "", "family" : "Hartl", "given" : "Tamara L.", "non-dropping-particle" : "", "parse-names" : false, "suffix" : "" } ], "container-title" : "Behaviour Research and Therapy", "id" : "ITEM-1", "issued" : { "date-parts" : [ [ "1996" ] ] }, "page" : "341-350", "title" : "A cognitive-behavioral model of compulsive hoarding", "type" : "article-journal", "volume" : "34" }, "uris" : [ "http://www.mendeley.com/documents/?uuid=63c92001-7ce2-44f8-8041-4fc7d5646d13" ] }, { "id" : "ITEM-2", "itemData" : { "DOI" : "10.1016/j.cpr.2003.08.002", "ISBN" : "0272-7358", "ISSN" : "02727358", "PMID" : "14624821", "abstract" : "This article reviews the literature on compulsive hoarding, including the definition and manifestations of the problem and a conceptual model for understanding hoarding behavior. This model addresses information processing deficits (e.g., attention, organization, memory, decision-making), beliefs about and emotional attachments to possessions, and distress and avoidance. Research regarding the diagnostic categorization of hoarding, its course and phenomenology, and evidence to support the model is presented. The limited research on treatment provides evidence that current serotonergic medications for OCD are largely ineffective for treating hoarding, but cognitive and behavioral treatments, especially those focused on deficits identified in the model, have some utility. Recommendations for further research on the psychopathology and treatment of hoarding are provided. ?? 2003 Elsevier Ltd. All rights reserved.", "author" : [ { "dropping-particle" : "", "family" : "Steketee", "given" : "Gail", "non-dropping-particle" : "", "parse-names" : false, "suffix" : "" }, { "dropping-particle" : "", "family" : "Frost", "given" : "Randy", "non-dropping-particle" : "", "parse-names" : false, "suffix" : "" } ], "container-title" : "Clinical Psychology Review", "id" : "ITEM-2", "issued" : { "date-parts" : [ [ "2003" ] ] }, "page" : "905-927", "title" : "Compulsive hoarding: Current status of the research", "type" : "article-journal", "volume" : "23" }, "uris" : [ "http://www.mendeley.com/documents/?uuid=79bcc282-a26a-4a44-8076-e46fa61fe364" ] } ], "mendeley" : { "formattedCitation" : "(Frost &amp; Hartl, 1996; Steketee &amp; Frost, 2003)", "plainTextFormattedCitation" : "(Frost &amp; Hartl, 1996; Steketee &amp; Frost, 2003)", "previouslyFormattedCitation" : "(Frost &amp; Hartl, 1996; Steketee &amp; Frost, 2003)" }, "properties" : { "noteIndex" : 0 }, "schema" : "https://github.com/citation-style-language/schema/raw/master/csl-citation.json" }</w:instrText>
      </w:r>
      <w:r w:rsidR="00FB36FF">
        <w:rPr>
          <w:rFonts w:eastAsia="Times New Roman"/>
        </w:rPr>
        <w:fldChar w:fldCharType="separate"/>
      </w:r>
      <w:r w:rsidR="00FB36FF" w:rsidRPr="00FB36FF">
        <w:rPr>
          <w:rFonts w:eastAsia="Times New Roman"/>
          <w:noProof/>
        </w:rPr>
        <w:t>(Frost &amp; Hartl, 1996; Steketee &amp; Frost, 2003)</w:t>
      </w:r>
      <w:r w:rsidR="00FB36FF">
        <w:rPr>
          <w:rFonts w:eastAsia="Times New Roman"/>
        </w:rPr>
        <w:fldChar w:fldCharType="end"/>
      </w:r>
      <w:r w:rsidR="00A8236A" w:rsidRPr="00981D9A">
        <w:rPr>
          <w:rFonts w:eastAsia="Times New Roman"/>
        </w:rPr>
        <w:t xml:space="preserve">, and </w:t>
      </w:r>
      <w:r w:rsidR="00245B3B" w:rsidRPr="00981D9A">
        <w:rPr>
          <w:rFonts w:eastAsia="Times New Roman"/>
        </w:rPr>
        <w:t>the impact of distressing thoughts and emotions on behavior depend</w:t>
      </w:r>
      <w:r w:rsidR="00315EFD" w:rsidRPr="00981D9A">
        <w:rPr>
          <w:rFonts w:eastAsia="Times New Roman"/>
        </w:rPr>
        <w:t>s</w:t>
      </w:r>
      <w:r w:rsidR="00245B3B" w:rsidRPr="00981D9A">
        <w:rPr>
          <w:rFonts w:eastAsia="Times New Roman"/>
        </w:rPr>
        <w:t xml:space="preserve"> on one’s degree of psychological inflexibility</w:t>
      </w:r>
      <w:r w:rsidR="00FB36FF">
        <w:rPr>
          <w:rFonts w:eastAsia="Times New Roman"/>
        </w:rPr>
        <w:t xml:space="preserve"> </w:t>
      </w:r>
      <w:r w:rsidR="00FB36FF">
        <w:rPr>
          <w:rFonts w:eastAsia="Times New Roman"/>
        </w:rPr>
        <w:fldChar w:fldCharType="begin" w:fldLock="1"/>
      </w:r>
      <w:r w:rsidR="00FB36FF">
        <w:rPr>
          <w:rFonts w:eastAsia="Times New Roman"/>
        </w:rPr>
        <w:instrText>ADDIN CSL_CITATION { "citationItems" : [ { "id" : "ITEM-1", "itemData" : { "DOI" : "10.1016/j.beth.2011.03.007", "ISBN" : "0005-7894", "ISSN" : "00057894", "PMID" : "22035996", "abstract" : "The present research describes the development and psychometric evaluation of a second version of the Acceptance and Action Questionnaire (AAQ-II), which assesses the construct referred to as, variously, acceptance, experiential avoidance, and psychological inflexibility. Results from 2,816 participants across six samples indicate the satisfactory structure, reliability, and validity of this measure. For example, the mean alpha coefficient is .84 (.78-.88), and the 3- and 12-month test-retest reliability is .81 and .79, respectively. Results indicate that AAQ-II scores concurrently, longitudinally, and incrementally predict a range of outcomes, from mental health to work absence rates, that are consistent with its underlying theory. The AAQ-II also demonstrates appropriate discriminant validity. The AAQ-II appears to measure the same concept as the AAQ-I (r=.97) but with better psychometric consistency. \u00a9 2011.", "author" : [ { "dropping-particle" : "", "family" : "Bond", "given" : "Frank W.", "non-dropping-particle" : "", "parse-names" : false, "suffix" : "" }, { "dropping-particle" : "", "family" : "Hayes", "given" : "Steven C.", "non-dropping-particle" : "", "parse-names" : false, "suffix" : "" }, { "dropping-particle" : "", "family" : "Baer", "given" : "Ruth A.", "non-dropping-particle" : "", "parse-names" : false, "suffix" : "" }, { "dropping-particle" : "", "family" : "Carpenter", "given" : "Kenneth M.", "non-dropping-particle" : "", "parse-names" : false, "suffix" : "" }, { "dropping-particle" : "", "family" : "Guenole", "given" : "Nigel", "non-dropping-particle" : "", "parse-names" : false, "suffix" : "" }, { "dropping-particle" : "", "family" : "Orcutt", "given" : "Holly K.", "non-dropping-particle" : "", "parse-names" : false, "suffix" : "" }, { "dropping-particle" : "", "family" : "Waltz", "given" : "Tom", "non-dropping-particle" : "", "parse-names" : false, "suffix" : "" }, { "dropping-particle" : "", "family" : "Zettle", "given" : "Robert D.", "non-dropping-particle" : "", "parse-names" : false, "suffix" : "" } ], "container-title" : "Behavior Therapy", "id" : "ITEM-1", "issued" : { "date-parts" : [ [ "2011" ] ] }, "page" : "676-688", "publisher" : "Elsevier B.V.", "title" : "Preliminary psychometric properties of the Acceptance and Action Questionnaire-II: A revised measure of psychological inflexibility and experiential avoidance", "type" : "article-journal", "volume" : "42" }, "uris" : [ "http://www.mendeley.com/documents/?uuid=c525203b-e6dc-466f-abf6-e13ef29ed472" ] } ], "mendeley" : { "formattedCitation" : "(Bond et al., 2011)", "plainTextFormattedCitation" : "(Bond et al., 2011)", "previouslyFormattedCitation" : "(Bond et al., 2011)" }, "properties" : { "noteIndex" : 0 }, "schema" : "https://github.com/citation-style-language/schema/raw/master/csl-citation.json" }</w:instrText>
      </w:r>
      <w:r w:rsidR="00FB36FF">
        <w:rPr>
          <w:rFonts w:eastAsia="Times New Roman"/>
        </w:rPr>
        <w:fldChar w:fldCharType="separate"/>
      </w:r>
      <w:r w:rsidR="00FB36FF" w:rsidRPr="00FB36FF">
        <w:rPr>
          <w:rFonts w:eastAsia="Times New Roman"/>
          <w:noProof/>
        </w:rPr>
        <w:t>(Bond et al., 2011)</w:t>
      </w:r>
      <w:r w:rsidR="00FB36FF">
        <w:rPr>
          <w:rFonts w:eastAsia="Times New Roman"/>
        </w:rPr>
        <w:fldChar w:fldCharType="end"/>
      </w:r>
      <w:r w:rsidR="00A8236A" w:rsidRPr="00981D9A">
        <w:rPr>
          <w:rFonts w:eastAsia="Times New Roman"/>
        </w:rPr>
        <w:t xml:space="preserve">. Thus, </w:t>
      </w:r>
      <w:r w:rsidR="0004768B" w:rsidRPr="00981D9A">
        <w:rPr>
          <w:rFonts w:eastAsia="Times New Roman"/>
        </w:rPr>
        <w:t xml:space="preserve">we would expect </w:t>
      </w:r>
      <w:r w:rsidR="00A8236A" w:rsidRPr="00981D9A">
        <w:rPr>
          <w:rFonts w:eastAsia="Times New Roman"/>
        </w:rPr>
        <w:t xml:space="preserve">the </w:t>
      </w:r>
      <w:r w:rsidR="00245B3B" w:rsidRPr="00981D9A">
        <w:rPr>
          <w:rFonts w:eastAsia="Times New Roman"/>
        </w:rPr>
        <w:t xml:space="preserve">relationship between distress and hoarding symptoms </w:t>
      </w:r>
      <w:r w:rsidR="0004768B" w:rsidRPr="00981D9A">
        <w:rPr>
          <w:rFonts w:eastAsia="Times New Roman"/>
        </w:rPr>
        <w:t xml:space="preserve">to </w:t>
      </w:r>
      <w:r w:rsidR="00245B3B" w:rsidRPr="00981D9A">
        <w:rPr>
          <w:rFonts w:eastAsia="Times New Roman"/>
        </w:rPr>
        <w:t xml:space="preserve">be mediated by </w:t>
      </w:r>
      <w:r w:rsidR="00315EFD" w:rsidRPr="00981D9A">
        <w:rPr>
          <w:rFonts w:eastAsia="Times New Roman"/>
        </w:rPr>
        <w:t xml:space="preserve">hoarding-related </w:t>
      </w:r>
      <w:r w:rsidR="00245B3B" w:rsidRPr="00981D9A">
        <w:rPr>
          <w:rFonts w:eastAsia="Times New Roman"/>
        </w:rPr>
        <w:t xml:space="preserve">psychological </w:t>
      </w:r>
      <w:r w:rsidR="00775A8C" w:rsidRPr="00981D9A">
        <w:rPr>
          <w:rFonts w:eastAsia="Times New Roman"/>
        </w:rPr>
        <w:t>in</w:t>
      </w:r>
      <w:r w:rsidR="00245B3B" w:rsidRPr="00981D9A">
        <w:rPr>
          <w:rFonts w:eastAsia="Times New Roman"/>
        </w:rPr>
        <w:t xml:space="preserve">flexibility. </w:t>
      </w:r>
    </w:p>
    <w:p w14:paraId="5BEDD875" w14:textId="0CC8D754" w:rsidR="00A60025" w:rsidRPr="00D20006" w:rsidRDefault="00032773" w:rsidP="006D1E0F">
      <w:pPr>
        <w:spacing w:line="480" w:lineRule="auto"/>
        <w:ind w:firstLine="720"/>
        <w:contextualSpacing/>
        <w:rPr>
          <w:rFonts w:eastAsia="Times New Roman"/>
        </w:rPr>
      </w:pPr>
      <w:r w:rsidRPr="00981D9A">
        <w:rPr>
          <w:rFonts w:eastAsia="Times New Roman"/>
        </w:rPr>
        <w:t xml:space="preserve">First, </w:t>
      </w:r>
      <w:r w:rsidR="00DF4C15" w:rsidRPr="00981D9A">
        <w:rPr>
          <w:rFonts w:eastAsia="Times New Roman"/>
        </w:rPr>
        <w:t>the total effect of distress on hoarding symptoms was calculated</w:t>
      </w:r>
      <w:r w:rsidRPr="00981D9A">
        <w:rPr>
          <w:rFonts w:eastAsia="Times New Roman"/>
        </w:rPr>
        <w:t xml:space="preserve"> (</w:t>
      </w:r>
      <w:r w:rsidR="00DF4C15" w:rsidRPr="00981D9A">
        <w:rPr>
          <w:rFonts w:eastAsia="Times New Roman"/>
        </w:rPr>
        <w:t xml:space="preserve">c path: </w:t>
      </w:r>
      <w:r w:rsidR="00315EFD" w:rsidRPr="00044930">
        <w:rPr>
          <w:rFonts w:eastAsia="Times New Roman"/>
          <w:i/>
        </w:rPr>
        <w:t>B</w:t>
      </w:r>
      <w:r w:rsidR="00044930">
        <w:rPr>
          <w:rFonts w:eastAsia="Times New Roman"/>
        </w:rPr>
        <w:t xml:space="preserve"> </w:t>
      </w:r>
      <w:r w:rsidR="00315EFD" w:rsidRPr="00981D9A">
        <w:rPr>
          <w:rFonts w:eastAsia="Times New Roman"/>
        </w:rPr>
        <w:t>=</w:t>
      </w:r>
      <w:r w:rsidR="00044930">
        <w:rPr>
          <w:rFonts w:eastAsia="Times New Roman"/>
        </w:rPr>
        <w:t xml:space="preserve"> </w:t>
      </w:r>
      <w:r w:rsidR="00315EFD" w:rsidRPr="00981D9A">
        <w:rPr>
          <w:rFonts w:eastAsia="Times New Roman"/>
        </w:rPr>
        <w:t>0.</w:t>
      </w:r>
      <w:r w:rsidR="00705091">
        <w:rPr>
          <w:rFonts w:eastAsia="Times New Roman"/>
        </w:rPr>
        <w:t>24</w:t>
      </w:r>
      <w:r w:rsidR="000369B1" w:rsidRPr="00981D9A">
        <w:rPr>
          <w:rFonts w:eastAsia="Times New Roman"/>
        </w:rPr>
        <w:t xml:space="preserve">, </w:t>
      </w:r>
      <w:r w:rsidR="00315EFD" w:rsidRPr="00044930">
        <w:rPr>
          <w:rFonts w:eastAsia="Times New Roman"/>
          <w:i/>
        </w:rPr>
        <w:t>SE</w:t>
      </w:r>
      <w:r w:rsidR="00044930">
        <w:rPr>
          <w:rFonts w:eastAsia="Times New Roman"/>
        </w:rPr>
        <w:t xml:space="preserve"> </w:t>
      </w:r>
      <w:r w:rsidR="00315EFD" w:rsidRPr="00981D9A">
        <w:rPr>
          <w:rFonts w:eastAsia="Times New Roman"/>
        </w:rPr>
        <w:t>=</w:t>
      </w:r>
      <w:r w:rsidR="00044930">
        <w:rPr>
          <w:rFonts w:eastAsia="Times New Roman"/>
        </w:rPr>
        <w:t xml:space="preserve"> </w:t>
      </w:r>
      <w:r w:rsidR="00315EFD" w:rsidRPr="00981D9A">
        <w:rPr>
          <w:rFonts w:eastAsia="Times New Roman"/>
        </w:rPr>
        <w:t>0.0</w:t>
      </w:r>
      <w:r w:rsidR="00B22395">
        <w:rPr>
          <w:rFonts w:eastAsia="Times New Roman"/>
        </w:rPr>
        <w:t>6</w:t>
      </w:r>
      <w:r w:rsidRPr="00981D9A">
        <w:rPr>
          <w:rFonts w:eastAsia="Times New Roman"/>
        </w:rPr>
        <w:t xml:space="preserve">, </w:t>
      </w:r>
      <w:r w:rsidRPr="00044930">
        <w:rPr>
          <w:rFonts w:eastAsia="Times New Roman"/>
          <w:i/>
        </w:rPr>
        <w:t>p</w:t>
      </w:r>
      <w:r w:rsidR="00CC1396">
        <w:rPr>
          <w:rFonts w:eastAsia="Times New Roman"/>
          <w:i/>
        </w:rPr>
        <w:t xml:space="preserve"> </w:t>
      </w:r>
      <w:r w:rsidRPr="00981D9A">
        <w:rPr>
          <w:rFonts w:eastAsia="Times New Roman"/>
        </w:rPr>
        <w:t>&lt;</w:t>
      </w:r>
      <w:r w:rsidR="00CC1396">
        <w:rPr>
          <w:rFonts w:eastAsia="Times New Roman"/>
        </w:rPr>
        <w:t xml:space="preserve"> </w:t>
      </w:r>
      <w:r w:rsidRPr="00981D9A">
        <w:rPr>
          <w:rFonts w:eastAsia="Times New Roman"/>
        </w:rPr>
        <w:t>.001)</w:t>
      </w:r>
      <w:r w:rsidR="00EC6A0C">
        <w:rPr>
          <w:rFonts w:eastAsia="Times New Roman"/>
        </w:rPr>
        <w:t xml:space="preserve">, which indicated that greater distress </w:t>
      </w:r>
      <w:r w:rsidR="00CC1396">
        <w:rPr>
          <w:rFonts w:eastAsia="Times New Roman"/>
        </w:rPr>
        <w:t xml:space="preserve">was </w:t>
      </w:r>
      <w:r w:rsidR="00EC6A0C">
        <w:rPr>
          <w:rFonts w:eastAsia="Times New Roman"/>
        </w:rPr>
        <w:t>related to greater hoarding symptoms</w:t>
      </w:r>
      <w:r w:rsidR="00DF4C15" w:rsidRPr="00981D9A">
        <w:rPr>
          <w:rFonts w:eastAsia="Times New Roman"/>
        </w:rPr>
        <w:t>.</w:t>
      </w:r>
      <w:r w:rsidRPr="00981D9A">
        <w:rPr>
          <w:rFonts w:eastAsia="Times New Roman"/>
        </w:rPr>
        <w:t xml:space="preserve"> </w:t>
      </w:r>
      <w:r w:rsidR="00DF4C15" w:rsidRPr="00981D9A">
        <w:rPr>
          <w:rFonts w:eastAsia="Times New Roman"/>
        </w:rPr>
        <w:t>Next,</w:t>
      </w:r>
      <w:r w:rsidR="007C6A03" w:rsidRPr="00981D9A">
        <w:rPr>
          <w:rFonts w:eastAsia="Times New Roman"/>
        </w:rPr>
        <w:t xml:space="preserve"> </w:t>
      </w:r>
      <w:r w:rsidR="00DF4C15" w:rsidRPr="00981D9A">
        <w:rPr>
          <w:rFonts w:eastAsia="Times New Roman"/>
        </w:rPr>
        <w:t xml:space="preserve">a </w:t>
      </w:r>
      <w:r w:rsidR="00EC6A0C">
        <w:rPr>
          <w:rFonts w:eastAsia="Times New Roman"/>
        </w:rPr>
        <w:t xml:space="preserve">cross product of coefficients </w:t>
      </w:r>
      <w:r w:rsidR="007C6A03" w:rsidRPr="00981D9A">
        <w:rPr>
          <w:rFonts w:eastAsia="Times New Roman"/>
        </w:rPr>
        <w:t>mediation model was used to estimate path coefficients and bootstrap</w:t>
      </w:r>
      <w:r w:rsidR="00EC6A0C">
        <w:rPr>
          <w:rFonts w:eastAsia="Times New Roman"/>
        </w:rPr>
        <w:t>ped</w:t>
      </w:r>
      <w:r w:rsidR="007C6A03" w:rsidRPr="00981D9A">
        <w:rPr>
          <w:rFonts w:eastAsia="Times New Roman"/>
        </w:rPr>
        <w:t xml:space="preserve"> 95% confidence intervals</w:t>
      </w:r>
      <w:r w:rsidR="00DF3F4F" w:rsidRPr="00981D9A">
        <w:rPr>
          <w:rFonts w:eastAsia="Times New Roman"/>
        </w:rPr>
        <w:t xml:space="preserve"> for the total and indirect effects of distress on hoarding in the current sample.</w:t>
      </w:r>
      <w:r w:rsidRPr="00981D9A">
        <w:rPr>
          <w:rFonts w:eastAsia="Times New Roman"/>
        </w:rPr>
        <w:t xml:space="preserve"> </w:t>
      </w:r>
      <w:r w:rsidR="00DF4C15" w:rsidRPr="00981D9A">
        <w:rPr>
          <w:rFonts w:eastAsia="Times New Roman"/>
        </w:rPr>
        <w:t>Hoarding-related psychological inflexibility significantly mediate</w:t>
      </w:r>
      <w:r w:rsidR="0004768B" w:rsidRPr="00981D9A">
        <w:rPr>
          <w:rFonts w:eastAsia="Times New Roman"/>
        </w:rPr>
        <w:t>d</w:t>
      </w:r>
      <w:r w:rsidR="00DF4C15" w:rsidRPr="00981D9A">
        <w:rPr>
          <w:rFonts w:eastAsia="Times New Roman"/>
        </w:rPr>
        <w:t xml:space="preserve"> the effect of distress on hoarding symptoms (indirect effect</w:t>
      </w:r>
      <w:r w:rsidR="00044930">
        <w:rPr>
          <w:rFonts w:eastAsia="Times New Roman"/>
        </w:rPr>
        <w:t xml:space="preserve"> </w:t>
      </w:r>
      <w:r w:rsidR="00DF4C15" w:rsidRPr="00981D9A">
        <w:rPr>
          <w:rFonts w:eastAsia="Times New Roman"/>
        </w:rPr>
        <w:t>=</w:t>
      </w:r>
      <w:r w:rsidR="00044930">
        <w:rPr>
          <w:rFonts w:eastAsia="Times New Roman"/>
        </w:rPr>
        <w:t xml:space="preserve"> </w:t>
      </w:r>
      <w:r w:rsidR="00DF4C15" w:rsidRPr="00981D9A">
        <w:rPr>
          <w:rFonts w:eastAsia="Times New Roman"/>
        </w:rPr>
        <w:t>0.1</w:t>
      </w:r>
      <w:r w:rsidR="00705091">
        <w:rPr>
          <w:rFonts w:eastAsia="Times New Roman"/>
        </w:rPr>
        <w:t>2</w:t>
      </w:r>
      <w:r w:rsidR="00DF4C15" w:rsidRPr="00981D9A">
        <w:rPr>
          <w:rFonts w:eastAsia="Times New Roman"/>
        </w:rPr>
        <w:t xml:space="preserve">, </w:t>
      </w:r>
      <w:r w:rsidR="00315EFD" w:rsidRPr="00044930">
        <w:rPr>
          <w:rFonts w:eastAsia="Times New Roman"/>
          <w:i/>
        </w:rPr>
        <w:t>SE</w:t>
      </w:r>
      <w:r w:rsidR="00044930">
        <w:rPr>
          <w:rFonts w:eastAsia="Times New Roman"/>
          <w:i/>
        </w:rPr>
        <w:t xml:space="preserve"> </w:t>
      </w:r>
      <w:r w:rsidR="00315EFD" w:rsidRPr="00981D9A">
        <w:rPr>
          <w:rFonts w:eastAsia="Times New Roman"/>
        </w:rPr>
        <w:t>=</w:t>
      </w:r>
      <w:r w:rsidR="00044930">
        <w:rPr>
          <w:rFonts w:eastAsia="Times New Roman"/>
        </w:rPr>
        <w:t xml:space="preserve"> </w:t>
      </w:r>
      <w:r w:rsidR="00315EFD" w:rsidRPr="00981D9A">
        <w:rPr>
          <w:rFonts w:eastAsia="Times New Roman"/>
        </w:rPr>
        <w:t xml:space="preserve">0.05, </w:t>
      </w:r>
      <w:r w:rsidR="00DF4C15" w:rsidRPr="00981D9A">
        <w:rPr>
          <w:rFonts w:eastAsia="Times New Roman"/>
        </w:rPr>
        <w:t>95% CI [.0</w:t>
      </w:r>
      <w:r w:rsidR="00705091">
        <w:rPr>
          <w:rFonts w:eastAsia="Times New Roman"/>
        </w:rPr>
        <w:t>4</w:t>
      </w:r>
      <w:r w:rsidR="00DF4C15" w:rsidRPr="00981D9A">
        <w:rPr>
          <w:rFonts w:eastAsia="Times New Roman"/>
        </w:rPr>
        <w:t>, .2</w:t>
      </w:r>
      <w:r w:rsidR="00705091">
        <w:rPr>
          <w:rFonts w:eastAsia="Times New Roman"/>
        </w:rPr>
        <w:t>0</w:t>
      </w:r>
      <w:r w:rsidR="00DF4C15" w:rsidRPr="00981D9A">
        <w:rPr>
          <w:rFonts w:eastAsia="Times New Roman"/>
        </w:rPr>
        <w:t xml:space="preserve">]). </w:t>
      </w:r>
      <w:r w:rsidR="00EC6A0C">
        <w:rPr>
          <w:rFonts w:eastAsia="Times New Roman"/>
        </w:rPr>
        <w:t>When including this mediational path, th</w:t>
      </w:r>
      <w:r w:rsidR="00DF4C15" w:rsidRPr="00981D9A">
        <w:rPr>
          <w:rFonts w:eastAsia="Times New Roman"/>
        </w:rPr>
        <w:t xml:space="preserve">e </w:t>
      </w:r>
      <w:r w:rsidR="00315EFD" w:rsidRPr="00981D9A">
        <w:rPr>
          <w:rFonts w:eastAsia="Times New Roman"/>
        </w:rPr>
        <w:t xml:space="preserve">direct </w:t>
      </w:r>
      <w:r w:rsidR="00DF4C15" w:rsidRPr="00981D9A">
        <w:rPr>
          <w:rFonts w:eastAsia="Times New Roman"/>
        </w:rPr>
        <w:t xml:space="preserve">effect of distress on hoarding symptoms decreased </w:t>
      </w:r>
      <w:r w:rsidR="00AA604B">
        <w:rPr>
          <w:rFonts w:eastAsia="Times New Roman"/>
        </w:rPr>
        <w:t xml:space="preserve">but remained significant </w:t>
      </w:r>
      <w:r w:rsidR="00DF4C15" w:rsidRPr="00981D9A">
        <w:rPr>
          <w:rFonts w:eastAsia="Times New Roman"/>
        </w:rPr>
        <w:t xml:space="preserve">(c’ path, </w:t>
      </w:r>
      <w:r w:rsidR="00044930">
        <w:rPr>
          <w:rFonts w:eastAsia="Times New Roman"/>
          <w:i/>
        </w:rPr>
        <w:t xml:space="preserve">B </w:t>
      </w:r>
      <w:r w:rsidR="00DF4C15" w:rsidRPr="00981D9A">
        <w:rPr>
          <w:rFonts w:eastAsia="Times New Roman"/>
        </w:rPr>
        <w:t>=</w:t>
      </w:r>
      <w:r w:rsidR="00044930">
        <w:rPr>
          <w:rFonts w:eastAsia="Times New Roman"/>
        </w:rPr>
        <w:t xml:space="preserve"> 0</w:t>
      </w:r>
      <w:r w:rsidR="00DF4C15" w:rsidRPr="00981D9A">
        <w:rPr>
          <w:rFonts w:eastAsia="Times New Roman"/>
        </w:rPr>
        <w:t>.</w:t>
      </w:r>
      <w:r w:rsidR="00705091">
        <w:rPr>
          <w:rFonts w:eastAsia="Times New Roman"/>
        </w:rPr>
        <w:t>11</w:t>
      </w:r>
      <w:r w:rsidR="00DF4C15" w:rsidRPr="00981D9A">
        <w:rPr>
          <w:rFonts w:eastAsia="Times New Roman"/>
        </w:rPr>
        <w:t xml:space="preserve">, </w:t>
      </w:r>
      <w:r w:rsidR="00DF4C15" w:rsidRPr="00044930">
        <w:rPr>
          <w:rFonts w:eastAsia="Times New Roman"/>
          <w:i/>
        </w:rPr>
        <w:t>SE</w:t>
      </w:r>
      <w:r w:rsidR="00044930">
        <w:rPr>
          <w:rFonts w:eastAsia="Times New Roman"/>
          <w:i/>
        </w:rPr>
        <w:t xml:space="preserve"> </w:t>
      </w:r>
      <w:r w:rsidR="00DF4C15" w:rsidRPr="00981D9A">
        <w:rPr>
          <w:rFonts w:eastAsia="Times New Roman"/>
        </w:rPr>
        <w:t>=</w:t>
      </w:r>
      <w:r w:rsidR="00044930">
        <w:rPr>
          <w:rFonts w:eastAsia="Times New Roman"/>
        </w:rPr>
        <w:t xml:space="preserve"> 0</w:t>
      </w:r>
      <w:r w:rsidR="00DF4C15" w:rsidRPr="00981D9A">
        <w:rPr>
          <w:rFonts w:eastAsia="Times New Roman"/>
        </w:rPr>
        <w:t xml:space="preserve">.05, </w:t>
      </w:r>
      <w:r w:rsidR="00D20006">
        <w:rPr>
          <w:rFonts w:eastAsia="Times New Roman"/>
          <w:i/>
        </w:rPr>
        <w:t xml:space="preserve">p </w:t>
      </w:r>
      <w:r w:rsidR="00D20006">
        <w:rPr>
          <w:rFonts w:eastAsia="Times New Roman"/>
        </w:rPr>
        <w:t>= .0</w:t>
      </w:r>
      <w:r w:rsidR="00705091">
        <w:rPr>
          <w:rFonts w:eastAsia="Times New Roman"/>
        </w:rPr>
        <w:t>2</w:t>
      </w:r>
      <w:r w:rsidR="00D33B95">
        <w:rPr>
          <w:rFonts w:eastAsia="Times New Roman"/>
        </w:rPr>
        <w:t>; see Figure 2</w:t>
      </w:r>
      <w:r w:rsidR="00D20006">
        <w:rPr>
          <w:rFonts w:eastAsia="Times New Roman"/>
        </w:rPr>
        <w:t>).</w:t>
      </w:r>
    </w:p>
    <w:p w14:paraId="675BE2D3" w14:textId="77777777" w:rsidR="006B0FB5" w:rsidRPr="004557B7" w:rsidRDefault="005D7A9F" w:rsidP="00335D78">
      <w:pPr>
        <w:spacing w:line="480" w:lineRule="auto"/>
        <w:contextualSpacing/>
        <w:jc w:val="center"/>
        <w:rPr>
          <w:b/>
          <w:color w:val="000000"/>
        </w:rPr>
      </w:pPr>
      <w:r w:rsidRPr="004557B7">
        <w:rPr>
          <w:b/>
          <w:color w:val="000000"/>
        </w:rPr>
        <w:t>Discussion</w:t>
      </w:r>
    </w:p>
    <w:p w14:paraId="4B19B9C1" w14:textId="2A1D91DD" w:rsidR="00FF4A00" w:rsidRDefault="00FF4A00" w:rsidP="00FF4A00">
      <w:pPr>
        <w:spacing w:line="480" w:lineRule="auto"/>
        <w:contextualSpacing/>
        <w:rPr>
          <w:color w:val="000000"/>
        </w:rPr>
      </w:pPr>
      <w:r>
        <w:rPr>
          <w:color w:val="000000"/>
        </w:rPr>
        <w:tab/>
        <w:t xml:space="preserve">This study sought to develop a measure of hoarding-related psychological </w:t>
      </w:r>
      <w:r w:rsidR="002E5CB3">
        <w:rPr>
          <w:color w:val="000000"/>
        </w:rPr>
        <w:t>in</w:t>
      </w:r>
      <w:r>
        <w:rPr>
          <w:color w:val="000000"/>
        </w:rPr>
        <w:t>flexibility</w:t>
      </w:r>
      <w:r w:rsidR="005A713D">
        <w:rPr>
          <w:color w:val="000000"/>
        </w:rPr>
        <w:t xml:space="preserve"> and provide a preliminary evaluation of its psychometric properties</w:t>
      </w:r>
      <w:r w:rsidR="001F0F36">
        <w:rPr>
          <w:color w:val="000000"/>
        </w:rPr>
        <w:t xml:space="preserve"> in a sample of 201 undergraduate students endorsing above-average levels of hoarding symptoms</w:t>
      </w:r>
      <w:r w:rsidR="005A713D">
        <w:rPr>
          <w:color w:val="000000"/>
        </w:rPr>
        <w:t xml:space="preserve">. </w:t>
      </w:r>
      <w:r w:rsidR="005B483F">
        <w:rPr>
          <w:color w:val="000000"/>
        </w:rPr>
        <w:t>A single factor solution was expected</w:t>
      </w:r>
      <w:r w:rsidR="007665D6">
        <w:rPr>
          <w:color w:val="000000"/>
        </w:rPr>
        <w:t xml:space="preserve"> based on previous </w:t>
      </w:r>
      <w:r w:rsidR="00224CD5">
        <w:rPr>
          <w:color w:val="000000"/>
        </w:rPr>
        <w:t xml:space="preserve">domain-specific </w:t>
      </w:r>
      <w:r w:rsidR="007665D6">
        <w:rPr>
          <w:color w:val="000000"/>
        </w:rPr>
        <w:t>AAQ variants</w:t>
      </w:r>
      <w:r w:rsidR="0048134F">
        <w:rPr>
          <w:color w:val="000000"/>
        </w:rPr>
        <w:t xml:space="preserve"> often finding one factor or a second factor only for reverse scored items</w:t>
      </w:r>
      <w:r w:rsidR="007665D6">
        <w:rPr>
          <w:color w:val="000000"/>
        </w:rPr>
        <w:t xml:space="preserve"> </w:t>
      </w:r>
      <w:r w:rsidR="005B483F">
        <w:rPr>
          <w:color w:val="000000"/>
        </w:rPr>
        <w:t>(</w:t>
      </w:r>
      <w:r w:rsidR="00293E01">
        <w:rPr>
          <w:color w:val="000000"/>
        </w:rPr>
        <w:t>e.g.,</w:t>
      </w:r>
      <w:r w:rsidR="0048134F">
        <w:rPr>
          <w:color w:val="000000"/>
        </w:rPr>
        <w:t xml:space="preserve"> Luoma et al., 2011;</w:t>
      </w:r>
      <w:r w:rsidR="00293E01">
        <w:rPr>
          <w:color w:val="000000"/>
        </w:rPr>
        <w:t xml:space="preserve"> </w:t>
      </w:r>
      <w:r w:rsidR="0048134F">
        <w:rPr>
          <w:color w:val="000000"/>
        </w:rPr>
        <w:t xml:space="preserve">MacKenzie &amp; Kocovski, 2010; </w:t>
      </w:r>
      <w:r w:rsidR="00293E01">
        <w:rPr>
          <w:color w:val="000000"/>
        </w:rPr>
        <w:t>Sandoz et al., 2013</w:t>
      </w:r>
      <w:r w:rsidR="005B483F">
        <w:rPr>
          <w:color w:val="000000"/>
        </w:rPr>
        <w:t>) and the fact that all items were designed to measure facets of one overarching construct, psychological inflexibility (</w:t>
      </w:r>
      <w:r w:rsidR="0048134F">
        <w:rPr>
          <w:color w:val="000000"/>
        </w:rPr>
        <w:t>Hayes et al., 2006</w:t>
      </w:r>
      <w:r w:rsidR="005B483F">
        <w:rPr>
          <w:color w:val="000000"/>
        </w:rPr>
        <w:t>)</w:t>
      </w:r>
      <w:r w:rsidR="007665D6">
        <w:rPr>
          <w:color w:val="000000"/>
        </w:rPr>
        <w:t>.</w:t>
      </w:r>
      <w:r w:rsidR="0041605B">
        <w:rPr>
          <w:color w:val="000000"/>
        </w:rPr>
        <w:t xml:space="preserve"> However, other structures were also plausible given that</w:t>
      </w:r>
      <w:r w:rsidR="006F2BE7">
        <w:rPr>
          <w:color w:val="000000"/>
        </w:rPr>
        <w:t xml:space="preserve"> 1)</w:t>
      </w:r>
      <w:r w:rsidR="0041605B">
        <w:rPr>
          <w:color w:val="000000"/>
        </w:rPr>
        <w:t xml:space="preserve"> </w:t>
      </w:r>
      <w:r w:rsidR="006F2BE7">
        <w:rPr>
          <w:color w:val="000000"/>
        </w:rPr>
        <w:t>items measured multiple components of hoarding (difficulty discarding, clutter, and acquisi</w:t>
      </w:r>
      <w:r w:rsidR="003727A7">
        <w:rPr>
          <w:color w:val="000000"/>
        </w:rPr>
        <w:t>tion; Frost et al.</w:t>
      </w:r>
      <w:r w:rsidR="006F2BE7">
        <w:rPr>
          <w:color w:val="000000"/>
        </w:rPr>
        <w:t xml:space="preserve">, 2004) and 2) </w:t>
      </w:r>
      <w:r w:rsidR="0041605B">
        <w:rPr>
          <w:color w:val="000000"/>
        </w:rPr>
        <w:t xml:space="preserve">items measured different facets of psychological inflexibility and some multifaceted psychological inflexibility measures have </w:t>
      </w:r>
      <w:r w:rsidR="00F053D9">
        <w:rPr>
          <w:color w:val="000000"/>
        </w:rPr>
        <w:t>been found to have</w:t>
      </w:r>
      <w:r w:rsidR="0041605B">
        <w:rPr>
          <w:color w:val="000000"/>
        </w:rPr>
        <w:t xml:space="preserve"> multiple, clearly differentiated factors (</w:t>
      </w:r>
      <w:r w:rsidR="003727A7">
        <w:rPr>
          <w:color w:val="000000"/>
        </w:rPr>
        <w:t>Francis, Dawson, &amp; Golijani-Moghaddam, 2016</w:t>
      </w:r>
      <w:r w:rsidR="0041605B">
        <w:rPr>
          <w:color w:val="000000"/>
        </w:rPr>
        <w:t xml:space="preserve">). </w:t>
      </w:r>
      <w:r w:rsidR="00756EBA">
        <w:rPr>
          <w:color w:val="000000"/>
        </w:rPr>
        <w:t xml:space="preserve">A two-factor solution was selected </w:t>
      </w:r>
      <w:r w:rsidR="00C402A3">
        <w:rPr>
          <w:color w:val="000000"/>
        </w:rPr>
        <w:t>following exploratory factor analysis</w:t>
      </w:r>
      <w:r w:rsidR="004A6D4A">
        <w:rPr>
          <w:color w:val="000000"/>
        </w:rPr>
        <w:t xml:space="preserve"> </w:t>
      </w:r>
      <w:r w:rsidR="00DD1CCE">
        <w:rPr>
          <w:color w:val="000000"/>
        </w:rPr>
        <w:t>with the factors reflecting</w:t>
      </w:r>
      <w:r w:rsidR="00756EBA">
        <w:rPr>
          <w:color w:val="000000"/>
        </w:rPr>
        <w:t xml:space="preserve"> psychological inflexibility related to </w:t>
      </w:r>
      <w:r w:rsidR="0033107C">
        <w:rPr>
          <w:color w:val="000000"/>
        </w:rPr>
        <w:t>difficulty</w:t>
      </w:r>
      <w:r w:rsidR="00756EBA">
        <w:rPr>
          <w:color w:val="000000"/>
        </w:rPr>
        <w:t xml:space="preserve"> discarding items (</w:t>
      </w:r>
      <w:r w:rsidR="00592BEC">
        <w:rPr>
          <w:color w:val="000000"/>
        </w:rPr>
        <w:t>Saving</w:t>
      </w:r>
      <w:r w:rsidR="00756EBA">
        <w:rPr>
          <w:color w:val="000000"/>
        </w:rPr>
        <w:t xml:space="preserve"> subscale) and psychological inflexibility related to acquiring and owning belongings</w:t>
      </w:r>
      <w:r w:rsidR="00F6241B">
        <w:rPr>
          <w:color w:val="000000"/>
        </w:rPr>
        <w:t xml:space="preserve"> (Acquisition</w:t>
      </w:r>
      <w:r w:rsidR="00756EBA">
        <w:rPr>
          <w:color w:val="000000"/>
        </w:rPr>
        <w:t xml:space="preserve"> subscale)</w:t>
      </w:r>
      <w:r w:rsidR="002E5CB3">
        <w:rPr>
          <w:color w:val="000000"/>
        </w:rPr>
        <w:t xml:space="preserve">. </w:t>
      </w:r>
      <w:r w:rsidR="0033107C">
        <w:rPr>
          <w:color w:val="000000"/>
        </w:rPr>
        <w:t>Fourteen</w:t>
      </w:r>
      <w:r w:rsidR="00756EBA">
        <w:rPr>
          <w:color w:val="000000"/>
        </w:rPr>
        <w:t xml:space="preserve"> </w:t>
      </w:r>
      <w:r w:rsidR="002E5CB3">
        <w:rPr>
          <w:color w:val="000000"/>
        </w:rPr>
        <w:t xml:space="preserve">items were retained for the final AAQH, and the measure was found to have </w:t>
      </w:r>
      <w:r w:rsidR="00DD1CCE">
        <w:rPr>
          <w:color w:val="000000"/>
        </w:rPr>
        <w:t xml:space="preserve">excellent </w:t>
      </w:r>
      <w:r w:rsidR="002E5CB3">
        <w:rPr>
          <w:color w:val="000000"/>
        </w:rPr>
        <w:t xml:space="preserve">internal consistency in the present sample. </w:t>
      </w:r>
    </w:p>
    <w:p w14:paraId="34F7F9AE" w14:textId="4F618A1F" w:rsidR="002E5CB3" w:rsidRDefault="002E5CB3" w:rsidP="002E5CB3">
      <w:pPr>
        <w:spacing w:line="480" w:lineRule="auto"/>
        <w:contextualSpacing/>
        <w:rPr>
          <w:color w:val="000000"/>
        </w:rPr>
      </w:pPr>
      <w:r>
        <w:rPr>
          <w:color w:val="000000"/>
        </w:rPr>
        <w:tab/>
        <w:t>The AAQH correlat</w:t>
      </w:r>
      <w:r w:rsidR="00F53914">
        <w:rPr>
          <w:color w:val="000000"/>
        </w:rPr>
        <w:t>ed</w:t>
      </w:r>
      <w:r>
        <w:rPr>
          <w:color w:val="000000"/>
        </w:rPr>
        <w:t xml:space="preserve"> </w:t>
      </w:r>
      <w:r w:rsidR="00F53914">
        <w:rPr>
          <w:color w:val="000000"/>
        </w:rPr>
        <w:t xml:space="preserve">significantly </w:t>
      </w:r>
      <w:r>
        <w:rPr>
          <w:color w:val="000000"/>
        </w:rPr>
        <w:t>in expected directions with other measures of hoarding symptoms</w:t>
      </w:r>
      <w:r w:rsidR="00756EBA">
        <w:rPr>
          <w:color w:val="000000"/>
        </w:rPr>
        <w:t xml:space="preserve"> and</w:t>
      </w:r>
      <w:r>
        <w:rPr>
          <w:color w:val="000000"/>
        </w:rPr>
        <w:t xml:space="preserve"> psychological </w:t>
      </w:r>
      <w:r w:rsidR="00C542FA">
        <w:rPr>
          <w:color w:val="000000"/>
        </w:rPr>
        <w:t>in</w:t>
      </w:r>
      <w:r>
        <w:rPr>
          <w:color w:val="000000"/>
        </w:rPr>
        <w:t xml:space="preserve">flexibility. In addition, the AAQH has a significantly higher correlation with hoarding symptoms compared to symptoms of depression and anxiety, indicating divergent validity. </w:t>
      </w:r>
      <w:r w:rsidR="00C0428E">
        <w:rPr>
          <w:color w:val="000000"/>
        </w:rPr>
        <w:t>Although the AAQ-II and AAQH were highly correlated, i</w:t>
      </w:r>
      <w:r>
        <w:rPr>
          <w:color w:val="000000"/>
        </w:rPr>
        <w:t xml:space="preserve">ncremental validity of the measure was also supported as the AAQH predicted significant additional variance in hoarding symptoms after controlling for general psychological inflexibility. The AAQH was also found to </w:t>
      </w:r>
      <w:r w:rsidR="00756EBA">
        <w:rPr>
          <w:color w:val="000000"/>
        </w:rPr>
        <w:t xml:space="preserve">partially </w:t>
      </w:r>
      <w:r>
        <w:rPr>
          <w:color w:val="000000"/>
        </w:rPr>
        <w:t xml:space="preserve">mediate the relationship between the DASS and SI-R, consistent with the theoretical construct of hoarding-related psychological inflexibility. </w:t>
      </w:r>
      <w:r w:rsidR="005F5655">
        <w:rPr>
          <w:color w:val="000000"/>
        </w:rPr>
        <w:t xml:space="preserve">Of </w:t>
      </w:r>
      <w:r w:rsidR="00DD1CCE">
        <w:rPr>
          <w:color w:val="000000"/>
        </w:rPr>
        <w:t>note</w:t>
      </w:r>
      <w:r w:rsidR="005F5655">
        <w:rPr>
          <w:color w:val="000000"/>
        </w:rPr>
        <w:t xml:space="preserve">, this is a cross-sectional </w:t>
      </w:r>
      <w:r w:rsidR="00DD1CCE">
        <w:rPr>
          <w:color w:val="000000"/>
        </w:rPr>
        <w:t>analysis</w:t>
      </w:r>
      <w:r w:rsidR="005F5655">
        <w:rPr>
          <w:color w:val="000000"/>
        </w:rPr>
        <w:t xml:space="preserve"> </w:t>
      </w:r>
      <w:r w:rsidR="00DD1CCE">
        <w:rPr>
          <w:color w:val="000000"/>
        </w:rPr>
        <w:t xml:space="preserve">and is presented to help evaluate construct validity rather than to test a mediational model, which would require longitudinal data.  </w:t>
      </w:r>
      <w:r>
        <w:rPr>
          <w:color w:val="000000"/>
        </w:rPr>
        <w:t xml:space="preserve">These analyses support </w:t>
      </w:r>
      <w:r w:rsidR="00871202">
        <w:rPr>
          <w:color w:val="000000"/>
        </w:rPr>
        <w:t xml:space="preserve">the validity of the AAQH as a measure of hoarding-related psychological </w:t>
      </w:r>
      <w:r w:rsidR="00AD32E9">
        <w:rPr>
          <w:color w:val="000000"/>
        </w:rPr>
        <w:t>in</w:t>
      </w:r>
      <w:r w:rsidR="00871202">
        <w:rPr>
          <w:color w:val="000000"/>
        </w:rPr>
        <w:t>flexibility.</w:t>
      </w:r>
      <w:r>
        <w:rPr>
          <w:color w:val="000000"/>
        </w:rPr>
        <w:t xml:space="preserve"> </w:t>
      </w:r>
    </w:p>
    <w:p w14:paraId="28325683" w14:textId="0AB503E1" w:rsidR="00D34089" w:rsidRDefault="00871202" w:rsidP="00D34089">
      <w:pPr>
        <w:spacing w:line="480" w:lineRule="auto"/>
        <w:contextualSpacing/>
        <w:rPr>
          <w:color w:val="000000"/>
        </w:rPr>
      </w:pPr>
      <w:r>
        <w:rPr>
          <w:color w:val="000000"/>
        </w:rPr>
        <w:tab/>
      </w:r>
      <w:r w:rsidR="00D34089">
        <w:rPr>
          <w:color w:val="000000"/>
        </w:rPr>
        <w:t>Overall, these findings indicate that the AAQH is a reliable and valid measure of hoarding-related psychological inflexibil</w:t>
      </w:r>
      <w:r w:rsidR="00623D6F">
        <w:rPr>
          <w:color w:val="000000"/>
        </w:rPr>
        <w:t>ity in a nonclinical population</w:t>
      </w:r>
      <w:r w:rsidR="000A4B8E">
        <w:rPr>
          <w:color w:val="000000"/>
        </w:rPr>
        <w:t xml:space="preserve"> with elevated hoarding symptoms</w:t>
      </w:r>
      <w:r w:rsidR="00D34089">
        <w:rPr>
          <w:color w:val="000000"/>
        </w:rPr>
        <w:t xml:space="preserve">. The AAQH </w:t>
      </w:r>
      <w:r w:rsidR="00756EBA">
        <w:rPr>
          <w:color w:val="000000"/>
        </w:rPr>
        <w:t xml:space="preserve">has </w:t>
      </w:r>
      <w:r w:rsidR="00D34089">
        <w:rPr>
          <w:color w:val="000000"/>
        </w:rPr>
        <w:t xml:space="preserve">incremental validity over a general measure of psychological inflexibility, and therefore may enable </w:t>
      </w:r>
      <w:r w:rsidR="00623D6F">
        <w:rPr>
          <w:color w:val="000000"/>
        </w:rPr>
        <w:t>improved</w:t>
      </w:r>
      <w:r w:rsidR="00D34089">
        <w:rPr>
          <w:color w:val="000000"/>
        </w:rPr>
        <w:t xml:space="preserve"> measurement of psychological inflexibility as it relates to hoarding behavior. </w:t>
      </w:r>
      <w:r w:rsidR="00B83614">
        <w:rPr>
          <w:color w:val="000000"/>
        </w:rPr>
        <w:t>This</w:t>
      </w:r>
      <w:r w:rsidR="002521CE">
        <w:rPr>
          <w:color w:val="000000"/>
        </w:rPr>
        <w:t xml:space="preserve"> incremental validity is consistent with previous domain-specific versions of the AAQ (e.g., </w:t>
      </w:r>
      <w:r w:rsidR="002521CE" w:rsidRPr="00981D9A">
        <w:fldChar w:fldCharType="begin">
          <w:fldData xml:space="preserve">PEVuZE5vdGU+PENpdGU+PEF1dGhvcj5Ib3VnaHRvbjwvQXV0aG9yPjxZZWFyPjIwMTQ8L1llYXI+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</w:fldData>
        </w:fldChar>
      </w:r>
      <w:r w:rsidR="00A9449A">
        <w:instrText xml:space="preserve"> ADDIN EN.CITE </w:instrText>
      </w:r>
      <w:r w:rsidR="00A9449A">
        <w:fldChar w:fldCharType="begin">
          <w:fldData xml:space="preserve">PEVuZE5vdGU+PENpdGU+PEF1dGhvcj5Ib3VnaHRvbjwvQXV0aG9yPjxZZWFyPjIwMTQ8L1llYXI+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</w:fldData>
        </w:fldChar>
      </w:r>
      <w:r w:rsidR="00A9449A">
        <w:instrText xml:space="preserve"> ADDIN EN.CITE.DATA </w:instrText>
      </w:r>
      <w:r w:rsidR="00A9449A">
        <w:fldChar w:fldCharType="end"/>
      </w:r>
      <w:r w:rsidR="002521CE" w:rsidRPr="00981D9A">
        <w:fldChar w:fldCharType="separate"/>
      </w:r>
      <w:r w:rsidR="00A9449A">
        <w:rPr>
          <w:noProof/>
        </w:rPr>
        <w:t>Houghton et al.,</w:t>
      </w:r>
      <w:r w:rsidR="00C45FE1">
        <w:rPr>
          <w:noProof/>
        </w:rPr>
        <w:t xml:space="preserve"> 2014; Sandoz et al.</w:t>
      </w:r>
      <w:r w:rsidR="00A9449A">
        <w:rPr>
          <w:noProof/>
        </w:rPr>
        <w:t>, 2013)</w:t>
      </w:r>
      <w:r w:rsidR="002521CE" w:rsidRPr="00981D9A">
        <w:fldChar w:fldCharType="end"/>
      </w:r>
      <w:r w:rsidR="002521CE">
        <w:rPr>
          <w:color w:val="000000"/>
        </w:rPr>
        <w:t>, further demonstrating the importance of developing and validating psychological flexibility measures for specific psychological disorders and areas of functioning.</w:t>
      </w:r>
      <w:r w:rsidR="00E052F7">
        <w:rPr>
          <w:color w:val="000000"/>
        </w:rPr>
        <w:t xml:space="preserve"> In addition, the</w:t>
      </w:r>
      <w:r w:rsidR="00623D6F">
        <w:rPr>
          <w:color w:val="000000"/>
        </w:rPr>
        <w:t xml:space="preserve"> AAQH may </w:t>
      </w:r>
      <w:r w:rsidR="00E052F7">
        <w:rPr>
          <w:color w:val="000000"/>
        </w:rPr>
        <w:t xml:space="preserve">have clinical utility in mindfulness and acceptance-based treatment of hoarding (e.g., routine outcome monitoring) as it could be more sensitive to hoarding-related processes than a general measure such as the AAQ-II. </w:t>
      </w:r>
      <w:r w:rsidR="00D34089">
        <w:rPr>
          <w:color w:val="000000"/>
        </w:rPr>
        <w:t xml:space="preserve">Accordingly, the AAQH may be useful in better understanding how psychological inflexibility is theoretically related to the development and maintenance of hoarding as well as the relevance of hoarding-related psychological inflexibility as a potential mechanism of change in the treatment of hoarding. </w:t>
      </w:r>
      <w:r w:rsidR="00E052F7">
        <w:rPr>
          <w:color w:val="000000"/>
        </w:rPr>
        <w:t>For instance, future research could use the AAQH to determine whether changes in hoarding-related psychological inflexibility predict change in hoarding symptoms and/or quality of life, both in cognitive-behavioral therapy for hoarding and mindfulness and acceptance-based treatment of hoarding.</w:t>
      </w:r>
    </w:p>
    <w:p w14:paraId="12FC56CE" w14:textId="212A2CA6" w:rsidR="005B512B" w:rsidRDefault="005B512B" w:rsidP="00D34089">
      <w:pPr>
        <w:spacing w:line="480" w:lineRule="auto"/>
        <w:contextualSpacing/>
        <w:rPr>
          <w:color w:val="000000"/>
        </w:rPr>
      </w:pPr>
      <w:r>
        <w:rPr>
          <w:color w:val="000000"/>
        </w:rPr>
        <w:tab/>
        <w:t xml:space="preserve">One limitation of this measure is that </w:t>
      </w:r>
      <w:r w:rsidR="001551AE">
        <w:rPr>
          <w:color w:val="000000"/>
        </w:rPr>
        <w:t xml:space="preserve">some </w:t>
      </w:r>
      <w:r>
        <w:rPr>
          <w:color w:val="000000"/>
        </w:rPr>
        <w:t xml:space="preserve">individual items have limited face validity in assessing hoarding-related </w:t>
      </w:r>
      <w:r w:rsidRPr="004A6D4A">
        <w:rPr>
          <w:i/>
          <w:color w:val="000000"/>
        </w:rPr>
        <w:t>psychological inflexibility</w:t>
      </w:r>
      <w:r w:rsidR="001551AE">
        <w:rPr>
          <w:color w:val="000000"/>
        </w:rPr>
        <w:t xml:space="preserve"> versus merely hoarding symptoms</w:t>
      </w:r>
      <w:r>
        <w:rPr>
          <w:color w:val="000000"/>
        </w:rPr>
        <w:t xml:space="preserve">. Psychological inflexibility is </w:t>
      </w:r>
      <w:r w:rsidR="00700B2C">
        <w:rPr>
          <w:color w:val="000000"/>
        </w:rPr>
        <w:t xml:space="preserve">inherently linked to individual context and values, such that the processes of avoidance, inattention, </w:t>
      </w:r>
      <w:r w:rsidR="0080271D">
        <w:rPr>
          <w:color w:val="000000"/>
        </w:rPr>
        <w:t xml:space="preserve">and </w:t>
      </w:r>
      <w:r w:rsidR="0095007C">
        <w:rPr>
          <w:color w:val="000000"/>
        </w:rPr>
        <w:t>fusion</w:t>
      </w:r>
      <w:r w:rsidR="00700B2C">
        <w:rPr>
          <w:color w:val="000000"/>
        </w:rPr>
        <w:t xml:space="preserve"> are considered problematic </w:t>
      </w:r>
      <w:r w:rsidR="00DD1CCE">
        <w:rPr>
          <w:color w:val="000000"/>
        </w:rPr>
        <w:t xml:space="preserve">only </w:t>
      </w:r>
      <w:r w:rsidR="00700B2C">
        <w:rPr>
          <w:color w:val="000000"/>
        </w:rPr>
        <w:t xml:space="preserve">when they are rigidly </w:t>
      </w:r>
      <w:r w:rsidR="0080271D">
        <w:rPr>
          <w:color w:val="000000"/>
        </w:rPr>
        <w:t>engaged</w:t>
      </w:r>
      <w:r w:rsidR="00700B2C">
        <w:rPr>
          <w:color w:val="000000"/>
        </w:rPr>
        <w:t xml:space="preserve"> to the extent that they interfere with valued living (Hayes et al., 2006). </w:t>
      </w:r>
      <w:r w:rsidR="001551AE">
        <w:rPr>
          <w:color w:val="000000"/>
        </w:rPr>
        <w:t>This naturally overlaps with hoarding symptoms themselves in which hoarding behaviors are pervasive and persistent despite negative consequences (e.g., “</w:t>
      </w:r>
      <w:r w:rsidR="001551AE" w:rsidRPr="00CB74EF">
        <w:rPr>
          <w:color w:val="000000"/>
        </w:rPr>
        <w:t>I struggle to get rid of items that feel important to me</w:t>
      </w:r>
      <w:r w:rsidR="001551AE">
        <w:rPr>
          <w:color w:val="000000"/>
        </w:rPr>
        <w:t>”). That said, the AAQ-H more specifically focuses on assessing psychologically inflexible hoarding behaviors and ways individuals inflexibly respond to internal experiences related to hoarding. Future research would benefit from continuing to examine the divergent and incremental validity of the AAQ-H in relation to symptom measures of hoarding to further clarify distinctions in measures and constructs. In addition, s</w:t>
      </w:r>
      <w:r w:rsidR="00700B2C">
        <w:rPr>
          <w:color w:val="000000"/>
        </w:rPr>
        <w:t>ome AAQH items describe a specific component process (e.g., inflexible attention in “I am always thinking about my things”) and do not assess psychological inflexibility on their own. Items were written in this manner to prevent double-barreled questions and with the goal that a combination of these items would accurately measure the overarching construct of psychological inflexibility. However, the majority of the items</w:t>
      </w:r>
      <w:r w:rsidR="00D24692">
        <w:rPr>
          <w:color w:val="000000"/>
        </w:rPr>
        <w:t xml:space="preserve"> in the final measure</w:t>
      </w:r>
      <w:r w:rsidR="00700B2C">
        <w:rPr>
          <w:color w:val="000000"/>
        </w:rPr>
        <w:t xml:space="preserve"> refer to fusion and avoidance, </w:t>
      </w:r>
      <w:r w:rsidR="00D24692">
        <w:rPr>
          <w:color w:val="000000"/>
        </w:rPr>
        <w:t xml:space="preserve">and as such the measure </w:t>
      </w:r>
      <w:r w:rsidR="00700B2C">
        <w:rPr>
          <w:color w:val="000000"/>
        </w:rPr>
        <w:t>may lack balance in assessing</w:t>
      </w:r>
      <w:r w:rsidR="00992215">
        <w:rPr>
          <w:color w:val="000000"/>
        </w:rPr>
        <w:t xml:space="preserve"> other components of psychological inflexibility.</w:t>
      </w:r>
      <w:r w:rsidR="00756EBA">
        <w:rPr>
          <w:color w:val="000000"/>
        </w:rPr>
        <w:t xml:space="preserve"> </w:t>
      </w:r>
    </w:p>
    <w:p w14:paraId="7B0D9D11" w14:textId="55260AE0" w:rsidR="00823641" w:rsidRPr="007F212C" w:rsidRDefault="00823641" w:rsidP="00D34089">
      <w:pPr>
        <w:spacing w:line="480" w:lineRule="auto"/>
        <w:contextualSpacing/>
        <w:rPr>
          <w:color w:val="000000"/>
        </w:rPr>
      </w:pPr>
      <w:r>
        <w:rPr>
          <w:color w:val="000000"/>
        </w:rPr>
        <w:tab/>
        <w:t xml:space="preserve">Although the </w:t>
      </w:r>
      <w:r w:rsidR="00E97AD8">
        <w:rPr>
          <w:color w:val="000000"/>
        </w:rPr>
        <w:t xml:space="preserve">original AAQ (Hayes et al., 2004) and </w:t>
      </w:r>
      <w:r>
        <w:rPr>
          <w:color w:val="000000"/>
        </w:rPr>
        <w:t xml:space="preserve">AAQ-II </w:t>
      </w:r>
      <w:r w:rsidR="00E97AD8">
        <w:rPr>
          <w:color w:val="000000"/>
        </w:rPr>
        <w:t>(Bond et al., 2011) are</w:t>
      </w:r>
      <w:r>
        <w:rPr>
          <w:color w:val="000000"/>
        </w:rPr>
        <w:t xml:space="preserve"> very commonly used in ACT research</w:t>
      </w:r>
      <w:r w:rsidR="003727A7">
        <w:rPr>
          <w:color w:val="000000"/>
        </w:rPr>
        <w:t xml:space="preserve"> (e.g., Bluett, Homan, Morrison, Levin, &amp; Twohig</w:t>
      </w:r>
      <w:r w:rsidR="00E97AD8">
        <w:rPr>
          <w:color w:val="000000"/>
        </w:rPr>
        <w:t xml:space="preserve">, 2014; </w:t>
      </w:r>
      <w:r w:rsidR="00C45FE1">
        <w:rPr>
          <w:color w:val="000000"/>
        </w:rPr>
        <w:t>Krafft, Ferrell, Levin, &amp; Twohig</w:t>
      </w:r>
      <w:r w:rsidR="007A6CA2">
        <w:rPr>
          <w:color w:val="000000"/>
        </w:rPr>
        <w:t xml:space="preserve">, 2018), recent studies have suggested that the AAQ-II has excessive overlap with distress (e.g., </w:t>
      </w:r>
      <w:r w:rsidR="003727A7">
        <w:rPr>
          <w:color w:val="000000"/>
        </w:rPr>
        <w:t>Francis et al.</w:t>
      </w:r>
      <w:r w:rsidR="000C261A">
        <w:rPr>
          <w:color w:val="000000"/>
        </w:rPr>
        <w:t>, 2016; Rochefo</w:t>
      </w:r>
      <w:r w:rsidR="00C45FE1">
        <w:rPr>
          <w:color w:val="000000"/>
        </w:rPr>
        <w:t>rt, Baldwin, &amp; Chmielewski, 2018</w:t>
      </w:r>
      <w:r w:rsidR="000C261A">
        <w:rPr>
          <w:color w:val="000000"/>
        </w:rPr>
        <w:t>)</w:t>
      </w:r>
      <w:r w:rsidR="007F212C">
        <w:rPr>
          <w:color w:val="000000"/>
        </w:rPr>
        <w:t xml:space="preserve">. As the AAQH was developed based on the AAQ-II and uses similar items, it is possible that it </w:t>
      </w:r>
      <w:r w:rsidR="004605D5">
        <w:rPr>
          <w:color w:val="000000"/>
        </w:rPr>
        <w:t xml:space="preserve">also has </w:t>
      </w:r>
      <w:r w:rsidR="001A1C51">
        <w:rPr>
          <w:color w:val="000000"/>
        </w:rPr>
        <w:t xml:space="preserve">excessive overlap with </w:t>
      </w:r>
      <w:r w:rsidR="004605D5">
        <w:rPr>
          <w:color w:val="000000"/>
        </w:rPr>
        <w:t xml:space="preserve">general distress or </w:t>
      </w:r>
      <w:r w:rsidR="001A1C51">
        <w:rPr>
          <w:color w:val="000000"/>
        </w:rPr>
        <w:t>with hoarding symptoms</w:t>
      </w:r>
      <w:r w:rsidR="004F18A1">
        <w:rPr>
          <w:color w:val="000000"/>
        </w:rPr>
        <w:t xml:space="preserve"> specifically</w:t>
      </w:r>
      <w:r w:rsidR="007F212C">
        <w:rPr>
          <w:color w:val="000000"/>
        </w:rPr>
        <w:t>. One promising result from this study is that although the AAQH is correlated with general distress, the size of the correlation is medium (</w:t>
      </w:r>
      <w:r w:rsidR="007F212C">
        <w:rPr>
          <w:i/>
          <w:color w:val="000000"/>
        </w:rPr>
        <w:t>r</w:t>
      </w:r>
      <w:r w:rsidR="00361948">
        <w:rPr>
          <w:color w:val="000000"/>
        </w:rPr>
        <w:t xml:space="preserve"> = 0.26</w:t>
      </w:r>
      <w:r w:rsidR="007F212C">
        <w:rPr>
          <w:color w:val="000000"/>
        </w:rPr>
        <w:t>) and significantly smaller than the correlation of the AAQ-II with distress in the same sample (</w:t>
      </w:r>
      <w:r w:rsidR="007F212C">
        <w:rPr>
          <w:i/>
          <w:color w:val="000000"/>
        </w:rPr>
        <w:t>r</w:t>
      </w:r>
      <w:r w:rsidR="007F212C">
        <w:rPr>
          <w:color w:val="000000"/>
        </w:rPr>
        <w:t xml:space="preserve"> = 0.57). However, </w:t>
      </w:r>
      <w:r w:rsidR="001A1C51">
        <w:rPr>
          <w:color w:val="000000"/>
        </w:rPr>
        <w:t xml:space="preserve">this issue is important for divergent validity and future studies should </w:t>
      </w:r>
      <w:r w:rsidR="004605D5">
        <w:rPr>
          <w:color w:val="000000"/>
        </w:rPr>
        <w:t>empirically test</w:t>
      </w:r>
      <w:r w:rsidR="001A1C51">
        <w:rPr>
          <w:color w:val="000000"/>
        </w:rPr>
        <w:t xml:space="preserve"> if the AAQH items function differentially from </w:t>
      </w:r>
      <w:r w:rsidR="00D24692">
        <w:rPr>
          <w:color w:val="000000"/>
        </w:rPr>
        <w:t xml:space="preserve">items measuring </w:t>
      </w:r>
      <w:r w:rsidR="001A1C51">
        <w:rPr>
          <w:color w:val="000000"/>
        </w:rPr>
        <w:t>distress and/or hoarding symptoms</w:t>
      </w:r>
      <w:r w:rsidR="00D24692">
        <w:rPr>
          <w:color w:val="000000"/>
        </w:rPr>
        <w:t>.</w:t>
      </w:r>
    </w:p>
    <w:p w14:paraId="2E2DB250" w14:textId="05736EF1" w:rsidR="00871202" w:rsidRDefault="00B83A1D" w:rsidP="002E5CB3">
      <w:pPr>
        <w:spacing w:line="480" w:lineRule="auto"/>
        <w:contextualSpacing/>
        <w:rPr>
          <w:color w:val="000000"/>
        </w:rPr>
      </w:pPr>
      <w:r>
        <w:rPr>
          <w:color w:val="000000"/>
        </w:rPr>
        <w:tab/>
        <w:t xml:space="preserve">This study has limitations that should be taken into consideration. The primary limitation is the use of an undergraduate student sample </w:t>
      </w:r>
      <w:r w:rsidR="00033ECD">
        <w:rPr>
          <w:color w:val="000000"/>
        </w:rPr>
        <w:t xml:space="preserve">from a single university </w:t>
      </w:r>
      <w:r>
        <w:rPr>
          <w:color w:val="000000"/>
        </w:rPr>
        <w:t>for validation purposes. Although hoarding symptoms are dimensionally distributed</w:t>
      </w:r>
      <w:r w:rsidR="006270D6">
        <w:rPr>
          <w:color w:val="000000"/>
        </w:rPr>
        <w:t xml:space="preserve"> in the population </w:t>
      </w:r>
      <w:r w:rsidR="006270D6">
        <w:rPr>
          <w:color w:val="000000"/>
        </w:rPr>
        <w:fldChar w:fldCharType="begin" w:fldLock="1"/>
      </w:r>
      <w:r w:rsidR="008E3E28">
        <w:rPr>
          <w:color w:val="000000"/>
        </w:rPr>
        <w:instrText>ADDIN CSL_CITATION { "citationItems" : [ { "id" : "ITEM-1", "itemData" : { "DOI" : "10.1037/a0029966", "ISBN" : "1040-3590\\r1939-134X", "ISSN" : "1040-3590", "PMID" : "22984803", "abstract" : "Despite controversy regarding the classification and diagnostic status of hoarding disorder, there remains a paucity of research on the nosology of hoarding that is likely to inform the classification debate. The present investigation examined the latent structure of hoarding in three, large independent samples. Data for three well-validated measures of hoarding were subjected to taxometric procedures, including MAXimum EIGenvalue, Mean Above Minus Below A Cut, and Latent-Mode factor. Two symptom measures, one of which closely mirrors the proposed diagnostic criteria for hoarding disorder, and a measure of hoarding beliefs were analyzed. Sample 1 (n=2,501) was representative of the general German population, while Samples 2 (n=1,149) and 3 (n=500) consisted of unselected undergraduate students. Findings across all three samples and taxometric procedures provided converging evidence that hoarding is best conceptualized as a dimensional construct, present in varying degrees in all individuals. Results have implications across research and treatment domains, particularly with respect to assessment approaches, treatment response determination, and policy decisions. These findings underscore the need for further investigations on the nosology of hoarding, to help validate this construct as we move forward with respect to our research and treatment efforts, as well as the potential inclusion of hoarding disorder in the Diagnostic and Statistical Manual of Mental Disorders (5th ed.; DSM-5; American Psychiatric Association, 2012).", "author" : [ { "dropping-particle" : "", "family" : "Timpano", "given" : "Kiara R.", "non-dropping-particle" : "", "parse-names" : false, "suffix" : "" }, { "dropping-particle" : "", "family" : "Broman-Fulks", "given" : "Joshua J.", "non-dropping-particle" : "", "parse-names" : false, "suffix" : "" }, { "dropping-particle" : "", "family" : "Glaesmer", "given" : "Heide", "non-dropping-particle" : "", "parse-names" : false, "suffix" : "" }, { "dropping-particle" : "", "family" : "Exner", "given" : "Cornelia", "non-dropping-particle" : "", "parse-names" : false, "suffix" : "" }, { "dropping-particle" : "", "family" : "Rief", "given" : "Winfried", "non-dropping-particle" : "", "parse-names" : false, "suffix" : "" }, { "dropping-particle" : "", "family" : "Olatunji", "given" : "Bunmi O.", "non-dropping-particle" : "", "parse-names" : false, "suffix" : "" }, { "dropping-particle" : "", "family" : "Keough", "given" : "Meghan E.", "non-dropping-particle" : "", "parse-names" : false, "suffix" : "" }, { "dropping-particle" : "", "family" : "Riccardi", "given" : "Christina J.", "non-dropping-particle" : "", "parse-names" : false, "suffix" : "" }, { "dropping-particle" : "", "family" : "Br\u00e4hler", "given" : "Elmar", "non-dropping-particle" : "", "parse-names" : false, "suffix" : "" }, { "dropping-particle" : "", "family" : "Wilhelm", "given" : "Sabine", "non-dropping-particle" : "", "parse-names" : false, "suffix" : "" }, { "dropping-particle" : "", "family" : "Schmidt", "given" : "Norman B.", "non-dropping-particle" : "", "parse-names" : false, "suffix" : "" } ], "container-title" : "Psychological Assessment", "id" : "ITEM-1", "issued" : { "date-parts" : [ [ "2013" ] ] }, "page" : "194-203", "title" : "A taxometric exploration of the latent structure of hoarding", "type" : "article-journal", "volume" : "25" }, "uris" : [ "http://www.mendeley.com/documents/?uuid=3383939f-423b-46e7-8fcc-62373697921b" ] } ], "mendeley" : { "formattedCitation" : "(Kiara R. Timpano et al., 2013)", "manualFormatting" : "(Timpano, Broman-Fulks et al., 2013)", "plainTextFormattedCitation" : "(Kiara R. Timpano et al., 2013)", "previouslyFormattedCitation" : "(Kiara R. Timpano et al., 2013)" }, "properties" : { "noteIndex" : 0 }, "schema" : "https://github.com/citation-style-language/schema/raw/master/csl-citation.json" }</w:instrText>
      </w:r>
      <w:r w:rsidR="006270D6">
        <w:rPr>
          <w:color w:val="000000"/>
        </w:rPr>
        <w:fldChar w:fldCharType="separate"/>
      </w:r>
      <w:r w:rsidR="001A3811" w:rsidRPr="001A3811">
        <w:rPr>
          <w:noProof/>
          <w:color w:val="000000"/>
        </w:rPr>
        <w:t>(Timpano</w:t>
      </w:r>
      <w:r w:rsidR="00061175">
        <w:rPr>
          <w:noProof/>
          <w:color w:val="000000"/>
        </w:rPr>
        <w:t>, Broman-Fulks</w:t>
      </w:r>
      <w:r w:rsidR="001A3811" w:rsidRPr="001A3811">
        <w:rPr>
          <w:noProof/>
          <w:color w:val="000000"/>
        </w:rPr>
        <w:t xml:space="preserve"> et al., 2013)</w:t>
      </w:r>
      <w:r w:rsidR="006270D6">
        <w:rPr>
          <w:color w:val="000000"/>
        </w:rPr>
        <w:fldChar w:fldCharType="end"/>
      </w:r>
      <w:r w:rsidR="006270D6">
        <w:rPr>
          <w:color w:val="000000"/>
        </w:rPr>
        <w:t xml:space="preserve"> </w:t>
      </w:r>
      <w:r>
        <w:rPr>
          <w:color w:val="000000"/>
        </w:rPr>
        <w:t xml:space="preserve">and the </w:t>
      </w:r>
      <w:r w:rsidR="006270D6">
        <w:rPr>
          <w:color w:val="000000"/>
        </w:rPr>
        <w:t>average</w:t>
      </w:r>
      <w:r>
        <w:rPr>
          <w:color w:val="000000"/>
        </w:rPr>
        <w:t xml:space="preserve"> reported age of onset</w:t>
      </w:r>
      <w:r w:rsidR="00871202">
        <w:rPr>
          <w:color w:val="000000"/>
        </w:rPr>
        <w:t xml:space="preserve"> </w:t>
      </w:r>
      <w:r>
        <w:rPr>
          <w:color w:val="000000"/>
        </w:rPr>
        <w:t>of hoarding symptoms is between 14 and 20</w:t>
      </w:r>
      <w:r w:rsidR="006270D6">
        <w:rPr>
          <w:color w:val="000000"/>
        </w:rPr>
        <w:t xml:space="preserve"> </w:t>
      </w:r>
      <w:r w:rsidR="006270D6">
        <w:rPr>
          <w:color w:val="000000"/>
        </w:rPr>
        <w:fldChar w:fldCharType="begin" w:fldLock="1"/>
      </w:r>
      <w:r w:rsidR="006270D6">
        <w:rPr>
          <w:color w:val="000000"/>
        </w:rPr>
        <w:instrText>ADDIN CSL_CITATION { "citationItems" : [ { "id" : "ITEM-1", "itemData" : { "DOI" : "10.1002/da.20684", "ISBN" : "1091-4269\\r1520-6394", "ISSN" : "10914269", "PMID" : "20336803", "abstract" : "Compulsive hoarding is a common and debilitating, yet poorly understood, condition characterized by excessive acquisition of and failure to discard a large number of objects, resulting in cluttered and often hazardous living conditions. The aim of this study was to examine the onset and course of compulsive hoarding, and the relationships between stressful or traumatic life events and course of illness.", "author" : [ { "dropping-particle" : "", "family" : "Tolin", "given" : "David F.", "non-dropping-particle" : "", "parse-names" : false, "suffix" : "" }, { "dropping-particle" : "", "family" : "Meunier", "given" : "Suzanne A.", "non-dropping-particle" : "", "parse-names" : false, "suffix" : "" }, { "dropping-particle" : "", "family" : "Frost", "given" : "Randy O.", "non-dropping-particle" : "", "parse-names" : false, "suffix" : "" }, { "dropping-particle" : "", "family" : "Steketee", "given" : "Gail", "non-dropping-particle" : "", "parse-names" : false, "suffix" : "" } ], "container-title" : "Depression and Anxiety", "id" : "ITEM-1", "issued" : { "date-parts" : [ [ "2010" ] ] }, "page" : "829-838", "title" : "Course of compulsive hoarding and its relationship to life events", "type" : "article-journal", "volume" : "27" }, "uris" : [ "http://www.mendeley.com/documents/?uuid=9480192b-b204-424d-9c6e-0d4f034ed4b7" ] } ], "mendeley" : { "formattedCitation" : "(Tolin, Meunier, Frost, &amp; Steketee, 2010)", "plainTextFormattedCitation" : "(Tolin, Meunier, Frost, &amp; Steketee, 2010)", "previouslyFormattedCitation" : "(Tolin, Meunier, Frost, &amp; Steketee, 2010)" }, "properties" : { "noteIndex" : 0 }, "schema" : "https://github.com/citation-style-language/schema/raw/master/csl-citation.json" }</w:instrText>
      </w:r>
      <w:r w:rsidR="006270D6">
        <w:rPr>
          <w:color w:val="000000"/>
        </w:rPr>
        <w:fldChar w:fldCharType="separate"/>
      </w:r>
      <w:r w:rsidR="006270D6" w:rsidRPr="006270D6">
        <w:rPr>
          <w:noProof/>
          <w:color w:val="000000"/>
        </w:rPr>
        <w:t>(Tolin, Meunier, Frost, &amp; Steketee, 2010)</w:t>
      </w:r>
      <w:r w:rsidR="006270D6">
        <w:rPr>
          <w:color w:val="000000"/>
        </w:rPr>
        <w:fldChar w:fldCharType="end"/>
      </w:r>
      <w:r>
        <w:rPr>
          <w:color w:val="000000"/>
        </w:rPr>
        <w:t>, experiences of hoarding-related psychological flexibility could be qualitatively different</w:t>
      </w:r>
      <w:r w:rsidR="00033ECD">
        <w:rPr>
          <w:color w:val="000000"/>
        </w:rPr>
        <w:t xml:space="preserve"> in a </w:t>
      </w:r>
      <w:r>
        <w:rPr>
          <w:color w:val="000000"/>
        </w:rPr>
        <w:t xml:space="preserve">clinical </w:t>
      </w:r>
      <w:r w:rsidR="00033ECD">
        <w:rPr>
          <w:color w:val="000000"/>
        </w:rPr>
        <w:t>population</w:t>
      </w:r>
      <w:r>
        <w:rPr>
          <w:color w:val="000000"/>
        </w:rPr>
        <w:t xml:space="preserve"> </w:t>
      </w:r>
      <w:r w:rsidR="00033ECD">
        <w:rPr>
          <w:color w:val="000000"/>
        </w:rPr>
        <w:t>in a manner that would affect the factor structure, reliability, validity, or utility of this measure. As such, further validation in clinical samples is necessary to determine the consistency of this measure across populations</w:t>
      </w:r>
      <w:r w:rsidR="00D416DD">
        <w:rPr>
          <w:color w:val="000000"/>
        </w:rPr>
        <w:t>, and the factor structure should be replicated in both clinical and subclinical hoarding samples using confirmatory factor analysis</w:t>
      </w:r>
      <w:r w:rsidR="00033ECD">
        <w:rPr>
          <w:color w:val="000000"/>
        </w:rPr>
        <w:t xml:space="preserve">. </w:t>
      </w:r>
      <w:r w:rsidR="00922B57">
        <w:rPr>
          <w:color w:val="000000"/>
        </w:rPr>
        <w:t xml:space="preserve">Furthermore, model fit was </w:t>
      </w:r>
      <w:r w:rsidR="00C402A3">
        <w:rPr>
          <w:color w:val="000000"/>
        </w:rPr>
        <w:t xml:space="preserve">only </w:t>
      </w:r>
      <w:r w:rsidR="00922B57">
        <w:rPr>
          <w:color w:val="000000"/>
        </w:rPr>
        <w:t xml:space="preserve">adequate in our subsample of participants with elevated hoarding, which could be due to lack of specification of inter-item correlations. Further testing of this proposed factor structure of the AAQH using confirmatory factor analysis with fewer model restrictions would clarify how observed item scores relate to each other as well as the hypothesized latent variables. </w:t>
      </w:r>
      <w:r w:rsidR="001A37D1">
        <w:rPr>
          <w:color w:val="000000"/>
        </w:rPr>
        <w:t>The mea</w:t>
      </w:r>
      <w:r w:rsidR="00210F81">
        <w:rPr>
          <w:color w:val="000000"/>
        </w:rPr>
        <w:t xml:space="preserve">sure does not appear to have good fit </w:t>
      </w:r>
      <w:r w:rsidR="001A37D1">
        <w:rPr>
          <w:color w:val="000000"/>
        </w:rPr>
        <w:t xml:space="preserve">in those with below-average hoarding symptoms, which </w:t>
      </w:r>
      <w:r w:rsidR="00210F81">
        <w:rPr>
          <w:color w:val="000000"/>
        </w:rPr>
        <w:t>suggests</w:t>
      </w:r>
      <w:r w:rsidR="001A37D1">
        <w:rPr>
          <w:color w:val="000000"/>
        </w:rPr>
        <w:t xml:space="preserve"> that</w:t>
      </w:r>
      <w:r w:rsidR="00210F81">
        <w:rPr>
          <w:color w:val="000000"/>
        </w:rPr>
        <w:t xml:space="preserve"> its use is most appropriate among those </w:t>
      </w:r>
      <w:r w:rsidR="00DD1CCE">
        <w:rPr>
          <w:color w:val="000000"/>
        </w:rPr>
        <w:t>who have</w:t>
      </w:r>
      <w:r w:rsidR="00210F81">
        <w:rPr>
          <w:color w:val="000000"/>
        </w:rPr>
        <w:t xml:space="preserve"> above-average hoarding symptoms and its generalizability may be limited. </w:t>
      </w:r>
      <w:r w:rsidR="00033ECD">
        <w:rPr>
          <w:color w:val="000000"/>
        </w:rPr>
        <w:t xml:space="preserve">In addition, this sample was young and ethnically homogeneous, and it is unclear if the results would generalize to populations more diverse in ethnicity or age. </w:t>
      </w:r>
      <w:r w:rsidR="00E041B7">
        <w:rPr>
          <w:color w:val="000000"/>
        </w:rPr>
        <w:t>Finally</w:t>
      </w:r>
      <w:r w:rsidR="00033ECD">
        <w:rPr>
          <w:color w:val="000000"/>
        </w:rPr>
        <w:t xml:space="preserve">, this study relied solely on self-report measures, which are vulnerable to problems of social desirability </w:t>
      </w:r>
      <w:r w:rsidR="00E041B7">
        <w:rPr>
          <w:color w:val="000000"/>
        </w:rPr>
        <w:t>(e.g.,</w:t>
      </w:r>
      <w:r w:rsidR="00DA3485">
        <w:rPr>
          <w:color w:val="000000"/>
        </w:rPr>
        <w:t xml:space="preserve"> </w:t>
      </w:r>
      <w:r w:rsidR="00DA3485">
        <w:rPr>
          <w:color w:val="000000"/>
        </w:rPr>
        <w:fldChar w:fldCharType="begin" w:fldLock="1"/>
      </w:r>
      <w:r w:rsidR="00194ED1">
        <w:rPr>
          <w:color w:val="000000"/>
        </w:rPr>
        <w:instrText>ADDIN CSL_CITATION { "citationItems" : [ { "id" : "ITEM-1", "itemData" : { "DOI" : "10.1037//0022-3514.46.3.598", "ISBN" : "1939-1315", "ISSN" : "0022-3514", "abstract" : "A recent two-factor model of socially desirable responding based on denial and attribution components was reviewed and disputed. A second model distinguishing self-deception and impression management components was reviewed and shown to be related to early factor-analytic work on desirability scales. Two studies were conducted to test the model. A factor analysis of commonly used desirability scales revealed that the two major factors were best interpreted as Self-Deception and Impression Management. A second study employed confirmatory factor analysis to show that the attribution/denial model does not fit the data as well as the self-deception/impression management model. A third study compared score on desirability scales under anonymous and puplic conditions. Results showed that those scales that had loaded highest on the Impression Management factor showed the greatest mean increase from anonymous to puplic conditions. It is recommended that impression management, but not self-deception, be controlled in self-reports of personality.", "author" : [ { "dropping-particle" : "", "family" : "Paulhus", "given" : "Delroy L", "non-dropping-particle" : "", "parse-names" : false, "suffix" : "" } ], "container-title" : "Journal of Personality and Social Psychology", "id" : "ITEM-1", "issued" : { "date-parts" : [ [ "1984" ] ] }, "page" : "598-609", "title" : "Two-component models of socially desirable responding", "type" : "article-journal", "volume" : "46" }, "uris" : [ "http://www.mendeley.com/documents/?uuid=46bd3ef5-139c-4c8d-98a6-1118054cf4db" ] } ], "mendeley" : { "formattedCitation" : "(Paulhus, 1984)", "manualFormatting" : "Paulhus, 1984)", "plainTextFormattedCitation" : "(Paulhus, 1984)", "previouslyFormattedCitation" : "(Paulhus, 1984)" }, "properties" : { "noteIndex" : 0 }, "schema" : "https://github.com/citation-style-language/schema/raw/master/csl-citation.json" }</w:instrText>
      </w:r>
      <w:r w:rsidR="00DA3485">
        <w:rPr>
          <w:color w:val="000000"/>
        </w:rPr>
        <w:fldChar w:fldCharType="separate"/>
      </w:r>
      <w:r w:rsidR="00CC1396">
        <w:rPr>
          <w:noProof/>
          <w:color w:val="000000"/>
        </w:rPr>
        <w:t xml:space="preserve">Paulhus, </w:t>
      </w:r>
      <w:r w:rsidR="00DA3485" w:rsidRPr="00DA3485">
        <w:rPr>
          <w:noProof/>
          <w:color w:val="000000"/>
        </w:rPr>
        <w:t>1984)</w:t>
      </w:r>
      <w:r w:rsidR="00DA3485">
        <w:rPr>
          <w:color w:val="000000"/>
        </w:rPr>
        <w:fldChar w:fldCharType="end"/>
      </w:r>
      <w:r w:rsidR="00E041B7">
        <w:rPr>
          <w:color w:val="000000"/>
        </w:rPr>
        <w:t xml:space="preserve"> </w:t>
      </w:r>
      <w:r w:rsidR="00033ECD">
        <w:rPr>
          <w:color w:val="000000"/>
        </w:rPr>
        <w:t>and retrospective recall biases</w:t>
      </w:r>
      <w:r w:rsidR="00150FC9">
        <w:rPr>
          <w:color w:val="000000"/>
        </w:rPr>
        <w:t xml:space="preserve"> (</w:t>
      </w:r>
      <w:r w:rsidR="00E041B7">
        <w:rPr>
          <w:color w:val="000000"/>
        </w:rPr>
        <w:t>e.g.,</w:t>
      </w:r>
      <w:r w:rsidR="00DA3485">
        <w:rPr>
          <w:color w:val="000000"/>
        </w:rPr>
        <w:t xml:space="preserve"> </w:t>
      </w:r>
      <w:r w:rsidR="00DA3485">
        <w:rPr>
          <w:color w:val="000000"/>
        </w:rPr>
        <w:fldChar w:fldCharType="begin" w:fldLock="1"/>
      </w:r>
      <w:r w:rsidR="00194ED1">
        <w:rPr>
          <w:color w:val="000000"/>
        </w:rPr>
        <w:instrText>ADDIN CSL_CITATION { "citationItems" : [ { "id" : "ITEM-1", "itemData" : { "DOI" : "10.1126/science.3563494", "ISBN" : "0036-8075 (Print)\\r0036-8075 (Linking)", "ISSN" : "0036-8075", "PMID" : "3563494", "abstract" : "Survey questions often probe respondents for quantitative facts about events in their past: \"During the last 2 weeks, on days when you drank liquor, about how many drinks did you have?\" \"During the past 12 months, how many visits did you make to a dentist?\" \"When did you last work at a full-time job?\" are all examples from national surveys. Although questions like these make an implicit demand to remember and enumerate specific autobiographical episodes, respondents frequently have trouble complying because of limits on their ability to recall. In these situations, respondents resort to inferences that use partial information from memory to construct a numeric answer. Results from cognitive psychology can be useful in understanding and investigating these phenomena. In particular, cognitive research can help in identifying situations that inhibit or facilitate recall and can reveal inferences that affect the accuracy of respondents' answers.", "author" : [ { "dropping-particle" : "", "family" : "Bradburn", "given" : "N. M.", "non-dropping-particle" : "", "parse-names" : false, "suffix" : "" }, { "dropping-particle" : "", "family" : "Rips", "given" : "L. J.", "non-dropping-particle" : "", "parse-names" : false, "suffix" : "" }, { "dropping-particle" : "", "family" : "Shevell", "given" : "S. K.", "non-dropping-particle" : "", "parse-names" : false, "suffix" : "" } ], "container-title" : "Science", "id" : "ITEM-1", "issued" : { "date-parts" : [ [ "1987" ] ] }, "page" : "157-161", "title" : "Answering autobiographical questions: The impact of memory and inference on surveys", "type" : "article-journal", "volume" : "236" }, "uris" : [ "http://www.mendeley.com/documents/?uuid=4366e452-d051-44d4-83a8-9f61e922349b" ] } ], "mendeley" : { "formattedCitation" : "(Bradburn, Rips, &amp; Shevell, 1987)", "manualFormatting" : "Bradburn, Rips, &amp; Shevell, 1987)", "plainTextFormattedCitation" : "(Bradburn, Rips, &amp; Shevell, 1987)", "previouslyFormattedCitation" : "(Bradburn, Rips, &amp; Shevell, 1987)" }, "properties" : { "noteIndex" : 0 }, "schema" : "https://github.com/citation-style-language/schema/raw/master/csl-citation.json" }</w:instrText>
      </w:r>
      <w:r w:rsidR="00DA3485">
        <w:rPr>
          <w:color w:val="000000"/>
        </w:rPr>
        <w:fldChar w:fldCharType="separate"/>
      </w:r>
      <w:r w:rsidR="00CC1396">
        <w:rPr>
          <w:noProof/>
          <w:color w:val="000000"/>
        </w:rPr>
        <w:t xml:space="preserve">Bradburn, Rips, &amp; Shevell, </w:t>
      </w:r>
      <w:r w:rsidR="00DA3485" w:rsidRPr="00DA3485">
        <w:rPr>
          <w:noProof/>
          <w:color w:val="000000"/>
        </w:rPr>
        <w:t>1987)</w:t>
      </w:r>
      <w:r w:rsidR="00DA3485">
        <w:rPr>
          <w:color w:val="000000"/>
        </w:rPr>
        <w:fldChar w:fldCharType="end"/>
      </w:r>
      <w:r w:rsidR="00E041B7">
        <w:rPr>
          <w:color w:val="000000"/>
        </w:rPr>
        <w:t>. It would be beneficial to validate the measure against additional criterion variables not subject to the same biases (e.g., informant report of clutter).</w:t>
      </w:r>
    </w:p>
    <w:p w14:paraId="2A1E6EEC" w14:textId="3D677BD1" w:rsidR="00D34089" w:rsidRDefault="00D34089" w:rsidP="00D34089">
      <w:pPr>
        <w:spacing w:line="480" w:lineRule="auto"/>
        <w:ind w:firstLine="720"/>
        <w:contextualSpacing/>
        <w:rPr>
          <w:color w:val="000000"/>
        </w:rPr>
      </w:pPr>
      <w:r>
        <w:rPr>
          <w:color w:val="000000"/>
        </w:rPr>
        <w:t>The present study did not examine the sensitivity of the AAQH to intervention, its potential utility in treatment, or the temporal stability of this measure. Further validation is necessary to evaluate these properties. Evaluating treatment sensitivity is particularly important, as psychological inflexibility is a primary mechanism of change in interventions such as ACT and changes in psychological inflexibility have mediated outc</w:t>
      </w:r>
      <w:r w:rsidR="006270D6">
        <w:rPr>
          <w:color w:val="000000"/>
        </w:rPr>
        <w:t xml:space="preserve">omes in several studies of ACT </w:t>
      </w:r>
      <w:r w:rsidR="006270D6">
        <w:rPr>
          <w:color w:val="000000"/>
        </w:rPr>
        <w:fldChar w:fldCharType="begin" w:fldLock="1"/>
      </w:r>
      <w:r w:rsidR="00C87B6D">
        <w:rPr>
          <w:color w:val="000000"/>
        </w:rPr>
        <w:instrText>ADDIN CSL_CITATION { "citationItems" : [ { "id" : "ITEM-1", "itemData" : { "DOI" : "10.1016/j.brat.2005.06.006", "ISBN" : "0005-7967", "ISSN" : "0005-7967", "PMID" : "16300724", "abstract" : "The present article presents and reviews the model of psychopathology and treatment underlying Acceptance and Commitment Therapy (ACT). ACT is unusual in that it is linked to a comprehensive active basic research program on the nature of human language and cognition (Relational Frame Theory), echoing back to an earlier era of behavior therapy in which clinical treatments were consciously based on basic behavioral principles. The evidence from correlational, component, process of change, and outcome comparisons relevant to the model are broadly supportive, but the literature is not mature and many questions have not yet been examined. What evidence is available suggests that ACT works through different processes than active treatment comparisons, including traditional Cognitive-Behavior Therapy (CBT). There are not enough well-controlled studies to conclude that ACT is generally more effective than other active treatments across the range of problems examined, but so far the data are promising.", "author" : [ { "dropping-particle" : "", "family" : "Hayes", "given" : "Steven C", "non-dropping-particle" : "", "parse-names" : false, "suffix" : "" }, { "dropping-particle" : "", "family" : "Luoma", "given" : "Jason B", "non-dropping-particle" : "", "parse-names" : false, "suffix" : "" }, { "dropping-particle" : "", "family" : "Bond", "given" : "Frank W", "non-dropping-particle" : "", "parse-names" : false, "suffix" : "" }, { "dropping-particle" : "", "family" : "Masuda", "given" : "Akihiko", "non-dropping-particle" : "", "parse-names" : false, "suffix" : "" }, { "dropping-particle" : "", "family" : "Lillis", "given" : "Jason", "non-dropping-particle" : "", "parse-names" : false, "suffix" : "" } ], "container-title" : "Behaviour Research and Therapy", "id" : "ITEM-1", "issued" : { "date-parts" : [ [ "2006" ] ] }, "page" : "1-25", "title" : "Acceptance and Commitment Therapy: Model, processes and outcomes.", "type" : "article-journal", "volume" : "44" }, "uris" : [ "http://www.mendeley.com/documents/?uuid=ff47006a-314b-4e8a-9cd4-0f9cb00fd209" ] } ], "mendeley" : { "formattedCitation" : "(Hayes et al., 2006)", "plainTextFormattedCitation" : "(Hayes et al., 2006)", "previouslyFormattedCitation" : "(Hayes et al., 2006)" }, "properties" : { "noteIndex" : 0 }, "schema" : "https://github.com/citation-style-language/schema/raw/master/csl-citation.json" }</w:instrText>
      </w:r>
      <w:r w:rsidR="006270D6">
        <w:rPr>
          <w:color w:val="000000"/>
        </w:rPr>
        <w:fldChar w:fldCharType="separate"/>
      </w:r>
      <w:r w:rsidR="00C87B6D" w:rsidRPr="00C87B6D">
        <w:rPr>
          <w:noProof/>
          <w:color w:val="000000"/>
        </w:rPr>
        <w:t>(Hayes et al., 2006)</w:t>
      </w:r>
      <w:r w:rsidR="006270D6">
        <w:rPr>
          <w:color w:val="000000"/>
        </w:rPr>
        <w:fldChar w:fldCharType="end"/>
      </w:r>
      <w:r w:rsidR="006270D6">
        <w:rPr>
          <w:color w:val="000000"/>
        </w:rPr>
        <w:t>.</w:t>
      </w:r>
      <w:r w:rsidR="00753658">
        <w:rPr>
          <w:color w:val="000000"/>
        </w:rPr>
        <w:t xml:space="preserve"> </w:t>
      </w:r>
    </w:p>
    <w:p w14:paraId="3A48077D" w14:textId="3873C96D" w:rsidR="001F0F36" w:rsidRPr="00981D9A" w:rsidRDefault="007236E1" w:rsidP="00467D55">
      <w:pPr>
        <w:spacing w:line="480" w:lineRule="auto"/>
        <w:contextualSpacing/>
      </w:pPr>
      <w:r>
        <w:rPr>
          <w:color w:val="000000"/>
        </w:rPr>
        <w:tab/>
      </w:r>
      <w:r w:rsidR="0085462D">
        <w:rPr>
          <w:color w:val="000000"/>
        </w:rPr>
        <w:t>Although effective trea</w:t>
      </w:r>
      <w:r w:rsidR="00C03CED">
        <w:rPr>
          <w:color w:val="000000"/>
        </w:rPr>
        <w:t>t</w:t>
      </w:r>
      <w:r w:rsidR="00BA5584">
        <w:rPr>
          <w:color w:val="000000"/>
        </w:rPr>
        <w:t>ment</w:t>
      </w:r>
      <w:r w:rsidR="0085462D">
        <w:rPr>
          <w:color w:val="000000"/>
        </w:rPr>
        <w:t xml:space="preserve"> for hoarding exist</w:t>
      </w:r>
      <w:r w:rsidR="00BA5584">
        <w:rPr>
          <w:color w:val="000000"/>
        </w:rPr>
        <w:t>s</w:t>
      </w:r>
      <w:r w:rsidR="0085462D">
        <w:rPr>
          <w:color w:val="000000"/>
        </w:rPr>
        <w:t xml:space="preserve">, </w:t>
      </w:r>
      <w:r w:rsidR="00C03CED">
        <w:rPr>
          <w:color w:val="000000"/>
        </w:rPr>
        <w:t>there is a need t</w:t>
      </w:r>
      <w:r w:rsidR="00557252">
        <w:rPr>
          <w:color w:val="000000"/>
        </w:rPr>
        <w:t xml:space="preserve">o improve our understanding </w:t>
      </w:r>
      <w:r w:rsidR="00C03CED">
        <w:rPr>
          <w:color w:val="000000"/>
        </w:rPr>
        <w:t xml:space="preserve">of </w:t>
      </w:r>
      <w:r w:rsidR="00C703BC">
        <w:rPr>
          <w:color w:val="000000"/>
        </w:rPr>
        <w:t xml:space="preserve">how </w:t>
      </w:r>
      <w:r w:rsidR="00C03CED">
        <w:rPr>
          <w:color w:val="000000"/>
        </w:rPr>
        <w:t>hoarding</w:t>
      </w:r>
      <w:r w:rsidR="00BA5584">
        <w:rPr>
          <w:color w:val="000000"/>
        </w:rPr>
        <w:t xml:space="preserve"> </w:t>
      </w:r>
      <w:r w:rsidR="00557252">
        <w:rPr>
          <w:color w:val="000000"/>
        </w:rPr>
        <w:t xml:space="preserve">develops and </w:t>
      </w:r>
      <w:r w:rsidR="00C703BC">
        <w:rPr>
          <w:color w:val="000000"/>
        </w:rPr>
        <w:t xml:space="preserve">is maintained </w:t>
      </w:r>
      <w:r w:rsidR="00BA5584">
        <w:rPr>
          <w:color w:val="000000"/>
        </w:rPr>
        <w:t>in order to enhance its efficiency and impact</w:t>
      </w:r>
      <w:r w:rsidR="00C33446">
        <w:rPr>
          <w:color w:val="000000"/>
        </w:rPr>
        <w:t xml:space="preserve"> </w:t>
      </w:r>
      <w:r w:rsidR="00A1516A">
        <w:rPr>
          <w:color w:val="000000"/>
        </w:rPr>
        <w:fldChar w:fldCharType="begin" w:fldLock="1"/>
      </w:r>
      <w:r w:rsidR="001E53E6">
        <w:rPr>
          <w:color w:val="000000"/>
        </w:rPr>
        <w:instrText>ADDIN CSL_CITATION { "citationItems" : [ { "id" : "ITEM-1", "itemData" : { "DOI" : "10.1002/da.22327", "ISSN" : "10914269", "author" : [ { "dropping-particle" : "", "family" : "Tolin", "given" : "David F.", "non-dropping-particle" : "", "parse-names" : false, "suffix" : "" }, { "dropping-particle" : "", "family" : "Frost", "given" : "Randy O.", "non-dropping-particle" : "", "parse-names" : false, "suffix" : "" }, { "dropping-particle" : "", "family" : "Steketee", "given" : "Gail", "non-dropping-particle" : "", "parse-names" : false, "suffix" : "" }, { "dropping-particle" : "", "family" : "Muroff", "given" : "Jordana", "non-dropping-particle" : "", "parse-names" : false, "suffix" : "" } ], "container-title" : "Depression and Anxiety", "id" : "ITEM-1", "issued" : { "date-parts" : [ [ "2015" ] ] }, "page" : "158-166", "title" : "Cognitive behavioral therapy for hoarding disorder: A meta-analysis", "type" : "article-journal", "volume" : "32" }, "uris" : [ "http://www.mendeley.com/documents/?uuid=d6a717d0-bb9d-4ecf-ad4b-e4699b30f7a5" ] } ], "mendeley" : { "formattedCitation" : "(Tolin, Frost, Steketee, &amp; Muroff, 2015)", "plainTextFormattedCitation" : "(Tolin, Frost, Steketee, &amp; Muroff, 2015)", "previouslyFormattedCitation" : "(Tolin, Frost, Steketee, &amp; Muroff, 2015)" }, "properties" : { "noteIndex" : 0 }, "schema" : "https://github.com/citation-style-language/schema/raw/master/csl-citation.json" }</w:instrText>
      </w:r>
      <w:r w:rsidR="00A1516A">
        <w:rPr>
          <w:color w:val="000000"/>
        </w:rPr>
        <w:fldChar w:fldCharType="separate"/>
      </w:r>
      <w:r w:rsidR="00A1516A" w:rsidRPr="00A1516A">
        <w:rPr>
          <w:noProof/>
          <w:color w:val="000000"/>
        </w:rPr>
        <w:t>(Tolin, Frost, Steketee, &amp; Muroff, 2015)</w:t>
      </w:r>
      <w:r w:rsidR="00A1516A">
        <w:rPr>
          <w:color w:val="000000"/>
        </w:rPr>
        <w:fldChar w:fldCharType="end"/>
      </w:r>
      <w:r w:rsidR="00A1516A">
        <w:rPr>
          <w:color w:val="000000"/>
        </w:rPr>
        <w:t xml:space="preserve">. Psychological inflexibility is a promising area for future research in hoarding, as it could provide a novel treatment target that </w:t>
      </w:r>
      <w:r w:rsidR="001E53E6">
        <w:rPr>
          <w:color w:val="000000"/>
        </w:rPr>
        <w:t xml:space="preserve">explains how ineffective ways of responding to </w:t>
      </w:r>
      <w:r w:rsidR="00A1516A">
        <w:rPr>
          <w:color w:val="000000"/>
        </w:rPr>
        <w:t>distress and maladaptive cognitions</w:t>
      </w:r>
      <w:r w:rsidR="001E53E6">
        <w:rPr>
          <w:color w:val="000000"/>
        </w:rPr>
        <w:t xml:space="preserve"> contribute</w:t>
      </w:r>
      <w:r w:rsidR="00A1516A">
        <w:rPr>
          <w:color w:val="000000"/>
        </w:rPr>
        <w:t xml:space="preserve"> to hoarding behaviors</w:t>
      </w:r>
      <w:r w:rsidR="001E53E6">
        <w:rPr>
          <w:color w:val="000000"/>
        </w:rPr>
        <w:t xml:space="preserve">, and it can be targeted with ACT </w:t>
      </w:r>
      <w:r w:rsidR="001E53E6">
        <w:rPr>
          <w:color w:val="000000"/>
        </w:rPr>
        <w:fldChar w:fldCharType="begin" w:fldLock="1"/>
      </w:r>
      <w:r w:rsidR="004259C2">
        <w:rPr>
          <w:color w:val="000000"/>
        </w:rPr>
        <w:instrText>ADDIN CSL_CITATION { "citationItems" : [ { "id" : "ITEM-1", "itemData" : { "DOI" : "10.1016/j.brat.2005.06.006", "ISBN" : "0005-7967", "ISSN" : "0005-7967", "PMID" : "16300724", "abstract" : "The present article presents and reviews the model of psychopathology and treatment underlying Acceptance and Commitment Therapy (ACT). ACT is unusual in that it is linked to a comprehensive active basic research program on the nature of human language and cognition (Relational Frame Theory), echoing back to an earlier era of behavior therapy in which clinical treatments were consciously based on basic behavioral principles. The evidence from correlational, component, process of change, and outcome comparisons relevant to the model are broadly supportive, but the literature is not mature and many questions have not yet been examined. What evidence is available suggests that ACT works through different processes than active treatment comparisons, including traditional Cognitive-Behavior Therapy (CBT). There are not enough well-controlled studies to conclude that ACT is generally more effective than other active treatments across the range of problems examined, but so far the data are promising.", "author" : [ { "dropping-particle" : "", "family" : "Hayes", "given" : "Steven C", "non-dropping-particle" : "", "parse-names" : false, "suffix" : "" }, { "dropping-particle" : "", "family" : "Luoma", "given" : "Jason B", "non-dropping-particle" : "", "parse-names" : false, "suffix" : "" }, { "dropping-particle" : "", "family" : "Bond", "given" : "Frank W", "non-dropping-particle" : "", "parse-names" : false, "suffix" : "" }, { "dropping-particle" : "", "family" : "Masuda", "given" : "Akihiko", "non-dropping-particle" : "", "parse-names" : false, "suffix" : "" }, { "dropping-particle" : "", "family" : "Lillis", "given" : "Jason", "non-dropping-particle" : "", "parse-names" : false, "suffix" : "" } ], "container-title" : "Behaviour Research and Therapy", "id" : "ITEM-1", "issued" : { "date-parts" : [ [ "2006" ] ] }, "page" : "1-25", "title" : "Acceptance and Commitment Therapy: Model, processes and outcomes.", "type" : "article-journal", "volume" : "44" }, "uris" : [ "http://www.mendeley.com/documents/?uuid=ff47006a-314b-4e8a-9cd4-0f9cb00fd209" ] } ], "mendeley" : { "formattedCitation" : "(Hayes et al., 2006)", "plainTextFormattedCitation" : "(Hayes et al., 2006)", "previouslyFormattedCitation" : "(Hayes et al., 2006)" }, "properties" : { "noteIndex" : 0 }, "schema" : "https://github.com/citation-style-language/schema/raw/master/csl-citation.json" }</w:instrText>
      </w:r>
      <w:r w:rsidR="001E53E6">
        <w:rPr>
          <w:color w:val="000000"/>
        </w:rPr>
        <w:fldChar w:fldCharType="separate"/>
      </w:r>
      <w:r w:rsidR="001E53E6" w:rsidRPr="001E53E6">
        <w:rPr>
          <w:noProof/>
          <w:color w:val="000000"/>
        </w:rPr>
        <w:t>(Hayes et al., 2006)</w:t>
      </w:r>
      <w:r w:rsidR="001E53E6">
        <w:rPr>
          <w:color w:val="000000"/>
        </w:rPr>
        <w:fldChar w:fldCharType="end"/>
      </w:r>
      <w:r w:rsidR="00A1516A">
        <w:rPr>
          <w:color w:val="000000"/>
        </w:rPr>
        <w:t xml:space="preserve">. </w:t>
      </w:r>
      <w:r w:rsidR="00793F83">
        <w:rPr>
          <w:color w:val="000000"/>
        </w:rPr>
        <w:t>P</w:t>
      </w:r>
      <w:r w:rsidR="001E53E6">
        <w:rPr>
          <w:color w:val="000000"/>
        </w:rPr>
        <w:t>reliminary validation indicates that the AAQH is a reliable and valid measure of hoarding-related psychological inflexibility. A</w:t>
      </w:r>
      <w:r w:rsidR="00C703BC">
        <w:rPr>
          <w:color w:val="000000"/>
        </w:rPr>
        <w:t>s such, this measure may help to guide and support</w:t>
      </w:r>
      <w:r w:rsidR="001E53E6">
        <w:rPr>
          <w:color w:val="000000"/>
        </w:rPr>
        <w:t xml:space="preserve"> </w:t>
      </w:r>
      <w:r w:rsidR="00C703BC">
        <w:rPr>
          <w:color w:val="000000"/>
        </w:rPr>
        <w:t>further research on the relevance of psychological inflexibility in the development, maintenance, and treatment of hoarding.</w:t>
      </w:r>
    </w:p>
    <w:p w14:paraId="78540785" w14:textId="77777777" w:rsidR="005F02E8" w:rsidRPr="00981D9A" w:rsidRDefault="005F02E8" w:rsidP="00467D55">
      <w:pPr>
        <w:spacing w:line="480" w:lineRule="auto"/>
        <w:contextualSpacing/>
      </w:pPr>
    </w:p>
    <w:p w14:paraId="4AB17399" w14:textId="4D032513" w:rsidR="00FB6637" w:rsidRDefault="00FB6637"/>
    <w:p w14:paraId="2248720E" w14:textId="77777777" w:rsidR="00E568D5" w:rsidRDefault="00E568D5">
      <w:r>
        <w:br w:type="page"/>
      </w:r>
    </w:p>
    <w:p w14:paraId="14AC9F35" w14:textId="111D0B55" w:rsidR="005F02E8" w:rsidRDefault="005F02E8" w:rsidP="00623D6F">
      <w:pPr>
        <w:spacing w:line="480" w:lineRule="auto"/>
        <w:contextualSpacing/>
        <w:jc w:val="center"/>
      </w:pPr>
      <w:r w:rsidRPr="00981D9A">
        <w:t>References</w:t>
      </w:r>
    </w:p>
    <w:p w14:paraId="3D6479F0" w14:textId="77777777" w:rsidR="008E3E28" w:rsidRPr="008E3E28" w:rsidRDefault="00B53D6E" w:rsidP="008E3E28">
      <w:pPr>
        <w:widowControl w:val="0"/>
        <w:autoSpaceDE w:val="0"/>
        <w:autoSpaceDN w:val="0"/>
        <w:adjustRightInd w:val="0"/>
        <w:spacing w:line="480" w:lineRule="auto"/>
        <w:ind w:left="480" w:hanging="480"/>
        <w:rPr>
          <w:noProof/>
        </w:rPr>
      </w:pPr>
      <w:r>
        <w:fldChar w:fldCharType="begin" w:fldLock="1"/>
      </w:r>
      <w:r>
        <w:instrText xml:space="preserve">ADDIN Mendeley Bibliography CSL_BIBLIOGRAPHY </w:instrText>
      </w:r>
      <w:r>
        <w:fldChar w:fldCharType="separate"/>
      </w:r>
      <w:r w:rsidR="008E3E28" w:rsidRPr="008E3E28">
        <w:rPr>
          <w:noProof/>
        </w:rPr>
        <w:t xml:space="preserve">A-Tjak, J. G. L., Davis, M. L., Morina, N., Powers, M. B., Smits, J. A. J., &amp; Emmelkamp, P. M. G. (2015). A meta-analysis of the efficacy of acceptance and commitment therapy for clinically relevant mental and physical health problems. </w:t>
      </w:r>
      <w:r w:rsidR="008E3E28" w:rsidRPr="008E3E28">
        <w:rPr>
          <w:i/>
          <w:iCs/>
          <w:noProof/>
        </w:rPr>
        <w:t>Psychotherapy and Psychosomatics</w:t>
      </w:r>
      <w:r w:rsidR="008E3E28" w:rsidRPr="008E3E28">
        <w:rPr>
          <w:noProof/>
        </w:rPr>
        <w:t xml:space="preserve">, </w:t>
      </w:r>
      <w:r w:rsidR="008E3E28" w:rsidRPr="008E3E28">
        <w:rPr>
          <w:i/>
          <w:iCs/>
          <w:noProof/>
        </w:rPr>
        <w:t>84</w:t>
      </w:r>
      <w:r w:rsidR="008E3E28" w:rsidRPr="008E3E28">
        <w:rPr>
          <w:noProof/>
        </w:rPr>
        <w:t>, 30–36. http://doi.org/10.1159/000365764</w:t>
      </w:r>
    </w:p>
    <w:p w14:paraId="52A6C32E" w14:textId="77777777" w:rsidR="008E3E28" w:rsidRPr="008E3E28" w:rsidRDefault="008E3E28" w:rsidP="008E3E28">
      <w:pPr>
        <w:widowControl w:val="0"/>
        <w:autoSpaceDE w:val="0"/>
        <w:autoSpaceDN w:val="0"/>
        <w:adjustRightInd w:val="0"/>
        <w:spacing w:line="480" w:lineRule="auto"/>
        <w:ind w:left="480" w:hanging="480"/>
        <w:rPr>
          <w:noProof/>
        </w:rPr>
      </w:pPr>
      <w:r w:rsidRPr="008E3E28">
        <w:rPr>
          <w:noProof/>
        </w:rPr>
        <w:t xml:space="preserve">American Psychiatric Association. (2013). </w:t>
      </w:r>
      <w:r w:rsidRPr="008E3E28">
        <w:rPr>
          <w:i/>
          <w:iCs/>
          <w:noProof/>
        </w:rPr>
        <w:t>Diagnostic and statistical manual of mental disorders</w:t>
      </w:r>
      <w:r w:rsidRPr="008E3E28">
        <w:rPr>
          <w:noProof/>
        </w:rPr>
        <w:t xml:space="preserve"> (5th ed.). Washington, DC: American Psychiatric Publishing.</w:t>
      </w:r>
    </w:p>
    <w:p w14:paraId="629A9121" w14:textId="6EAF9E8A" w:rsidR="008E3E28" w:rsidRPr="008E3E28" w:rsidRDefault="008E3E28" w:rsidP="008E3E28">
      <w:pPr>
        <w:widowControl w:val="0"/>
        <w:autoSpaceDE w:val="0"/>
        <w:autoSpaceDN w:val="0"/>
        <w:adjustRightInd w:val="0"/>
        <w:spacing w:line="480" w:lineRule="auto"/>
        <w:ind w:left="480" w:hanging="480"/>
        <w:rPr>
          <w:noProof/>
        </w:rPr>
      </w:pPr>
      <w:r w:rsidRPr="008E3E28">
        <w:rPr>
          <w:noProof/>
        </w:rPr>
        <w:t xml:space="preserve">Ayers, C. R., Castriotta, N., Dozier, M. E., Espejo, E. P., &amp; Porter, B. (2014). Behavioral and experiential avoidance in patients with hoarding disorder. </w:t>
      </w:r>
      <w:r w:rsidRPr="008E3E28">
        <w:rPr>
          <w:i/>
          <w:iCs/>
          <w:noProof/>
        </w:rPr>
        <w:t>Journal of Behavior Therapy and Experimental Psychiatry</w:t>
      </w:r>
      <w:r w:rsidRPr="008E3E28">
        <w:rPr>
          <w:noProof/>
        </w:rPr>
        <w:t xml:space="preserve">, </w:t>
      </w:r>
      <w:r w:rsidRPr="008E3E28">
        <w:rPr>
          <w:i/>
          <w:iCs/>
          <w:noProof/>
        </w:rPr>
        <w:t>45</w:t>
      </w:r>
      <w:r w:rsidRPr="008E3E28">
        <w:rPr>
          <w:noProof/>
        </w:rPr>
        <w:t>, 408–414. http://doi.org/10.1016/j.jbtep.2014.04.005</w:t>
      </w:r>
    </w:p>
    <w:p w14:paraId="5EBE7B86" w14:textId="62620DF7" w:rsidR="008E3E28" w:rsidRPr="008E3E28" w:rsidRDefault="008E3E28" w:rsidP="008E3E28">
      <w:pPr>
        <w:widowControl w:val="0"/>
        <w:autoSpaceDE w:val="0"/>
        <w:autoSpaceDN w:val="0"/>
        <w:adjustRightInd w:val="0"/>
        <w:spacing w:line="480" w:lineRule="auto"/>
        <w:ind w:left="480" w:hanging="480"/>
        <w:rPr>
          <w:noProof/>
        </w:rPr>
      </w:pPr>
      <w:r w:rsidRPr="008E3E28">
        <w:rPr>
          <w:noProof/>
        </w:rPr>
        <w:t xml:space="preserve">Bluett, E. J., Homan, K. J., Morrison, K. L., Levin, M. E., &amp; Twohig, M. P. (2014). Acceptance and commitment therapy for anxiety and OCD spectrum disorders: An empirical review. </w:t>
      </w:r>
      <w:r w:rsidRPr="008E3E28">
        <w:rPr>
          <w:i/>
          <w:iCs/>
          <w:noProof/>
        </w:rPr>
        <w:t>Journal of Anxiety Disorders</w:t>
      </w:r>
      <w:r w:rsidRPr="008E3E28">
        <w:rPr>
          <w:noProof/>
        </w:rPr>
        <w:t xml:space="preserve">, </w:t>
      </w:r>
      <w:r w:rsidRPr="008E3E28">
        <w:rPr>
          <w:i/>
          <w:iCs/>
          <w:noProof/>
        </w:rPr>
        <w:t>28</w:t>
      </w:r>
      <w:r w:rsidRPr="008E3E28">
        <w:rPr>
          <w:noProof/>
        </w:rPr>
        <w:t>, 612–624. http://doi.org/10.1016/j.janxdis.2014.06.008</w:t>
      </w:r>
    </w:p>
    <w:p w14:paraId="344B5C93" w14:textId="1080439E" w:rsidR="00C56C3C" w:rsidRDefault="00C56C3C" w:rsidP="008E3E28">
      <w:pPr>
        <w:widowControl w:val="0"/>
        <w:autoSpaceDE w:val="0"/>
        <w:autoSpaceDN w:val="0"/>
        <w:adjustRightInd w:val="0"/>
        <w:spacing w:line="480" w:lineRule="auto"/>
        <w:ind w:left="480" w:hanging="480"/>
        <w:rPr>
          <w:noProof/>
        </w:rPr>
      </w:pPr>
      <w:r w:rsidRPr="00C56C3C">
        <w:rPr>
          <w:noProof/>
        </w:rPr>
        <w:t xml:space="preserve">Bollen, K. A. (1989). </w:t>
      </w:r>
      <w:r w:rsidRPr="009F157E">
        <w:rPr>
          <w:i/>
          <w:noProof/>
        </w:rPr>
        <w:t>Structural equations with latent variables</w:t>
      </w:r>
      <w:r w:rsidRPr="00C56C3C">
        <w:rPr>
          <w:noProof/>
        </w:rPr>
        <w:t>. New York, NY: Wiley.</w:t>
      </w:r>
    </w:p>
    <w:p w14:paraId="4C95AA08" w14:textId="77777777" w:rsidR="008E3E28" w:rsidRPr="008E3E28" w:rsidRDefault="008E3E28" w:rsidP="008E3E28">
      <w:pPr>
        <w:widowControl w:val="0"/>
        <w:autoSpaceDE w:val="0"/>
        <w:autoSpaceDN w:val="0"/>
        <w:adjustRightInd w:val="0"/>
        <w:spacing w:line="480" w:lineRule="auto"/>
        <w:ind w:left="480" w:hanging="480"/>
        <w:rPr>
          <w:noProof/>
        </w:rPr>
      </w:pPr>
      <w:r w:rsidRPr="008E3E28">
        <w:rPr>
          <w:noProof/>
        </w:rPr>
        <w:t xml:space="preserve">Bond, F. W., Hayes, S. C., Baer, R. A., Carpenter, K. M., Guenole, N., Orcutt, H. K., … Zettle, R. D. (2011). Preliminary psychometric properties of the Acceptance and Action Questionnaire-II: A revised measure of psychological inflexibility and experiential avoidance. </w:t>
      </w:r>
      <w:r w:rsidRPr="008E3E28">
        <w:rPr>
          <w:i/>
          <w:iCs/>
          <w:noProof/>
        </w:rPr>
        <w:t>Behavior Therapy</w:t>
      </w:r>
      <w:r w:rsidRPr="008E3E28">
        <w:rPr>
          <w:noProof/>
        </w:rPr>
        <w:t xml:space="preserve">, </w:t>
      </w:r>
      <w:r w:rsidRPr="008E3E28">
        <w:rPr>
          <w:i/>
          <w:iCs/>
          <w:noProof/>
        </w:rPr>
        <w:t>42</w:t>
      </w:r>
      <w:r w:rsidRPr="008E3E28">
        <w:rPr>
          <w:noProof/>
        </w:rPr>
        <w:t>, 676–688. http://doi.org/10.1016/j.beth.2011.03.007</w:t>
      </w:r>
    </w:p>
    <w:p w14:paraId="24A8D365" w14:textId="77777777" w:rsidR="008E3E28" w:rsidRPr="008E3E28" w:rsidRDefault="008E3E28" w:rsidP="008E3E28">
      <w:pPr>
        <w:widowControl w:val="0"/>
        <w:autoSpaceDE w:val="0"/>
        <w:autoSpaceDN w:val="0"/>
        <w:adjustRightInd w:val="0"/>
        <w:spacing w:line="480" w:lineRule="auto"/>
        <w:ind w:left="480" w:hanging="480"/>
        <w:rPr>
          <w:noProof/>
        </w:rPr>
      </w:pPr>
      <w:r w:rsidRPr="008E3E28">
        <w:rPr>
          <w:noProof/>
        </w:rPr>
        <w:t xml:space="preserve">Bradburn, N. M., Rips, L. J., &amp; Shevell, S. K. (1987). Answering autobiographical questions: The impact of memory and inference on surveys. </w:t>
      </w:r>
      <w:r w:rsidRPr="008E3E28">
        <w:rPr>
          <w:i/>
          <w:iCs/>
          <w:noProof/>
        </w:rPr>
        <w:t>Science</w:t>
      </w:r>
      <w:r w:rsidRPr="008E3E28">
        <w:rPr>
          <w:noProof/>
        </w:rPr>
        <w:t xml:space="preserve">, </w:t>
      </w:r>
      <w:r w:rsidRPr="008E3E28">
        <w:rPr>
          <w:i/>
          <w:iCs/>
          <w:noProof/>
        </w:rPr>
        <w:t>236</w:t>
      </w:r>
      <w:r w:rsidRPr="008E3E28">
        <w:rPr>
          <w:noProof/>
        </w:rPr>
        <w:t>, 157–161. http://doi.org/10.1126/science.3563494</w:t>
      </w:r>
    </w:p>
    <w:p w14:paraId="7BC27F09" w14:textId="77777777" w:rsidR="008E3E28" w:rsidRPr="008E3E28" w:rsidRDefault="008E3E28" w:rsidP="008E3E28">
      <w:pPr>
        <w:widowControl w:val="0"/>
        <w:autoSpaceDE w:val="0"/>
        <w:autoSpaceDN w:val="0"/>
        <w:adjustRightInd w:val="0"/>
        <w:spacing w:line="480" w:lineRule="auto"/>
        <w:ind w:left="480" w:hanging="480"/>
        <w:rPr>
          <w:noProof/>
        </w:rPr>
      </w:pPr>
      <w:r w:rsidRPr="008E3E28">
        <w:rPr>
          <w:noProof/>
        </w:rPr>
        <w:t xml:space="preserve">Brown, K. W., &amp; Ryan, R. M. (2003). The benefits of being present: mindfulness and its role in psychological well-being. </w:t>
      </w:r>
      <w:r w:rsidRPr="008E3E28">
        <w:rPr>
          <w:i/>
          <w:iCs/>
          <w:noProof/>
        </w:rPr>
        <w:t>Journal of Personality and Social Psychology</w:t>
      </w:r>
      <w:r w:rsidRPr="008E3E28">
        <w:rPr>
          <w:noProof/>
        </w:rPr>
        <w:t xml:space="preserve">, </w:t>
      </w:r>
      <w:r w:rsidRPr="008E3E28">
        <w:rPr>
          <w:i/>
          <w:iCs/>
          <w:noProof/>
        </w:rPr>
        <w:t>84</w:t>
      </w:r>
      <w:r w:rsidRPr="008E3E28">
        <w:rPr>
          <w:noProof/>
        </w:rPr>
        <w:t>, 822–848. http://doi.org/10.1037/0022-3514.84.4.822</w:t>
      </w:r>
    </w:p>
    <w:p w14:paraId="3A5F4DFA" w14:textId="2C688839" w:rsidR="007F22FE" w:rsidRDefault="008E3E28" w:rsidP="009F157E">
      <w:pPr>
        <w:widowControl w:val="0"/>
        <w:autoSpaceDE w:val="0"/>
        <w:autoSpaceDN w:val="0"/>
        <w:adjustRightInd w:val="0"/>
        <w:spacing w:line="480" w:lineRule="auto"/>
        <w:ind w:left="480" w:hanging="480"/>
        <w:rPr>
          <w:noProof/>
        </w:rPr>
      </w:pPr>
      <w:r w:rsidRPr="008E3E28">
        <w:rPr>
          <w:noProof/>
        </w:rPr>
        <w:t xml:space="preserve">Cardaciotto, L., Herbert, J. D., Forman, E. M., Moitra, E., &amp; Farrow, V. (2008). The assessment of present-moment awareness and acceptance: The Philadelphia Mindfulness Scale. </w:t>
      </w:r>
      <w:r w:rsidRPr="008E3E28">
        <w:rPr>
          <w:i/>
          <w:iCs/>
          <w:noProof/>
        </w:rPr>
        <w:t>Assessment</w:t>
      </w:r>
      <w:r w:rsidRPr="008E3E28">
        <w:rPr>
          <w:noProof/>
        </w:rPr>
        <w:t xml:space="preserve">, </w:t>
      </w:r>
      <w:r w:rsidRPr="008E3E28">
        <w:rPr>
          <w:i/>
          <w:iCs/>
          <w:noProof/>
        </w:rPr>
        <w:t>15</w:t>
      </w:r>
      <w:r w:rsidRPr="008E3E28">
        <w:rPr>
          <w:noProof/>
        </w:rPr>
        <w:t>, 204–223. http://doi.org/10.1177/1073191107311467</w:t>
      </w:r>
    </w:p>
    <w:p w14:paraId="181E70E1" w14:textId="704F400C" w:rsidR="007F22FE" w:rsidRPr="007F22FE" w:rsidRDefault="007F22FE" w:rsidP="008E3E28">
      <w:pPr>
        <w:widowControl w:val="0"/>
        <w:autoSpaceDE w:val="0"/>
        <w:autoSpaceDN w:val="0"/>
        <w:adjustRightInd w:val="0"/>
        <w:spacing w:line="480" w:lineRule="auto"/>
        <w:ind w:left="480" w:hanging="480"/>
        <w:rPr>
          <w:noProof/>
        </w:rPr>
      </w:pPr>
      <w:r w:rsidRPr="009F157E">
        <w:rPr>
          <w:rFonts w:eastAsia="Times New Roman"/>
          <w:color w:val="222222"/>
          <w:shd w:val="clear" w:color="auto" w:fill="FFFFFF"/>
        </w:rPr>
        <w:t>Cheung, G. W., &amp; Rensvold, R. B. (2002). Evaluating goodness-of-fit indexes for testing measurement invariance. </w:t>
      </w:r>
      <w:r w:rsidRPr="009F157E">
        <w:rPr>
          <w:rFonts w:eastAsia="Times New Roman"/>
          <w:i/>
          <w:iCs/>
          <w:color w:val="222222"/>
          <w:shd w:val="clear" w:color="auto" w:fill="FFFFFF"/>
        </w:rPr>
        <w:t>Structural equation modeling</w:t>
      </w:r>
      <w:r w:rsidRPr="009F157E">
        <w:rPr>
          <w:rFonts w:eastAsia="Times New Roman"/>
          <w:color w:val="222222"/>
          <w:shd w:val="clear" w:color="auto" w:fill="FFFFFF"/>
        </w:rPr>
        <w:t>, </w:t>
      </w:r>
      <w:r w:rsidRPr="009F157E">
        <w:rPr>
          <w:rFonts w:eastAsia="Times New Roman"/>
          <w:i/>
          <w:iCs/>
          <w:color w:val="222222"/>
          <w:shd w:val="clear" w:color="auto" w:fill="FFFFFF"/>
        </w:rPr>
        <w:t>9</w:t>
      </w:r>
      <w:r w:rsidRPr="009F157E">
        <w:rPr>
          <w:rFonts w:eastAsia="Times New Roman"/>
          <w:color w:val="222222"/>
          <w:shd w:val="clear" w:color="auto" w:fill="FFFFFF"/>
        </w:rPr>
        <w:t>, 233-255.</w:t>
      </w:r>
    </w:p>
    <w:p w14:paraId="16E6E9FB" w14:textId="77777777" w:rsidR="008E3E28" w:rsidRPr="008E3E28" w:rsidRDefault="008E3E28" w:rsidP="008E3E28">
      <w:pPr>
        <w:widowControl w:val="0"/>
        <w:autoSpaceDE w:val="0"/>
        <w:autoSpaceDN w:val="0"/>
        <w:adjustRightInd w:val="0"/>
        <w:spacing w:line="480" w:lineRule="auto"/>
        <w:ind w:left="480" w:hanging="480"/>
        <w:rPr>
          <w:noProof/>
        </w:rPr>
      </w:pPr>
      <w:r w:rsidRPr="008E3E28">
        <w:rPr>
          <w:noProof/>
        </w:rPr>
        <w:t xml:space="preserve">Clark, L. A., &amp; Watson, D. (1995). Constructing validity : Basic issues in objective scale development. </w:t>
      </w:r>
      <w:r w:rsidRPr="008E3E28">
        <w:rPr>
          <w:i/>
          <w:iCs/>
          <w:noProof/>
        </w:rPr>
        <w:t>Psychological Assessment</w:t>
      </w:r>
      <w:r w:rsidRPr="008E3E28">
        <w:rPr>
          <w:noProof/>
        </w:rPr>
        <w:t xml:space="preserve">, </w:t>
      </w:r>
      <w:r w:rsidRPr="008E3E28">
        <w:rPr>
          <w:i/>
          <w:iCs/>
          <w:noProof/>
        </w:rPr>
        <w:t>7</w:t>
      </w:r>
      <w:r w:rsidRPr="008E3E28">
        <w:rPr>
          <w:noProof/>
        </w:rPr>
        <w:t>, 309–319.</w:t>
      </w:r>
    </w:p>
    <w:p w14:paraId="33AAFA75" w14:textId="77777777" w:rsidR="008E3E28" w:rsidRPr="008E3E28" w:rsidRDefault="008E3E28" w:rsidP="008E3E28">
      <w:pPr>
        <w:widowControl w:val="0"/>
        <w:autoSpaceDE w:val="0"/>
        <w:autoSpaceDN w:val="0"/>
        <w:adjustRightInd w:val="0"/>
        <w:spacing w:line="480" w:lineRule="auto"/>
        <w:ind w:left="480" w:hanging="480"/>
        <w:rPr>
          <w:noProof/>
        </w:rPr>
      </w:pPr>
      <w:r w:rsidRPr="008E3E28">
        <w:rPr>
          <w:noProof/>
        </w:rPr>
        <w:t xml:space="preserve">Coles, M. E., Frost, R. O., Heimberg, R. G., &amp; Steketee, G. (2003). Hoarding behaviors in a large college sample. </w:t>
      </w:r>
      <w:r w:rsidRPr="008E3E28">
        <w:rPr>
          <w:i/>
          <w:iCs/>
          <w:noProof/>
        </w:rPr>
        <w:t>Behaviour Research and Therapy</w:t>
      </w:r>
      <w:r w:rsidRPr="008E3E28">
        <w:rPr>
          <w:noProof/>
        </w:rPr>
        <w:t xml:space="preserve">, </w:t>
      </w:r>
      <w:r w:rsidRPr="008E3E28">
        <w:rPr>
          <w:i/>
          <w:iCs/>
          <w:noProof/>
        </w:rPr>
        <w:t>41</w:t>
      </w:r>
      <w:r w:rsidRPr="008E3E28">
        <w:rPr>
          <w:noProof/>
        </w:rPr>
        <w:t>, 179–194. http://doi.org/10.1016/S0005-7967(01)00136-X</w:t>
      </w:r>
    </w:p>
    <w:p w14:paraId="41571DCA" w14:textId="66BEA40E" w:rsidR="008E3E28" w:rsidRDefault="008E3E28" w:rsidP="008E3E28">
      <w:pPr>
        <w:widowControl w:val="0"/>
        <w:autoSpaceDE w:val="0"/>
        <w:autoSpaceDN w:val="0"/>
        <w:adjustRightInd w:val="0"/>
        <w:spacing w:line="480" w:lineRule="auto"/>
        <w:ind w:left="480" w:hanging="480"/>
        <w:rPr>
          <w:noProof/>
        </w:rPr>
      </w:pPr>
      <w:r w:rsidRPr="008E3E28">
        <w:rPr>
          <w:noProof/>
        </w:rPr>
        <w:t xml:space="preserve">Diener, E., Emmons, R., Larsen, J., &amp; Griffin, S. (1985). The satisfaction with life scale. </w:t>
      </w:r>
      <w:r w:rsidRPr="008E3E28">
        <w:rPr>
          <w:i/>
          <w:iCs/>
          <w:noProof/>
        </w:rPr>
        <w:t>Journal of Personality Assessmemt</w:t>
      </w:r>
      <w:r w:rsidRPr="008E3E28">
        <w:rPr>
          <w:noProof/>
        </w:rPr>
        <w:t xml:space="preserve">, </w:t>
      </w:r>
      <w:r w:rsidRPr="008E3E28">
        <w:rPr>
          <w:i/>
          <w:iCs/>
          <w:noProof/>
        </w:rPr>
        <w:t>49</w:t>
      </w:r>
      <w:r w:rsidRPr="008E3E28">
        <w:rPr>
          <w:noProof/>
        </w:rPr>
        <w:t>, 71–75. http://doi.org/10.1207/s15327752jpa4901_13</w:t>
      </w:r>
    </w:p>
    <w:p w14:paraId="1D783203" w14:textId="12EA646D" w:rsidR="0048680C" w:rsidRPr="00A228B3" w:rsidRDefault="0048680C" w:rsidP="00A228B3">
      <w:pPr>
        <w:pStyle w:val="NormalWeb"/>
        <w:tabs>
          <w:tab w:val="left" w:pos="810"/>
        </w:tabs>
        <w:spacing w:before="0" w:beforeAutospacing="0" w:after="0" w:afterAutospacing="0" w:line="480" w:lineRule="auto"/>
        <w:ind w:left="720" w:hanging="720"/>
        <w:contextualSpacing/>
        <w:rPr>
          <w:color w:val="000000"/>
          <w:shd w:val="clear" w:color="auto" w:fill="FFFFFF"/>
        </w:rPr>
      </w:pPr>
      <w:r w:rsidRPr="00455FD7">
        <w:t xml:space="preserve">Fernández de la Cruz, L., Landau, D., Iervolino, A. C., Santo, S., Pertusa, A., Singh, S., &amp; Mataix-Cols, D. (2013). Experiential avoidance and emotion regulation difficulties in hoarding disorder. </w:t>
      </w:r>
      <w:r w:rsidRPr="00455FD7">
        <w:rPr>
          <w:i/>
        </w:rPr>
        <w:t>Journal of Anxiety Disorders</w:t>
      </w:r>
      <w:r w:rsidRPr="00455FD7">
        <w:t xml:space="preserve">, </w:t>
      </w:r>
      <w:r w:rsidRPr="00455FD7">
        <w:rPr>
          <w:i/>
        </w:rPr>
        <w:t>27</w:t>
      </w:r>
      <w:r w:rsidRPr="00455FD7">
        <w:t>, 204–209. http://doi.org/</w:t>
      </w:r>
      <w:r w:rsidRPr="00455FD7">
        <w:rPr>
          <w:color w:val="000000"/>
          <w:shd w:val="clear" w:color="auto" w:fill="FFFFFF"/>
        </w:rPr>
        <w:t>10.1016/j.janxdis.2013.01.004</w:t>
      </w:r>
    </w:p>
    <w:p w14:paraId="461EAC91" w14:textId="77777777" w:rsidR="008E3E28" w:rsidRPr="008E3E28" w:rsidRDefault="008E3E28" w:rsidP="008E3E28">
      <w:pPr>
        <w:widowControl w:val="0"/>
        <w:autoSpaceDE w:val="0"/>
        <w:autoSpaceDN w:val="0"/>
        <w:adjustRightInd w:val="0"/>
        <w:spacing w:line="480" w:lineRule="auto"/>
        <w:ind w:left="480" w:hanging="480"/>
        <w:rPr>
          <w:noProof/>
        </w:rPr>
      </w:pPr>
      <w:r w:rsidRPr="008E3E28">
        <w:rPr>
          <w:noProof/>
        </w:rPr>
        <w:t xml:space="preserve">Floyd, F. J., &amp; Widaman, K. F. (1995). Factor analysis in the development and refinement of clinical assessment instruments. </w:t>
      </w:r>
      <w:r w:rsidRPr="008E3E28">
        <w:rPr>
          <w:i/>
          <w:iCs/>
          <w:noProof/>
        </w:rPr>
        <w:t>Psychological Assessment</w:t>
      </w:r>
      <w:r w:rsidRPr="008E3E28">
        <w:rPr>
          <w:noProof/>
        </w:rPr>
        <w:t xml:space="preserve">, </w:t>
      </w:r>
      <w:r w:rsidRPr="008E3E28">
        <w:rPr>
          <w:i/>
          <w:iCs/>
          <w:noProof/>
        </w:rPr>
        <w:t>7</w:t>
      </w:r>
      <w:r w:rsidRPr="008E3E28">
        <w:rPr>
          <w:noProof/>
        </w:rPr>
        <w:t>, 286–299. http://doi.org/10.1037/1040-3590.7.3.286</w:t>
      </w:r>
    </w:p>
    <w:p w14:paraId="21CF1CE1" w14:textId="413EB77E" w:rsidR="008E3E28" w:rsidRDefault="008E3E28" w:rsidP="008E3E28">
      <w:pPr>
        <w:widowControl w:val="0"/>
        <w:autoSpaceDE w:val="0"/>
        <w:autoSpaceDN w:val="0"/>
        <w:adjustRightInd w:val="0"/>
        <w:spacing w:line="480" w:lineRule="auto"/>
        <w:ind w:left="480" w:hanging="480"/>
        <w:rPr>
          <w:noProof/>
        </w:rPr>
      </w:pPr>
      <w:r w:rsidRPr="008E3E28">
        <w:rPr>
          <w:noProof/>
        </w:rPr>
        <w:t xml:space="preserve">Forman, E. M., Herbert, J. D., Moitra, E., Yeomans, P. D., &amp; Geller, P. </w:t>
      </w:r>
      <w:r w:rsidR="003C2C8B">
        <w:rPr>
          <w:noProof/>
        </w:rPr>
        <w:t>A</w:t>
      </w:r>
      <w:r w:rsidRPr="008E3E28">
        <w:rPr>
          <w:noProof/>
        </w:rPr>
        <w:t xml:space="preserve">. (2007). A randomized controlled effectiveness trial of acceptance and commitment therapy and cognitive therapy for anxiety and depression. </w:t>
      </w:r>
      <w:r w:rsidRPr="008E3E28">
        <w:rPr>
          <w:i/>
          <w:iCs/>
          <w:noProof/>
        </w:rPr>
        <w:t>Behavior Modification</w:t>
      </w:r>
      <w:r w:rsidRPr="008E3E28">
        <w:rPr>
          <w:noProof/>
        </w:rPr>
        <w:t xml:space="preserve">, </w:t>
      </w:r>
      <w:r w:rsidRPr="008E3E28">
        <w:rPr>
          <w:i/>
          <w:iCs/>
          <w:noProof/>
        </w:rPr>
        <w:t>31</w:t>
      </w:r>
      <w:r w:rsidRPr="008E3E28">
        <w:rPr>
          <w:noProof/>
        </w:rPr>
        <w:t>, 772–799. http://doi.org/10.1177/0145445507302202</w:t>
      </w:r>
    </w:p>
    <w:p w14:paraId="753BB270" w14:textId="611F8F46" w:rsidR="000C261A" w:rsidRPr="008E3E28" w:rsidRDefault="000C261A" w:rsidP="008E3E28">
      <w:pPr>
        <w:widowControl w:val="0"/>
        <w:autoSpaceDE w:val="0"/>
        <w:autoSpaceDN w:val="0"/>
        <w:adjustRightInd w:val="0"/>
        <w:spacing w:line="480" w:lineRule="auto"/>
        <w:ind w:left="480" w:hanging="480"/>
        <w:rPr>
          <w:noProof/>
        </w:rPr>
      </w:pPr>
      <w:r w:rsidRPr="000C261A">
        <w:rPr>
          <w:noProof/>
        </w:rPr>
        <w:t xml:space="preserve">Francis, A. W., Dawson, D. L., &amp; Golijani-Moghaddam, N. (2016). The development and validation of the Comprehensive assessment of Acceptance and Commitment Therapy processes (CompACT). </w:t>
      </w:r>
      <w:r w:rsidRPr="009F157E">
        <w:rPr>
          <w:i/>
          <w:noProof/>
        </w:rPr>
        <w:t>Journal of Contextual Behavioral Science, 5</w:t>
      </w:r>
      <w:r w:rsidRPr="000C261A">
        <w:rPr>
          <w:noProof/>
        </w:rPr>
        <w:t>, 134–145. http://doi.org/10.1016/j.jcbs.2016.05.003</w:t>
      </w:r>
    </w:p>
    <w:p w14:paraId="4C3AE491" w14:textId="77777777" w:rsidR="0048680C" w:rsidRDefault="008E3E28" w:rsidP="00A228B3">
      <w:pPr>
        <w:widowControl w:val="0"/>
        <w:autoSpaceDE w:val="0"/>
        <w:autoSpaceDN w:val="0"/>
        <w:adjustRightInd w:val="0"/>
        <w:spacing w:line="480" w:lineRule="auto"/>
        <w:ind w:left="480" w:hanging="480"/>
        <w:rPr>
          <w:noProof/>
        </w:rPr>
      </w:pPr>
      <w:r w:rsidRPr="008E3E28">
        <w:rPr>
          <w:noProof/>
        </w:rPr>
        <w:t xml:space="preserve">Frost, R. O., &amp; Hartl, T. L. (1996). A cognitive-behavioral model of compulsive hoarding. </w:t>
      </w:r>
      <w:r w:rsidRPr="008E3E28">
        <w:rPr>
          <w:i/>
          <w:iCs/>
          <w:noProof/>
        </w:rPr>
        <w:t>Behaviour Research and Therapy</w:t>
      </w:r>
      <w:r w:rsidRPr="008E3E28">
        <w:rPr>
          <w:noProof/>
        </w:rPr>
        <w:t xml:space="preserve">, </w:t>
      </w:r>
      <w:r w:rsidRPr="008E3E28">
        <w:rPr>
          <w:i/>
          <w:iCs/>
          <w:noProof/>
        </w:rPr>
        <w:t>34</w:t>
      </w:r>
      <w:r w:rsidRPr="008E3E28">
        <w:rPr>
          <w:noProof/>
        </w:rPr>
        <w:t>, 341–350.</w:t>
      </w:r>
    </w:p>
    <w:p w14:paraId="71CF407C" w14:textId="082E0DA8" w:rsidR="0048680C" w:rsidRPr="008E3E28" w:rsidRDefault="0048680C" w:rsidP="008E3E28">
      <w:pPr>
        <w:widowControl w:val="0"/>
        <w:autoSpaceDE w:val="0"/>
        <w:autoSpaceDN w:val="0"/>
        <w:adjustRightInd w:val="0"/>
        <w:spacing w:line="480" w:lineRule="auto"/>
        <w:ind w:left="480" w:hanging="480"/>
        <w:rPr>
          <w:noProof/>
        </w:rPr>
      </w:pPr>
      <w:r>
        <w:t xml:space="preserve">Frost, R. O., Hristova, V., Steketee, G., &amp; Tolin, D. F. (2013). Activities of Daily Living Scale in Hoarding Disorder. </w:t>
      </w:r>
      <w:r>
        <w:rPr>
          <w:i/>
          <w:iCs/>
        </w:rPr>
        <w:t>Journal of Obsessive-Compulsive and Related Disorders</w:t>
      </w:r>
      <w:r>
        <w:t xml:space="preserve">, </w:t>
      </w:r>
      <w:r>
        <w:rPr>
          <w:i/>
          <w:iCs/>
        </w:rPr>
        <w:t>2</w:t>
      </w:r>
      <w:r>
        <w:t>, 85–90. http://doi.org/10.1016/j.biotechadv.2011.08.021.Secreted</w:t>
      </w:r>
    </w:p>
    <w:p w14:paraId="311B5FA3" w14:textId="77777777" w:rsidR="008E3E28" w:rsidRPr="008E3E28" w:rsidRDefault="008E3E28" w:rsidP="008E3E28">
      <w:pPr>
        <w:widowControl w:val="0"/>
        <w:autoSpaceDE w:val="0"/>
        <w:autoSpaceDN w:val="0"/>
        <w:adjustRightInd w:val="0"/>
        <w:spacing w:line="480" w:lineRule="auto"/>
        <w:ind w:left="480" w:hanging="480"/>
        <w:rPr>
          <w:noProof/>
        </w:rPr>
      </w:pPr>
      <w:r w:rsidRPr="008E3E28">
        <w:rPr>
          <w:noProof/>
        </w:rPr>
        <w:t xml:space="preserve">Frost, R. O., Ong, C., Steketee, G., &amp; Tolin, D. F. (2016). Behavioral and emotional consequences of thought listing versus cognitive restructuring during discarding decisions in hoarding disorder. </w:t>
      </w:r>
      <w:r w:rsidRPr="008E3E28">
        <w:rPr>
          <w:i/>
          <w:iCs/>
          <w:noProof/>
        </w:rPr>
        <w:t>Behaviour Research and Therapy</w:t>
      </w:r>
      <w:r w:rsidRPr="008E3E28">
        <w:rPr>
          <w:noProof/>
        </w:rPr>
        <w:t xml:space="preserve">, </w:t>
      </w:r>
      <w:r w:rsidRPr="008E3E28">
        <w:rPr>
          <w:i/>
          <w:iCs/>
          <w:noProof/>
        </w:rPr>
        <w:t>85</w:t>
      </w:r>
      <w:r w:rsidRPr="008E3E28">
        <w:rPr>
          <w:noProof/>
        </w:rPr>
        <w:t>, 13–22. http://doi.org/10.1016/j.brat.2016.08.003</w:t>
      </w:r>
    </w:p>
    <w:p w14:paraId="0230B65A" w14:textId="77777777" w:rsidR="008E3E28" w:rsidRPr="008E3E28" w:rsidRDefault="008E3E28" w:rsidP="008E3E28">
      <w:pPr>
        <w:widowControl w:val="0"/>
        <w:autoSpaceDE w:val="0"/>
        <w:autoSpaceDN w:val="0"/>
        <w:adjustRightInd w:val="0"/>
        <w:spacing w:line="480" w:lineRule="auto"/>
        <w:ind w:left="480" w:hanging="480"/>
        <w:rPr>
          <w:noProof/>
        </w:rPr>
      </w:pPr>
      <w:r w:rsidRPr="008E3E28">
        <w:rPr>
          <w:noProof/>
        </w:rPr>
        <w:t xml:space="preserve">Frost, R. O., Steketee, G., &amp; Grisham, J. (2004). Measurement of compulsive hoarding: Saving inventory-revised. </w:t>
      </w:r>
      <w:r w:rsidRPr="008E3E28">
        <w:rPr>
          <w:i/>
          <w:iCs/>
          <w:noProof/>
        </w:rPr>
        <w:t>Behaviour Research and Therapy</w:t>
      </w:r>
      <w:r w:rsidRPr="008E3E28">
        <w:rPr>
          <w:noProof/>
        </w:rPr>
        <w:t xml:space="preserve">, </w:t>
      </w:r>
      <w:r w:rsidRPr="008E3E28">
        <w:rPr>
          <w:i/>
          <w:iCs/>
          <w:noProof/>
        </w:rPr>
        <w:t>42</w:t>
      </w:r>
      <w:r w:rsidRPr="008E3E28">
        <w:rPr>
          <w:noProof/>
        </w:rPr>
        <w:t>, 1163–1182. http://doi.org/10.1016/j.brat.2003.07.006</w:t>
      </w:r>
    </w:p>
    <w:p w14:paraId="7F1AD147" w14:textId="77777777" w:rsidR="0048680C" w:rsidRDefault="008E3E28" w:rsidP="00A228B3">
      <w:pPr>
        <w:widowControl w:val="0"/>
        <w:autoSpaceDE w:val="0"/>
        <w:autoSpaceDN w:val="0"/>
        <w:adjustRightInd w:val="0"/>
        <w:spacing w:line="480" w:lineRule="auto"/>
        <w:ind w:left="480" w:hanging="480"/>
        <w:rPr>
          <w:noProof/>
        </w:rPr>
      </w:pPr>
      <w:r w:rsidRPr="008E3E28">
        <w:rPr>
          <w:noProof/>
        </w:rPr>
        <w:t xml:space="preserve">Frost, R. O., Steketee, G., &amp; Tolin, D. F. (2011). Comorbidity in hoarding disorder. </w:t>
      </w:r>
      <w:r w:rsidRPr="008E3E28">
        <w:rPr>
          <w:i/>
          <w:iCs/>
          <w:noProof/>
        </w:rPr>
        <w:t>Depression and Anxiety</w:t>
      </w:r>
      <w:r w:rsidRPr="008E3E28">
        <w:rPr>
          <w:noProof/>
        </w:rPr>
        <w:t xml:space="preserve">, </w:t>
      </w:r>
      <w:r w:rsidRPr="008E3E28">
        <w:rPr>
          <w:i/>
          <w:iCs/>
          <w:noProof/>
        </w:rPr>
        <w:t>28</w:t>
      </w:r>
      <w:r w:rsidRPr="008E3E28">
        <w:rPr>
          <w:noProof/>
        </w:rPr>
        <w:t>, 876–884. http://doi.org/10.1002/da.20861</w:t>
      </w:r>
    </w:p>
    <w:p w14:paraId="2B76CCEF" w14:textId="7E25237C" w:rsidR="0048680C" w:rsidRDefault="0048680C" w:rsidP="008E3E28">
      <w:pPr>
        <w:widowControl w:val="0"/>
        <w:autoSpaceDE w:val="0"/>
        <w:autoSpaceDN w:val="0"/>
        <w:adjustRightInd w:val="0"/>
        <w:spacing w:line="480" w:lineRule="auto"/>
        <w:ind w:left="480" w:hanging="480"/>
        <w:rPr>
          <w:noProof/>
        </w:rPr>
      </w:pPr>
      <w:r>
        <w:t xml:space="preserve">Frost, R. O., Steketee, G., Tolin, D. F., &amp; Renaud, S. (2008). Development and Validation of the Clutter Image Rating Development and Validation of the Clutter Image Rating. </w:t>
      </w:r>
      <w:r>
        <w:rPr>
          <w:i/>
          <w:iCs/>
        </w:rPr>
        <w:t>Journal of Psychopathology and Behavioral Assessment</w:t>
      </w:r>
      <w:r>
        <w:t xml:space="preserve">, </w:t>
      </w:r>
      <w:r>
        <w:rPr>
          <w:i/>
          <w:iCs/>
        </w:rPr>
        <w:t>30</w:t>
      </w:r>
      <w:r>
        <w:t>, 193–203. http://doi.org/10.1007/s10862-007-9068-7</w:t>
      </w:r>
    </w:p>
    <w:p w14:paraId="35867F3A" w14:textId="05B8DDBF" w:rsidR="0048680C" w:rsidRPr="008E3E28" w:rsidRDefault="0048680C" w:rsidP="00A228B3">
      <w:pPr>
        <w:pStyle w:val="NormalWeb"/>
        <w:tabs>
          <w:tab w:val="left" w:pos="810"/>
        </w:tabs>
        <w:spacing w:before="0" w:beforeAutospacing="0" w:after="0" w:afterAutospacing="0" w:line="480" w:lineRule="auto"/>
        <w:ind w:left="720" w:hanging="720"/>
        <w:contextualSpacing/>
      </w:pPr>
      <w:r w:rsidRPr="00455FD7">
        <w:t xml:space="preserve">Frost, R. O., Tolin, D. F., &amp; Maltby, N. (2010). Insight-related challenges in the treatment of hoarding. </w:t>
      </w:r>
      <w:r w:rsidRPr="00455FD7">
        <w:rPr>
          <w:i/>
        </w:rPr>
        <w:t>Cognitive and Behavioral Practice</w:t>
      </w:r>
      <w:r w:rsidRPr="00455FD7">
        <w:t xml:space="preserve">, </w:t>
      </w:r>
      <w:r w:rsidRPr="00455FD7">
        <w:rPr>
          <w:i/>
        </w:rPr>
        <w:t>17</w:t>
      </w:r>
      <w:r w:rsidRPr="00455FD7">
        <w:t>, 404–413. http://doi.org/10.1016/j.cbpra.2009.07.004</w:t>
      </w:r>
    </w:p>
    <w:p w14:paraId="643FDD0D" w14:textId="2B3783CF" w:rsidR="00320E2A" w:rsidRDefault="008E3E28" w:rsidP="00320E2A">
      <w:pPr>
        <w:widowControl w:val="0"/>
        <w:autoSpaceDE w:val="0"/>
        <w:autoSpaceDN w:val="0"/>
        <w:adjustRightInd w:val="0"/>
        <w:spacing w:line="480" w:lineRule="auto"/>
        <w:ind w:left="480" w:hanging="480"/>
        <w:rPr>
          <w:noProof/>
        </w:rPr>
      </w:pPr>
      <w:r w:rsidRPr="008E3E28">
        <w:rPr>
          <w:noProof/>
        </w:rPr>
        <w:t xml:space="preserve">Gillanders, D. T., Bolderston, H., Bond, F. W., Dempster, M., Flaxman, P. E., Campbell, L., … Remington, B. (2014). The development and initial validation of the Cognitive Fusion Questionnaire. </w:t>
      </w:r>
      <w:r w:rsidRPr="008E3E28">
        <w:rPr>
          <w:i/>
          <w:iCs/>
          <w:noProof/>
        </w:rPr>
        <w:t>Behavior Therapy</w:t>
      </w:r>
      <w:r w:rsidRPr="008E3E28">
        <w:rPr>
          <w:noProof/>
        </w:rPr>
        <w:t xml:space="preserve">, </w:t>
      </w:r>
      <w:r w:rsidRPr="008E3E28">
        <w:rPr>
          <w:i/>
          <w:iCs/>
          <w:noProof/>
        </w:rPr>
        <w:t>45</w:t>
      </w:r>
      <w:r w:rsidRPr="008E3E28">
        <w:rPr>
          <w:noProof/>
        </w:rPr>
        <w:t>, 83–101. http://doi.org/10.1016/j.beth.2013.09.001</w:t>
      </w:r>
    </w:p>
    <w:p w14:paraId="0E368540" w14:textId="01102EBE" w:rsidR="00320E2A" w:rsidRDefault="00320E2A" w:rsidP="00320E2A">
      <w:pPr>
        <w:widowControl w:val="0"/>
        <w:autoSpaceDE w:val="0"/>
        <w:autoSpaceDN w:val="0"/>
        <w:adjustRightInd w:val="0"/>
        <w:spacing w:line="480" w:lineRule="auto"/>
        <w:ind w:left="480" w:hanging="480"/>
        <w:rPr>
          <w:rFonts w:ascii="Times" w:hAnsi="Times"/>
          <w:color w:val="000000"/>
        </w:rPr>
      </w:pPr>
      <w:r w:rsidRPr="009F157E">
        <w:rPr>
          <w:rFonts w:ascii="Times" w:hAnsi="Times"/>
          <w:color w:val="000000"/>
        </w:rPr>
        <w:t>Gorsuch, R. L. (1983). </w:t>
      </w:r>
      <w:r w:rsidRPr="009F157E">
        <w:rPr>
          <w:rFonts w:ascii="Times" w:hAnsi="Times"/>
          <w:i/>
          <w:iCs/>
          <w:color w:val="000000"/>
        </w:rPr>
        <w:t>Factor Analysis</w:t>
      </w:r>
      <w:r w:rsidRPr="009F157E">
        <w:rPr>
          <w:rFonts w:ascii="Times" w:hAnsi="Times"/>
          <w:color w:val="000000"/>
        </w:rPr>
        <w:t> (2nd ed.). Hillsdale, NJ: Lawrence Erlbaum Associates.</w:t>
      </w:r>
    </w:p>
    <w:p w14:paraId="44ECD548" w14:textId="77777777" w:rsidR="00F5279C" w:rsidRDefault="00CF5D47" w:rsidP="00320E2A">
      <w:pPr>
        <w:widowControl w:val="0"/>
        <w:autoSpaceDE w:val="0"/>
        <w:autoSpaceDN w:val="0"/>
        <w:adjustRightInd w:val="0"/>
        <w:spacing w:line="480" w:lineRule="auto"/>
        <w:ind w:left="480" w:hanging="480"/>
      </w:pPr>
      <w:r w:rsidRPr="00CF5D47">
        <w:rPr>
          <w:noProof/>
        </w:rPr>
        <w:t>Guadagnoli, E., &amp; Velicer, W. F. (1988). Relation to sample size to the stability of component patterns</w:t>
      </w:r>
      <w:r>
        <w:rPr>
          <w:noProof/>
        </w:rPr>
        <w:t xml:space="preserve">. </w:t>
      </w:r>
      <w:r w:rsidRPr="009F157E">
        <w:rPr>
          <w:i/>
          <w:noProof/>
        </w:rPr>
        <w:t>Psychological Bulletin, 103</w:t>
      </w:r>
      <w:r w:rsidRPr="00CF5D47">
        <w:rPr>
          <w:noProof/>
        </w:rPr>
        <w:t>, 265</w:t>
      </w:r>
      <w:r>
        <w:rPr>
          <w:noProof/>
        </w:rPr>
        <w:t>-275</w:t>
      </w:r>
      <w:r w:rsidRPr="00CF5D47">
        <w:rPr>
          <w:noProof/>
        </w:rPr>
        <w:t>.</w:t>
      </w:r>
      <w:r w:rsidR="00E00EB0" w:rsidRPr="00E00EB0">
        <w:t xml:space="preserve"> </w:t>
      </w:r>
    </w:p>
    <w:p w14:paraId="0E7A3B50" w14:textId="4CBEF855" w:rsidR="00CF5D47" w:rsidRPr="00320E2A" w:rsidRDefault="00E00EB0" w:rsidP="00320E2A">
      <w:pPr>
        <w:widowControl w:val="0"/>
        <w:autoSpaceDE w:val="0"/>
        <w:autoSpaceDN w:val="0"/>
        <w:adjustRightInd w:val="0"/>
        <w:spacing w:line="480" w:lineRule="auto"/>
        <w:ind w:left="480" w:hanging="480"/>
        <w:rPr>
          <w:noProof/>
        </w:rPr>
      </w:pPr>
      <w:r w:rsidRPr="00E00EB0">
        <w:rPr>
          <w:noProof/>
        </w:rPr>
        <w:t xml:space="preserve">Hayes, S. C., Wilson, K. G., Gifford, E. V., Follette, V. M., &amp; Strosahl, K. (1996). Experiential avoidance and behavioral disorders: A functional dimensional approach to diagnosis and treatment. </w:t>
      </w:r>
      <w:r w:rsidRPr="009F157E">
        <w:rPr>
          <w:i/>
          <w:noProof/>
        </w:rPr>
        <w:t>Journal of Consulting and Clinical Psychology, 64</w:t>
      </w:r>
      <w:r w:rsidRPr="00E00EB0">
        <w:rPr>
          <w:noProof/>
        </w:rPr>
        <w:t>, 1152–1168.</w:t>
      </w:r>
    </w:p>
    <w:p w14:paraId="4D1FCF8C" w14:textId="77777777" w:rsidR="008E3E28" w:rsidRDefault="008E3E28" w:rsidP="008E3E28">
      <w:pPr>
        <w:widowControl w:val="0"/>
        <w:autoSpaceDE w:val="0"/>
        <w:autoSpaceDN w:val="0"/>
        <w:adjustRightInd w:val="0"/>
        <w:spacing w:line="480" w:lineRule="auto"/>
        <w:ind w:left="480" w:hanging="480"/>
        <w:rPr>
          <w:noProof/>
        </w:rPr>
      </w:pPr>
      <w:r w:rsidRPr="008E3E28">
        <w:rPr>
          <w:noProof/>
        </w:rPr>
        <w:t xml:space="preserve">Hayes, S. C., Luoma, J. B., Bond, F. W., Masuda, A., &amp; Lillis, J. (2006). Acceptance and Commitment Therapy: Model, processes and outcomes. </w:t>
      </w:r>
      <w:r w:rsidRPr="008E3E28">
        <w:rPr>
          <w:i/>
          <w:iCs/>
          <w:noProof/>
        </w:rPr>
        <w:t>Behaviour Research and Therapy</w:t>
      </w:r>
      <w:r w:rsidRPr="008E3E28">
        <w:rPr>
          <w:noProof/>
        </w:rPr>
        <w:t xml:space="preserve">, </w:t>
      </w:r>
      <w:r w:rsidRPr="008E3E28">
        <w:rPr>
          <w:i/>
          <w:iCs/>
          <w:noProof/>
        </w:rPr>
        <w:t>44</w:t>
      </w:r>
      <w:r w:rsidRPr="008E3E28">
        <w:rPr>
          <w:noProof/>
        </w:rPr>
        <w:t>, 1–25. http://doi.org/10.1016/j.brat.2005.06.006</w:t>
      </w:r>
    </w:p>
    <w:p w14:paraId="27A338C7" w14:textId="7F47A29F" w:rsidR="00E97AD8" w:rsidRPr="008E3E28" w:rsidRDefault="00E97AD8" w:rsidP="008E3E28">
      <w:pPr>
        <w:widowControl w:val="0"/>
        <w:autoSpaceDE w:val="0"/>
        <w:autoSpaceDN w:val="0"/>
        <w:adjustRightInd w:val="0"/>
        <w:spacing w:line="480" w:lineRule="auto"/>
        <w:ind w:left="480" w:hanging="480"/>
        <w:rPr>
          <w:noProof/>
        </w:rPr>
      </w:pPr>
      <w:r w:rsidRPr="00E97AD8">
        <w:rPr>
          <w:noProof/>
        </w:rPr>
        <w:t xml:space="preserve">Hayes, S. C., Strosahl, K., Wilson, K. G., Bissett, R. T., Pistorello, J., Toarmino, D., … McCurry, S. M. (2004). Measuring experiential avoidance: A preliminary test of a working model. </w:t>
      </w:r>
      <w:r w:rsidRPr="009F157E">
        <w:rPr>
          <w:i/>
          <w:noProof/>
        </w:rPr>
        <w:t>The Psychological Record, 54</w:t>
      </w:r>
      <w:r w:rsidRPr="00E97AD8">
        <w:rPr>
          <w:noProof/>
        </w:rPr>
        <w:t>, 553–578.</w:t>
      </w:r>
    </w:p>
    <w:p w14:paraId="586A1C61" w14:textId="77777777" w:rsidR="008E3E28" w:rsidRDefault="008E3E28" w:rsidP="008E3E28">
      <w:pPr>
        <w:widowControl w:val="0"/>
        <w:autoSpaceDE w:val="0"/>
        <w:autoSpaceDN w:val="0"/>
        <w:adjustRightInd w:val="0"/>
        <w:spacing w:line="480" w:lineRule="auto"/>
        <w:ind w:left="480" w:hanging="480"/>
        <w:rPr>
          <w:noProof/>
        </w:rPr>
      </w:pPr>
      <w:r w:rsidRPr="008E3E28">
        <w:rPr>
          <w:noProof/>
        </w:rPr>
        <w:t xml:space="preserve">Henry, J. D., &amp; Crawford, J. R. (2005). The short-form version of the Depression Anxiety Stress Scales (DASS-21): Construct validity and normative data in a large non-clinical sample. </w:t>
      </w:r>
      <w:r w:rsidRPr="008E3E28">
        <w:rPr>
          <w:i/>
          <w:iCs/>
          <w:noProof/>
        </w:rPr>
        <w:t>British Journal of Clinical Psychology</w:t>
      </w:r>
      <w:r w:rsidRPr="008E3E28">
        <w:rPr>
          <w:noProof/>
        </w:rPr>
        <w:t xml:space="preserve">, </w:t>
      </w:r>
      <w:r w:rsidRPr="008E3E28">
        <w:rPr>
          <w:i/>
          <w:iCs/>
          <w:noProof/>
        </w:rPr>
        <w:t>44</w:t>
      </w:r>
      <w:r w:rsidRPr="008E3E28">
        <w:rPr>
          <w:noProof/>
        </w:rPr>
        <w:t>, 227–239. http://doi.org/10.1348/014466505X29657</w:t>
      </w:r>
    </w:p>
    <w:p w14:paraId="0D5D8E20" w14:textId="4827D766" w:rsidR="007F22FE" w:rsidRPr="008E3E28" w:rsidRDefault="007F22FE" w:rsidP="008E3E28">
      <w:pPr>
        <w:widowControl w:val="0"/>
        <w:autoSpaceDE w:val="0"/>
        <w:autoSpaceDN w:val="0"/>
        <w:adjustRightInd w:val="0"/>
        <w:spacing w:line="480" w:lineRule="auto"/>
        <w:ind w:left="480" w:hanging="480"/>
        <w:rPr>
          <w:noProof/>
        </w:rPr>
      </w:pPr>
      <w:r w:rsidRPr="007F22FE">
        <w:rPr>
          <w:noProof/>
        </w:rPr>
        <w:t xml:space="preserve">Hirschfeld, G., &amp; Von Brachel, R. (2014). Multiple-Group confirmatory factor analysis in R-A tutorial in measurement invariance with continuous and ordinal indicators. </w:t>
      </w:r>
      <w:r w:rsidRPr="009F157E">
        <w:rPr>
          <w:i/>
          <w:noProof/>
        </w:rPr>
        <w:t>Practical Assessment, Research &amp; Evaluation, 19,</w:t>
      </w:r>
      <w:r>
        <w:rPr>
          <w:noProof/>
        </w:rPr>
        <w:t xml:space="preserve"> 1-12</w:t>
      </w:r>
      <w:r w:rsidRPr="007F22FE">
        <w:rPr>
          <w:noProof/>
        </w:rPr>
        <w:t>.</w:t>
      </w:r>
    </w:p>
    <w:p w14:paraId="79CF8C01" w14:textId="77777777" w:rsidR="008E3E28" w:rsidRDefault="008E3E28" w:rsidP="008E3E28">
      <w:pPr>
        <w:widowControl w:val="0"/>
        <w:autoSpaceDE w:val="0"/>
        <w:autoSpaceDN w:val="0"/>
        <w:adjustRightInd w:val="0"/>
        <w:spacing w:line="480" w:lineRule="auto"/>
        <w:ind w:left="480" w:hanging="480"/>
        <w:rPr>
          <w:noProof/>
        </w:rPr>
      </w:pPr>
      <w:r w:rsidRPr="008E3E28">
        <w:rPr>
          <w:noProof/>
        </w:rPr>
        <w:t xml:space="preserve">Houghton, D. C., Compton, S. N., Twohig, M. P., Saunders, S. M., Franklin, M. E., Neal-Barnett, A. M., … Woods, D. W. (2014). Measuring the role of psychological inflexibility in trichotilliomania. </w:t>
      </w:r>
      <w:r w:rsidRPr="008E3E28">
        <w:rPr>
          <w:i/>
          <w:iCs/>
          <w:noProof/>
        </w:rPr>
        <w:t>Psychiatry Research</w:t>
      </w:r>
      <w:r w:rsidRPr="008E3E28">
        <w:rPr>
          <w:noProof/>
        </w:rPr>
        <w:t xml:space="preserve">, </w:t>
      </w:r>
      <w:r w:rsidRPr="008E3E28">
        <w:rPr>
          <w:i/>
          <w:iCs/>
          <w:noProof/>
        </w:rPr>
        <w:t>220</w:t>
      </w:r>
      <w:r w:rsidRPr="008E3E28">
        <w:rPr>
          <w:noProof/>
        </w:rPr>
        <w:t>, 356–361. http://doi.org/10.1016/j.psychres.2014.08.003.Measuring</w:t>
      </w:r>
    </w:p>
    <w:p w14:paraId="2B174404" w14:textId="1BB6B3B9" w:rsidR="00493C21" w:rsidRPr="00493C21" w:rsidRDefault="00493C21" w:rsidP="008E3E28">
      <w:pPr>
        <w:widowControl w:val="0"/>
        <w:autoSpaceDE w:val="0"/>
        <w:autoSpaceDN w:val="0"/>
        <w:adjustRightInd w:val="0"/>
        <w:spacing w:line="480" w:lineRule="auto"/>
        <w:ind w:left="480" w:hanging="480"/>
        <w:rPr>
          <w:noProof/>
        </w:rPr>
      </w:pPr>
      <w:r w:rsidRPr="007F22FE">
        <w:rPr>
          <w:noProof/>
        </w:rPr>
        <w:t xml:space="preserve">Hu, L., &amp; Bentler, P. M. (1999). Cutoff criteria for fit indexes in covariance structure analysis: Conventional criteria versus new alternatives. </w:t>
      </w:r>
      <w:r w:rsidRPr="007F22FE">
        <w:rPr>
          <w:i/>
          <w:noProof/>
        </w:rPr>
        <w:t>Structural Equation Modeling: A Multidisciplinary Journal, 6</w:t>
      </w:r>
      <w:r w:rsidRPr="007F22FE">
        <w:rPr>
          <w:noProof/>
        </w:rPr>
        <w:t>, 1-55. doi:10.1080/10705519909540118</w:t>
      </w:r>
    </w:p>
    <w:p w14:paraId="2A3AE93E" w14:textId="77777777" w:rsidR="008E3E28" w:rsidRDefault="008E3E28" w:rsidP="008E3E28">
      <w:pPr>
        <w:widowControl w:val="0"/>
        <w:autoSpaceDE w:val="0"/>
        <w:autoSpaceDN w:val="0"/>
        <w:adjustRightInd w:val="0"/>
        <w:spacing w:line="480" w:lineRule="auto"/>
        <w:ind w:left="480" w:hanging="480"/>
        <w:rPr>
          <w:noProof/>
        </w:rPr>
      </w:pPr>
      <w:r w:rsidRPr="008E3E28">
        <w:rPr>
          <w:noProof/>
        </w:rPr>
        <w:t xml:space="preserve">Kashdan, T. B., &amp; Rottenberg, J. (2011). Psychological flexibility as a fundamental aspect of health. </w:t>
      </w:r>
      <w:r w:rsidRPr="008E3E28">
        <w:rPr>
          <w:i/>
          <w:iCs/>
          <w:noProof/>
        </w:rPr>
        <w:t>Clinical Psychology Review</w:t>
      </w:r>
      <w:r w:rsidRPr="008E3E28">
        <w:rPr>
          <w:noProof/>
        </w:rPr>
        <w:t xml:space="preserve">, </w:t>
      </w:r>
      <w:r w:rsidRPr="008E3E28">
        <w:rPr>
          <w:i/>
          <w:iCs/>
          <w:noProof/>
        </w:rPr>
        <w:t>30</w:t>
      </w:r>
      <w:r w:rsidRPr="008E3E28">
        <w:rPr>
          <w:noProof/>
        </w:rPr>
        <w:t>, 865–878. http://doi.org/10.1016/j.cpr.2010.03.001.Psychological</w:t>
      </w:r>
    </w:p>
    <w:p w14:paraId="0C589FEE" w14:textId="5CF43769" w:rsidR="00E97AD8" w:rsidRPr="008E3E28" w:rsidRDefault="007A6CA2" w:rsidP="008E3E28">
      <w:pPr>
        <w:widowControl w:val="0"/>
        <w:autoSpaceDE w:val="0"/>
        <w:autoSpaceDN w:val="0"/>
        <w:adjustRightInd w:val="0"/>
        <w:spacing w:line="480" w:lineRule="auto"/>
        <w:ind w:left="480" w:hanging="480"/>
        <w:rPr>
          <w:noProof/>
        </w:rPr>
      </w:pPr>
      <w:r w:rsidRPr="007A6CA2">
        <w:rPr>
          <w:noProof/>
        </w:rPr>
        <w:t xml:space="preserve">Krafft, J., Ferrell, J., Levin, M. E., &amp; Twohig, M. P. (2018). Psychological inflexibility and stigma: A meta-analytic review. </w:t>
      </w:r>
      <w:r w:rsidRPr="009F157E">
        <w:rPr>
          <w:i/>
          <w:noProof/>
        </w:rPr>
        <w:t>Journal of Contextual Behavioral Science, 7</w:t>
      </w:r>
      <w:r w:rsidRPr="007A6CA2">
        <w:rPr>
          <w:noProof/>
        </w:rPr>
        <w:t>, 15–28. http://doi.org/10.1016/j.jcbs.2017.11.002</w:t>
      </w:r>
    </w:p>
    <w:p w14:paraId="3112B223" w14:textId="77777777" w:rsidR="008E3E28" w:rsidRPr="008E3E28" w:rsidRDefault="008E3E28" w:rsidP="008E3E28">
      <w:pPr>
        <w:widowControl w:val="0"/>
        <w:autoSpaceDE w:val="0"/>
        <w:autoSpaceDN w:val="0"/>
        <w:adjustRightInd w:val="0"/>
        <w:spacing w:line="480" w:lineRule="auto"/>
        <w:ind w:left="480" w:hanging="480"/>
        <w:rPr>
          <w:noProof/>
        </w:rPr>
      </w:pPr>
      <w:r w:rsidRPr="008E3E28">
        <w:rPr>
          <w:noProof/>
        </w:rPr>
        <w:t xml:space="preserve">Levin, M. E., Luoma, J. B., Lillis, J., Hayes, S. C., &amp; Vilardaga, R. (2014). The Acceptance and Action Questionnaire - Stigma (AAQ-S): Developing a measure of psychological flexibility with stigmatizing thoughts. </w:t>
      </w:r>
      <w:r w:rsidRPr="008E3E28">
        <w:rPr>
          <w:i/>
          <w:iCs/>
          <w:noProof/>
        </w:rPr>
        <w:t>Journal of Contextual Behavioral Science</w:t>
      </w:r>
      <w:r w:rsidRPr="008E3E28">
        <w:rPr>
          <w:noProof/>
        </w:rPr>
        <w:t xml:space="preserve">, </w:t>
      </w:r>
      <w:r w:rsidRPr="008E3E28">
        <w:rPr>
          <w:i/>
          <w:iCs/>
          <w:noProof/>
        </w:rPr>
        <w:t>3</w:t>
      </w:r>
      <w:r w:rsidRPr="008E3E28">
        <w:rPr>
          <w:noProof/>
        </w:rPr>
        <w:t>, 21–26. http://doi.org/10.1016/j.jcbs.2013.11.003.The</w:t>
      </w:r>
    </w:p>
    <w:p w14:paraId="3548AE8D" w14:textId="77777777" w:rsidR="008E3E28" w:rsidRDefault="008E3E28" w:rsidP="008E3E28">
      <w:pPr>
        <w:widowControl w:val="0"/>
        <w:autoSpaceDE w:val="0"/>
        <w:autoSpaceDN w:val="0"/>
        <w:adjustRightInd w:val="0"/>
        <w:spacing w:line="480" w:lineRule="auto"/>
        <w:ind w:left="480" w:hanging="480"/>
        <w:rPr>
          <w:noProof/>
        </w:rPr>
      </w:pPr>
      <w:r w:rsidRPr="008E3E28">
        <w:rPr>
          <w:noProof/>
        </w:rPr>
        <w:t xml:space="preserve">Levin, M. E., MacLane, C., Daflos, S., Seeley, J. R., Hayes, S. C., Biglan, A., &amp; Pistorello, J. (2014). Examining psychological inflexibility as a transdiagnostic process across psychological disorders. </w:t>
      </w:r>
      <w:r w:rsidRPr="008E3E28">
        <w:rPr>
          <w:i/>
          <w:iCs/>
          <w:noProof/>
        </w:rPr>
        <w:t>Journal of Contextual Behavioral Science</w:t>
      </w:r>
      <w:r w:rsidRPr="008E3E28">
        <w:rPr>
          <w:noProof/>
        </w:rPr>
        <w:t xml:space="preserve">, </w:t>
      </w:r>
      <w:r w:rsidRPr="008E3E28">
        <w:rPr>
          <w:i/>
          <w:iCs/>
          <w:noProof/>
        </w:rPr>
        <w:t>3</w:t>
      </w:r>
      <w:r w:rsidRPr="008E3E28">
        <w:rPr>
          <w:noProof/>
        </w:rPr>
        <w:t>, 155–163. http://doi.org/10.1016/j.jcbs.2014.06.003</w:t>
      </w:r>
    </w:p>
    <w:p w14:paraId="3B3DB662" w14:textId="667D34C6" w:rsidR="001817DB" w:rsidRPr="008E3E28" w:rsidRDefault="001817DB" w:rsidP="008E3E28">
      <w:pPr>
        <w:widowControl w:val="0"/>
        <w:autoSpaceDE w:val="0"/>
        <w:autoSpaceDN w:val="0"/>
        <w:adjustRightInd w:val="0"/>
        <w:spacing w:line="480" w:lineRule="auto"/>
        <w:ind w:left="480" w:hanging="480"/>
        <w:rPr>
          <w:noProof/>
        </w:rPr>
      </w:pPr>
      <w:r w:rsidRPr="00853DB5">
        <w:rPr>
          <w:noProof/>
        </w:rPr>
        <w:t xml:space="preserve">Lillis, J., &amp; Hayes, S. C. (2007). Measuring avoidance and inflexibility in weight related problems. </w:t>
      </w:r>
      <w:r w:rsidRPr="000B6F7D">
        <w:rPr>
          <w:i/>
          <w:noProof/>
        </w:rPr>
        <w:t>International Journal of Behavioral Consultation and Therapy</w:t>
      </w:r>
      <w:r>
        <w:rPr>
          <w:noProof/>
        </w:rPr>
        <w:t xml:space="preserve">, </w:t>
      </w:r>
      <w:r w:rsidRPr="000B6F7D">
        <w:rPr>
          <w:i/>
          <w:noProof/>
        </w:rPr>
        <w:t>4</w:t>
      </w:r>
      <w:r w:rsidRPr="00853DB5">
        <w:rPr>
          <w:noProof/>
        </w:rPr>
        <w:t>, 30</w:t>
      </w:r>
      <w:r>
        <w:rPr>
          <w:noProof/>
        </w:rPr>
        <w:t>-40</w:t>
      </w:r>
      <w:r w:rsidRPr="00853DB5">
        <w:rPr>
          <w:noProof/>
        </w:rPr>
        <w:t>.</w:t>
      </w:r>
    </w:p>
    <w:p w14:paraId="405D15CA" w14:textId="77777777" w:rsidR="008E3E28" w:rsidRPr="008E3E28" w:rsidRDefault="008E3E28" w:rsidP="008E3E28">
      <w:pPr>
        <w:widowControl w:val="0"/>
        <w:autoSpaceDE w:val="0"/>
        <w:autoSpaceDN w:val="0"/>
        <w:adjustRightInd w:val="0"/>
        <w:spacing w:line="480" w:lineRule="auto"/>
        <w:ind w:left="480" w:hanging="480"/>
        <w:rPr>
          <w:noProof/>
        </w:rPr>
      </w:pPr>
      <w:r w:rsidRPr="008E3E28">
        <w:rPr>
          <w:noProof/>
        </w:rPr>
        <w:t xml:space="preserve">Lillis, J., Hayes, S. C., Bunting, K., &amp; Masuda, A. (2009). Teaching acceptance and mindfulness to improve the lives of the obese: A preliminary test of a theoretical model. </w:t>
      </w:r>
      <w:r w:rsidRPr="008E3E28">
        <w:rPr>
          <w:i/>
          <w:iCs/>
          <w:noProof/>
        </w:rPr>
        <w:t>Annals of Behavioral Medicine</w:t>
      </w:r>
      <w:r w:rsidRPr="008E3E28">
        <w:rPr>
          <w:noProof/>
        </w:rPr>
        <w:t xml:space="preserve">, </w:t>
      </w:r>
      <w:r w:rsidRPr="008E3E28">
        <w:rPr>
          <w:i/>
          <w:iCs/>
          <w:noProof/>
        </w:rPr>
        <w:t>37</w:t>
      </w:r>
      <w:r w:rsidRPr="008E3E28">
        <w:rPr>
          <w:noProof/>
        </w:rPr>
        <w:t>, 58–69. http://doi.org/10.1007/s12160-009-9083-x</w:t>
      </w:r>
    </w:p>
    <w:p w14:paraId="4E19B38F" w14:textId="77777777" w:rsidR="008E3E28" w:rsidRDefault="008E3E28" w:rsidP="008E3E28">
      <w:pPr>
        <w:widowControl w:val="0"/>
        <w:autoSpaceDE w:val="0"/>
        <w:autoSpaceDN w:val="0"/>
        <w:adjustRightInd w:val="0"/>
        <w:spacing w:line="480" w:lineRule="auto"/>
        <w:ind w:left="480" w:hanging="480"/>
        <w:rPr>
          <w:noProof/>
        </w:rPr>
      </w:pPr>
      <w:r w:rsidRPr="008E3E28">
        <w:rPr>
          <w:noProof/>
        </w:rPr>
        <w:t xml:space="preserve">Luoma, J., Drake, C. E., Kohlenberg, B. S., &amp; Hayes, S. C. (2011). Substance abuse and psychological flexibility: The development of a new measure. </w:t>
      </w:r>
      <w:r w:rsidRPr="008E3E28">
        <w:rPr>
          <w:i/>
          <w:iCs/>
          <w:noProof/>
        </w:rPr>
        <w:t>Addiction Research &amp; Theory</w:t>
      </w:r>
      <w:r w:rsidRPr="008E3E28">
        <w:rPr>
          <w:noProof/>
        </w:rPr>
        <w:t xml:space="preserve">, </w:t>
      </w:r>
      <w:r w:rsidRPr="008E3E28">
        <w:rPr>
          <w:i/>
          <w:iCs/>
          <w:noProof/>
        </w:rPr>
        <w:t>19</w:t>
      </w:r>
      <w:r w:rsidRPr="008E3E28">
        <w:rPr>
          <w:noProof/>
        </w:rPr>
        <w:t>, 3–13. http://doi.org/10.3109/16066359.2010.524956</w:t>
      </w:r>
    </w:p>
    <w:p w14:paraId="7FF7DA9C" w14:textId="798D68FB" w:rsidR="001817DB" w:rsidRPr="008E3E28" w:rsidRDefault="001817DB" w:rsidP="008E3E28">
      <w:pPr>
        <w:widowControl w:val="0"/>
        <w:autoSpaceDE w:val="0"/>
        <w:autoSpaceDN w:val="0"/>
        <w:adjustRightInd w:val="0"/>
        <w:spacing w:line="480" w:lineRule="auto"/>
        <w:ind w:left="480" w:hanging="480"/>
        <w:rPr>
          <w:noProof/>
        </w:rPr>
      </w:pPr>
      <w:r w:rsidRPr="00C74FFD">
        <w:rPr>
          <w:noProof/>
        </w:rPr>
        <w:t>MacKenzie, M. B., &amp; Kocovski, N. L. (2010). Self-reported acceptance of social anxiety symptoms: Development and validation of the Social Anxiety—Acceptance and Action Questionnaire.</w:t>
      </w:r>
      <w:r w:rsidRPr="000B6F7D">
        <w:rPr>
          <w:i/>
          <w:noProof/>
        </w:rPr>
        <w:t xml:space="preserve"> International Journal of Behavioral Consultation and Therapy, 6</w:t>
      </w:r>
      <w:r w:rsidRPr="00C74FFD">
        <w:rPr>
          <w:noProof/>
        </w:rPr>
        <w:t xml:space="preserve">, 214-232. </w:t>
      </w:r>
      <w:r w:rsidRPr="000B6F7D">
        <w:rPr>
          <w:rFonts w:eastAsia="Times New Roman"/>
          <w:color w:val="333333"/>
          <w:shd w:val="clear" w:color="auto" w:fill="FFFFFF"/>
        </w:rPr>
        <w:t>http://dx.doi.org/10.1037/h0100909</w:t>
      </w:r>
    </w:p>
    <w:p w14:paraId="4B0A523C" w14:textId="77777777" w:rsidR="008E3E28" w:rsidRDefault="008E3E28" w:rsidP="008E3E28">
      <w:pPr>
        <w:widowControl w:val="0"/>
        <w:autoSpaceDE w:val="0"/>
        <w:autoSpaceDN w:val="0"/>
        <w:adjustRightInd w:val="0"/>
        <w:spacing w:line="480" w:lineRule="auto"/>
        <w:ind w:left="480" w:hanging="480"/>
        <w:rPr>
          <w:noProof/>
        </w:rPr>
      </w:pPr>
      <w:r w:rsidRPr="008E3E28">
        <w:rPr>
          <w:noProof/>
        </w:rPr>
        <w:t xml:space="preserve">Meng, X.-L., Rosenthal, R., &amp; Rubin, D. B. (1992). Comparing correlated correlation coefficients. </w:t>
      </w:r>
      <w:r w:rsidRPr="008E3E28">
        <w:rPr>
          <w:i/>
          <w:iCs/>
          <w:noProof/>
        </w:rPr>
        <w:t>Psychological Bulletin</w:t>
      </w:r>
      <w:r w:rsidRPr="008E3E28">
        <w:rPr>
          <w:noProof/>
        </w:rPr>
        <w:t xml:space="preserve">, </w:t>
      </w:r>
      <w:r w:rsidRPr="008E3E28">
        <w:rPr>
          <w:i/>
          <w:iCs/>
          <w:noProof/>
        </w:rPr>
        <w:t>111</w:t>
      </w:r>
      <w:r w:rsidRPr="008E3E28">
        <w:rPr>
          <w:noProof/>
        </w:rPr>
        <w:t>, 172–175.</w:t>
      </w:r>
    </w:p>
    <w:p w14:paraId="6FA75AB2" w14:textId="21510EAB" w:rsidR="00CF5D47" w:rsidRPr="008E3E28" w:rsidRDefault="00CF5D47" w:rsidP="008E3E28">
      <w:pPr>
        <w:widowControl w:val="0"/>
        <w:autoSpaceDE w:val="0"/>
        <w:autoSpaceDN w:val="0"/>
        <w:adjustRightInd w:val="0"/>
        <w:spacing w:line="480" w:lineRule="auto"/>
        <w:ind w:left="480" w:hanging="480"/>
        <w:rPr>
          <w:noProof/>
        </w:rPr>
      </w:pPr>
      <w:r>
        <w:rPr>
          <w:noProof/>
        </w:rPr>
        <w:t xml:space="preserve">Mundfrom, D. J., Shaw, D. G., &amp; Tian Lu, K. (2005). Minimum sample size recommendations for conducting factor analyses. </w:t>
      </w:r>
      <w:r w:rsidRPr="00CF5D47">
        <w:rPr>
          <w:i/>
          <w:noProof/>
        </w:rPr>
        <w:t>International Journal Of Testing, 5</w:t>
      </w:r>
      <w:r>
        <w:rPr>
          <w:noProof/>
        </w:rPr>
        <w:t>, 159-168. doi:10.1207/s15327574ijt0502_4</w:t>
      </w:r>
    </w:p>
    <w:p w14:paraId="6601A71B" w14:textId="77777777" w:rsidR="008E3E28" w:rsidRPr="008E3E28" w:rsidRDefault="008E3E28" w:rsidP="008E3E28">
      <w:pPr>
        <w:widowControl w:val="0"/>
        <w:autoSpaceDE w:val="0"/>
        <w:autoSpaceDN w:val="0"/>
        <w:adjustRightInd w:val="0"/>
        <w:spacing w:line="480" w:lineRule="auto"/>
        <w:ind w:left="480" w:hanging="480"/>
        <w:rPr>
          <w:noProof/>
        </w:rPr>
      </w:pPr>
      <w:r w:rsidRPr="008E3E28">
        <w:rPr>
          <w:noProof/>
        </w:rPr>
        <w:t xml:space="preserve">Oglesby, M. E., Medley, A. N., Norr, A. M., Capron, D. W., Korte, K. J., &amp; Schmidt, N. B. (2013). Intolerance of uncertainty as a vulnerability factor for hoarding behaviors. </w:t>
      </w:r>
      <w:r w:rsidRPr="008E3E28">
        <w:rPr>
          <w:i/>
          <w:iCs/>
          <w:noProof/>
        </w:rPr>
        <w:t>Journal of Affective Disorders</w:t>
      </w:r>
      <w:r w:rsidRPr="008E3E28">
        <w:rPr>
          <w:noProof/>
        </w:rPr>
        <w:t xml:space="preserve">, </w:t>
      </w:r>
      <w:r w:rsidRPr="008E3E28">
        <w:rPr>
          <w:i/>
          <w:iCs/>
          <w:noProof/>
        </w:rPr>
        <w:t>145</w:t>
      </w:r>
      <w:r w:rsidRPr="008E3E28">
        <w:rPr>
          <w:noProof/>
        </w:rPr>
        <w:t>, 227–231. http://doi.org/10.1016/j.jad.2012.08.003</w:t>
      </w:r>
    </w:p>
    <w:p w14:paraId="68749272" w14:textId="616315CC" w:rsidR="008E3E28" w:rsidRDefault="008E3E28" w:rsidP="008E3E28">
      <w:pPr>
        <w:widowControl w:val="0"/>
        <w:autoSpaceDE w:val="0"/>
        <w:autoSpaceDN w:val="0"/>
        <w:adjustRightInd w:val="0"/>
        <w:spacing w:line="480" w:lineRule="auto"/>
        <w:ind w:left="480" w:hanging="480"/>
        <w:rPr>
          <w:noProof/>
        </w:rPr>
      </w:pPr>
      <w:r w:rsidRPr="008E3E28">
        <w:rPr>
          <w:noProof/>
        </w:rPr>
        <w:t xml:space="preserve">Paulhus, D. L. (1984). Two-component models of socially desirable responding. </w:t>
      </w:r>
      <w:r w:rsidRPr="008E3E28">
        <w:rPr>
          <w:i/>
          <w:iCs/>
          <w:noProof/>
        </w:rPr>
        <w:t>Journal of Personality and Social Psychology</w:t>
      </w:r>
      <w:r w:rsidRPr="008E3E28">
        <w:rPr>
          <w:noProof/>
        </w:rPr>
        <w:t xml:space="preserve">, </w:t>
      </w:r>
      <w:r w:rsidRPr="008E3E28">
        <w:rPr>
          <w:i/>
          <w:iCs/>
          <w:noProof/>
        </w:rPr>
        <w:t>46</w:t>
      </w:r>
      <w:r w:rsidRPr="008E3E28">
        <w:rPr>
          <w:noProof/>
        </w:rPr>
        <w:t>, 598–609. http://doi.org/10.1037//0022-3514.46.3.598</w:t>
      </w:r>
    </w:p>
    <w:p w14:paraId="4C5A66BD" w14:textId="5DC8AA7C" w:rsidR="0048680C" w:rsidRDefault="0048680C" w:rsidP="00A228B3">
      <w:pPr>
        <w:pStyle w:val="NormalWeb"/>
        <w:tabs>
          <w:tab w:val="left" w:pos="810"/>
        </w:tabs>
        <w:spacing w:before="0" w:beforeAutospacing="0" w:after="0" w:afterAutospacing="0" w:line="480" w:lineRule="auto"/>
        <w:ind w:left="720" w:hanging="720"/>
        <w:contextualSpacing/>
      </w:pPr>
      <w:r w:rsidRPr="00455FD7">
        <w:t xml:space="preserve">Raines, A. M., Allan, N. P., Oglesby, M. E., Short, N. A., &amp; Schmidt, N. B. (2015). Specific and general facets of hoarding: A bifactor model. </w:t>
      </w:r>
      <w:r w:rsidRPr="00455FD7">
        <w:rPr>
          <w:i/>
        </w:rPr>
        <w:t>Journal of Anxiety Disorders</w:t>
      </w:r>
      <w:r w:rsidRPr="00455FD7">
        <w:t xml:space="preserve">, </w:t>
      </w:r>
      <w:r w:rsidRPr="00455FD7">
        <w:rPr>
          <w:i/>
        </w:rPr>
        <w:t>34</w:t>
      </w:r>
      <w:r w:rsidRPr="00455FD7">
        <w:t>, 100–106. http://doi.org/10.1016/j.janxdis.2015.05.013</w:t>
      </w:r>
    </w:p>
    <w:p w14:paraId="40A8C0F5" w14:textId="19F7C5A9" w:rsidR="007F212C" w:rsidRPr="008E3E28" w:rsidRDefault="007F212C" w:rsidP="008E3E28">
      <w:pPr>
        <w:widowControl w:val="0"/>
        <w:autoSpaceDE w:val="0"/>
        <w:autoSpaceDN w:val="0"/>
        <w:adjustRightInd w:val="0"/>
        <w:spacing w:line="480" w:lineRule="auto"/>
        <w:ind w:left="480" w:hanging="480"/>
        <w:rPr>
          <w:noProof/>
        </w:rPr>
      </w:pPr>
      <w:r w:rsidRPr="007F212C">
        <w:rPr>
          <w:noProof/>
        </w:rPr>
        <w:t>Rochefort, C., Baldw</w:t>
      </w:r>
      <w:r w:rsidR="00053701">
        <w:rPr>
          <w:noProof/>
        </w:rPr>
        <w:t>in, A. S., &amp; Chmielewski, M. (2018). Experiential a</w:t>
      </w:r>
      <w:r w:rsidRPr="007F212C">
        <w:rPr>
          <w:noProof/>
        </w:rPr>
        <w:t>v</w:t>
      </w:r>
      <w:r w:rsidR="00053701">
        <w:rPr>
          <w:noProof/>
        </w:rPr>
        <w:t>oidance: An examination of the construct v</w:t>
      </w:r>
      <w:r w:rsidRPr="007F212C">
        <w:rPr>
          <w:noProof/>
        </w:rPr>
        <w:t xml:space="preserve">alidity of the AAQ-II and MEAQ. </w:t>
      </w:r>
      <w:r w:rsidRPr="009F157E">
        <w:rPr>
          <w:i/>
          <w:noProof/>
        </w:rPr>
        <w:t>Behavior Therapy, 49</w:t>
      </w:r>
      <w:r w:rsidRPr="007F212C">
        <w:rPr>
          <w:noProof/>
        </w:rPr>
        <w:t>, 435–449. http://doi.org/10.1016/j.beth.2017.08.008</w:t>
      </w:r>
    </w:p>
    <w:p w14:paraId="5B22FEDF" w14:textId="0BC867BB" w:rsidR="008E3E28" w:rsidRPr="008E3E28" w:rsidRDefault="008E3E28" w:rsidP="008E3E28">
      <w:pPr>
        <w:widowControl w:val="0"/>
        <w:autoSpaceDE w:val="0"/>
        <w:autoSpaceDN w:val="0"/>
        <w:adjustRightInd w:val="0"/>
        <w:spacing w:line="480" w:lineRule="auto"/>
        <w:ind w:left="480" w:hanging="480"/>
        <w:rPr>
          <w:noProof/>
        </w:rPr>
      </w:pPr>
      <w:r w:rsidRPr="008E3E28">
        <w:rPr>
          <w:noProof/>
        </w:rPr>
        <w:t xml:space="preserve">Sandoz, E. K., Wilson, K. G., Merwin, R. M., &amp; Kellum, K. K. (2013). Assessment of body image flexibility: The Body Image-Acceptance and Action Questionnaire. </w:t>
      </w:r>
      <w:r w:rsidRPr="008E3E28">
        <w:rPr>
          <w:i/>
          <w:iCs/>
          <w:noProof/>
        </w:rPr>
        <w:t>Journal of Contextual Behavioral Science</w:t>
      </w:r>
      <w:r w:rsidRPr="008E3E28">
        <w:rPr>
          <w:noProof/>
        </w:rPr>
        <w:t xml:space="preserve">, </w:t>
      </w:r>
      <w:r w:rsidRPr="008E3E28">
        <w:rPr>
          <w:i/>
          <w:iCs/>
          <w:noProof/>
        </w:rPr>
        <w:t>2</w:t>
      </w:r>
      <w:r w:rsidRPr="008E3E28">
        <w:rPr>
          <w:noProof/>
        </w:rPr>
        <w:t>, 39–48. http://doi.org/10.1016/j.jcbs.2013.03.002</w:t>
      </w:r>
    </w:p>
    <w:p w14:paraId="68989A95" w14:textId="77777777" w:rsidR="008E3E28" w:rsidRPr="008E3E28" w:rsidRDefault="008E3E28" w:rsidP="008E3E28">
      <w:pPr>
        <w:widowControl w:val="0"/>
        <w:autoSpaceDE w:val="0"/>
        <w:autoSpaceDN w:val="0"/>
        <w:adjustRightInd w:val="0"/>
        <w:spacing w:line="480" w:lineRule="auto"/>
        <w:ind w:left="480" w:hanging="480"/>
        <w:rPr>
          <w:noProof/>
        </w:rPr>
      </w:pPr>
      <w:r w:rsidRPr="008E3E28">
        <w:rPr>
          <w:noProof/>
        </w:rPr>
        <w:t xml:space="preserve">Smout, M., Davies, M., Burns, N., &amp; Christie, A. (2014). Development of the Valuing Questionnaire (VQ). </w:t>
      </w:r>
      <w:r w:rsidRPr="008E3E28">
        <w:rPr>
          <w:i/>
          <w:iCs/>
          <w:noProof/>
        </w:rPr>
        <w:t>Journal of Contextual Behavioral Science</w:t>
      </w:r>
      <w:r w:rsidRPr="008E3E28">
        <w:rPr>
          <w:noProof/>
        </w:rPr>
        <w:t xml:space="preserve">, </w:t>
      </w:r>
      <w:r w:rsidRPr="008E3E28">
        <w:rPr>
          <w:i/>
          <w:iCs/>
          <w:noProof/>
        </w:rPr>
        <w:t>3</w:t>
      </w:r>
      <w:r w:rsidRPr="008E3E28">
        <w:rPr>
          <w:noProof/>
        </w:rPr>
        <w:t>, 164–172. http://doi.org/10.1016/j.jcbs.2014.06.001</w:t>
      </w:r>
    </w:p>
    <w:p w14:paraId="48F98972" w14:textId="77777777" w:rsidR="0048680C" w:rsidRDefault="008E3E28" w:rsidP="00A228B3">
      <w:pPr>
        <w:widowControl w:val="0"/>
        <w:autoSpaceDE w:val="0"/>
        <w:autoSpaceDN w:val="0"/>
        <w:adjustRightInd w:val="0"/>
        <w:spacing w:line="480" w:lineRule="auto"/>
        <w:ind w:left="480" w:hanging="480"/>
        <w:rPr>
          <w:noProof/>
        </w:rPr>
      </w:pPr>
      <w:r w:rsidRPr="008E3E28">
        <w:rPr>
          <w:noProof/>
        </w:rPr>
        <w:t xml:space="preserve">Steketee, G., &amp; Frost, R. (2003). Compulsive hoarding: Current status of the research. </w:t>
      </w:r>
      <w:r w:rsidRPr="008E3E28">
        <w:rPr>
          <w:i/>
          <w:iCs/>
          <w:noProof/>
        </w:rPr>
        <w:t>Clinical Psychology Review</w:t>
      </w:r>
      <w:r w:rsidRPr="008E3E28">
        <w:rPr>
          <w:noProof/>
        </w:rPr>
        <w:t xml:space="preserve">, </w:t>
      </w:r>
      <w:r w:rsidRPr="008E3E28">
        <w:rPr>
          <w:i/>
          <w:iCs/>
          <w:noProof/>
        </w:rPr>
        <w:t>23</w:t>
      </w:r>
      <w:r w:rsidRPr="008E3E28">
        <w:rPr>
          <w:noProof/>
        </w:rPr>
        <w:t>, 905–927. http://doi.org/10.1016/j.cpr.2003.08.002</w:t>
      </w:r>
    </w:p>
    <w:p w14:paraId="10012DF7" w14:textId="758D13AD" w:rsidR="0048680C" w:rsidRPr="0048680C" w:rsidRDefault="0048680C" w:rsidP="00A228B3">
      <w:pPr>
        <w:widowControl w:val="0"/>
        <w:autoSpaceDE w:val="0"/>
        <w:autoSpaceDN w:val="0"/>
        <w:adjustRightInd w:val="0"/>
        <w:spacing w:line="480" w:lineRule="auto"/>
        <w:ind w:left="480" w:hanging="480"/>
        <w:rPr>
          <w:noProof/>
        </w:rPr>
      </w:pPr>
      <w:r>
        <w:rPr>
          <w:noProof/>
        </w:rPr>
        <w:t xml:space="preserve">Steketee, G., &amp; Frost, R. (2007). </w:t>
      </w:r>
      <w:r w:rsidRPr="00A228B3">
        <w:rPr>
          <w:i/>
          <w:noProof/>
        </w:rPr>
        <w:t xml:space="preserve">Compulsive hoarding and acquiring: Therapist guide. </w:t>
      </w:r>
      <w:r>
        <w:rPr>
          <w:noProof/>
        </w:rPr>
        <w:t>New York: Oxford University Press.</w:t>
      </w:r>
    </w:p>
    <w:p w14:paraId="69CE98AE" w14:textId="253F7F3E" w:rsidR="0048680C" w:rsidRDefault="0048680C" w:rsidP="00E249B6">
      <w:pPr>
        <w:widowControl w:val="0"/>
        <w:autoSpaceDE w:val="0"/>
        <w:autoSpaceDN w:val="0"/>
        <w:adjustRightInd w:val="0"/>
        <w:spacing w:line="480" w:lineRule="auto"/>
        <w:ind w:left="480" w:hanging="480"/>
        <w:rPr>
          <w:noProof/>
        </w:rPr>
      </w:pPr>
      <w:r>
        <w:t xml:space="preserve">Steketee, G., Frost, R. O., &amp; Kyrios, M. (2003). Cognitive aspects of compulsive hoarding. </w:t>
      </w:r>
      <w:r>
        <w:rPr>
          <w:i/>
          <w:iCs/>
        </w:rPr>
        <w:t>Cognitive Therapy and Research</w:t>
      </w:r>
      <w:r>
        <w:t xml:space="preserve">, </w:t>
      </w:r>
      <w:r>
        <w:rPr>
          <w:i/>
          <w:iCs/>
        </w:rPr>
        <w:t>27</w:t>
      </w:r>
      <w:r>
        <w:t>, 463–479. http://doi.org/10.1023/A:1025428631552</w:t>
      </w:r>
    </w:p>
    <w:p w14:paraId="0404766D" w14:textId="07A293E1" w:rsidR="00E249B6" w:rsidRPr="00E249B6" w:rsidRDefault="00E249B6" w:rsidP="00E249B6">
      <w:pPr>
        <w:widowControl w:val="0"/>
        <w:autoSpaceDE w:val="0"/>
        <w:autoSpaceDN w:val="0"/>
        <w:adjustRightInd w:val="0"/>
        <w:spacing w:line="480" w:lineRule="auto"/>
        <w:ind w:left="480" w:hanging="480"/>
        <w:rPr>
          <w:noProof/>
        </w:rPr>
      </w:pPr>
      <w:r w:rsidRPr="009F157E">
        <w:rPr>
          <w:rFonts w:eastAsia="Times New Roman"/>
          <w:color w:val="222222"/>
          <w:shd w:val="clear" w:color="auto" w:fill="FFFFFF"/>
        </w:rPr>
        <w:t>Streiner, D. L. (1994). Figuring out factors: the use and misuse of factor analysis. </w:t>
      </w:r>
      <w:r w:rsidRPr="009F157E">
        <w:rPr>
          <w:rFonts w:eastAsia="Times New Roman"/>
          <w:i/>
          <w:iCs/>
          <w:color w:val="222222"/>
          <w:shd w:val="clear" w:color="auto" w:fill="FFFFFF"/>
        </w:rPr>
        <w:t>The Canadian Journal of Psychiatry</w:t>
      </w:r>
      <w:r w:rsidRPr="009F157E">
        <w:rPr>
          <w:rFonts w:eastAsia="Times New Roman"/>
          <w:color w:val="222222"/>
          <w:shd w:val="clear" w:color="auto" w:fill="FFFFFF"/>
        </w:rPr>
        <w:t>, </w:t>
      </w:r>
      <w:r w:rsidRPr="009F157E">
        <w:rPr>
          <w:rFonts w:eastAsia="Times New Roman"/>
          <w:i/>
          <w:iCs/>
          <w:color w:val="222222"/>
          <w:shd w:val="clear" w:color="auto" w:fill="FFFFFF"/>
        </w:rPr>
        <w:t>39</w:t>
      </w:r>
      <w:r w:rsidRPr="009F157E">
        <w:rPr>
          <w:rFonts w:eastAsia="Times New Roman"/>
          <w:color w:val="222222"/>
          <w:shd w:val="clear" w:color="auto" w:fill="FFFFFF"/>
        </w:rPr>
        <w:t>, 135-140.</w:t>
      </w:r>
    </w:p>
    <w:p w14:paraId="64856113" w14:textId="77777777" w:rsidR="008E3E28" w:rsidRPr="008E3E28" w:rsidRDefault="008E3E28" w:rsidP="008E3E28">
      <w:pPr>
        <w:widowControl w:val="0"/>
        <w:autoSpaceDE w:val="0"/>
        <w:autoSpaceDN w:val="0"/>
        <w:adjustRightInd w:val="0"/>
        <w:spacing w:line="480" w:lineRule="auto"/>
        <w:ind w:left="480" w:hanging="480"/>
        <w:rPr>
          <w:noProof/>
        </w:rPr>
      </w:pPr>
      <w:r w:rsidRPr="008E3E28">
        <w:rPr>
          <w:noProof/>
        </w:rPr>
        <w:t xml:space="preserve">Timpano, K. R., Broman-Fulks, J. J., Glaesmer, H., Exner, C., Rief, W., Olatunji, B. O., … Schmidt, N. B. (2013). A taxometric exploration of the latent structure of hoarding. </w:t>
      </w:r>
      <w:r w:rsidRPr="008E3E28">
        <w:rPr>
          <w:i/>
          <w:iCs/>
          <w:noProof/>
        </w:rPr>
        <w:t>Psychological Assessment</w:t>
      </w:r>
      <w:r w:rsidRPr="008E3E28">
        <w:rPr>
          <w:noProof/>
        </w:rPr>
        <w:t xml:space="preserve">, </w:t>
      </w:r>
      <w:r w:rsidRPr="008E3E28">
        <w:rPr>
          <w:i/>
          <w:iCs/>
          <w:noProof/>
        </w:rPr>
        <w:t>25</w:t>
      </w:r>
      <w:r w:rsidRPr="008E3E28">
        <w:rPr>
          <w:noProof/>
        </w:rPr>
        <w:t>, 194–203. http://doi.org/10.1037/a0029966</w:t>
      </w:r>
    </w:p>
    <w:p w14:paraId="6BEA0C70" w14:textId="22402802" w:rsidR="008E3E28" w:rsidRPr="008E3E28" w:rsidRDefault="008E3E28" w:rsidP="008E3E28">
      <w:pPr>
        <w:widowControl w:val="0"/>
        <w:autoSpaceDE w:val="0"/>
        <w:autoSpaceDN w:val="0"/>
        <w:adjustRightInd w:val="0"/>
        <w:spacing w:line="480" w:lineRule="auto"/>
        <w:ind w:left="480" w:hanging="480"/>
        <w:rPr>
          <w:noProof/>
        </w:rPr>
      </w:pPr>
      <w:r w:rsidRPr="008E3E28">
        <w:rPr>
          <w:noProof/>
        </w:rPr>
        <w:t xml:space="preserve">Timpano, K. R., Buckner, J. D., Richey, J. A., Murphy, D. L., &amp; Schmidt, N. B. (2009). Exploration of anxiety sensitivity and distress tolerance as vulnerability factors for hoarding behaviors. </w:t>
      </w:r>
      <w:r w:rsidRPr="008E3E28">
        <w:rPr>
          <w:i/>
          <w:iCs/>
          <w:noProof/>
        </w:rPr>
        <w:t>Depression and Anxiety</w:t>
      </w:r>
      <w:r w:rsidRPr="008E3E28">
        <w:rPr>
          <w:noProof/>
        </w:rPr>
        <w:t xml:space="preserve">, </w:t>
      </w:r>
      <w:r w:rsidRPr="008E3E28">
        <w:rPr>
          <w:i/>
          <w:iCs/>
          <w:noProof/>
        </w:rPr>
        <w:t>26</w:t>
      </w:r>
      <w:r w:rsidRPr="008E3E28">
        <w:rPr>
          <w:noProof/>
        </w:rPr>
        <w:t>, 343–353. http://doi.org/10.1016/j.biotechadv.2011.08.021.Secreted</w:t>
      </w:r>
    </w:p>
    <w:p w14:paraId="0CEC0C2B" w14:textId="124B9B9D" w:rsidR="008E3E28" w:rsidRPr="008E3E28" w:rsidRDefault="008E3E28" w:rsidP="008E3E28">
      <w:pPr>
        <w:widowControl w:val="0"/>
        <w:autoSpaceDE w:val="0"/>
        <w:autoSpaceDN w:val="0"/>
        <w:adjustRightInd w:val="0"/>
        <w:spacing w:line="480" w:lineRule="auto"/>
        <w:ind w:left="480" w:hanging="480"/>
        <w:rPr>
          <w:noProof/>
        </w:rPr>
      </w:pPr>
      <w:r w:rsidRPr="008E3E28">
        <w:rPr>
          <w:noProof/>
        </w:rPr>
        <w:t xml:space="preserve">Timpano, K. R., Rasmussen, J., Exner, C., Rief, W., Schmidt, N. B., &amp; Wilhelm, S. (2013). Hoarding and the multi-faceted construct of impulsivity: a cross-cultural investigation. </w:t>
      </w:r>
      <w:r w:rsidRPr="008E3E28">
        <w:rPr>
          <w:i/>
          <w:iCs/>
          <w:noProof/>
        </w:rPr>
        <w:t>Journal of Psychiatric Research</w:t>
      </w:r>
      <w:r w:rsidRPr="008E3E28">
        <w:rPr>
          <w:noProof/>
        </w:rPr>
        <w:t xml:space="preserve">, </w:t>
      </w:r>
      <w:r w:rsidRPr="008E3E28">
        <w:rPr>
          <w:i/>
          <w:iCs/>
          <w:noProof/>
        </w:rPr>
        <w:t>47</w:t>
      </w:r>
      <w:r w:rsidRPr="008E3E28">
        <w:rPr>
          <w:noProof/>
        </w:rPr>
        <w:t>, 363–70. http://doi.org/10.1016/j.jpsychires.2012.10.017</w:t>
      </w:r>
    </w:p>
    <w:p w14:paraId="569B7B40" w14:textId="77777777" w:rsidR="008E3E28" w:rsidRPr="008E3E28" w:rsidRDefault="008E3E28" w:rsidP="008E3E28">
      <w:pPr>
        <w:widowControl w:val="0"/>
        <w:autoSpaceDE w:val="0"/>
        <w:autoSpaceDN w:val="0"/>
        <w:adjustRightInd w:val="0"/>
        <w:spacing w:line="480" w:lineRule="auto"/>
        <w:ind w:left="480" w:hanging="480"/>
        <w:rPr>
          <w:noProof/>
        </w:rPr>
      </w:pPr>
      <w:r w:rsidRPr="008E3E28">
        <w:rPr>
          <w:noProof/>
        </w:rPr>
        <w:t xml:space="preserve">Timpano, K. R., Shaw, A. M., Cougle, J. R., &amp; Fitch, K. E. (2014). A multifaceted assessment of emotional tolerance and intensity in hoarding. </w:t>
      </w:r>
      <w:r w:rsidRPr="008E3E28">
        <w:rPr>
          <w:i/>
          <w:iCs/>
          <w:noProof/>
        </w:rPr>
        <w:t>Behavior Therapy</w:t>
      </w:r>
      <w:r w:rsidRPr="008E3E28">
        <w:rPr>
          <w:noProof/>
        </w:rPr>
        <w:t xml:space="preserve">, </w:t>
      </w:r>
      <w:r w:rsidRPr="008E3E28">
        <w:rPr>
          <w:i/>
          <w:iCs/>
          <w:noProof/>
        </w:rPr>
        <w:t>45</w:t>
      </w:r>
      <w:r w:rsidRPr="008E3E28">
        <w:rPr>
          <w:noProof/>
        </w:rPr>
        <w:t>, 690–699. http://doi.org/10.1016/j.beth.2014.04.002</w:t>
      </w:r>
    </w:p>
    <w:p w14:paraId="25D437D8" w14:textId="77777777" w:rsidR="008E3E28" w:rsidRPr="008E3E28" w:rsidRDefault="008E3E28" w:rsidP="008E3E28">
      <w:pPr>
        <w:widowControl w:val="0"/>
        <w:autoSpaceDE w:val="0"/>
        <w:autoSpaceDN w:val="0"/>
        <w:adjustRightInd w:val="0"/>
        <w:spacing w:line="480" w:lineRule="auto"/>
        <w:ind w:left="480" w:hanging="480"/>
        <w:rPr>
          <w:noProof/>
        </w:rPr>
      </w:pPr>
      <w:r w:rsidRPr="008E3E28">
        <w:rPr>
          <w:noProof/>
        </w:rPr>
        <w:t xml:space="preserve">Tolin, D. F., Frost, R. O., Steketee, G., &amp; Muroff, J. (2015). Cognitive behavioral therapy for hoarding disorder: A meta-analysis. </w:t>
      </w:r>
      <w:r w:rsidRPr="008E3E28">
        <w:rPr>
          <w:i/>
          <w:iCs/>
          <w:noProof/>
        </w:rPr>
        <w:t>Depression and Anxiety</w:t>
      </w:r>
      <w:r w:rsidRPr="008E3E28">
        <w:rPr>
          <w:noProof/>
        </w:rPr>
        <w:t xml:space="preserve">, </w:t>
      </w:r>
      <w:r w:rsidRPr="008E3E28">
        <w:rPr>
          <w:i/>
          <w:iCs/>
          <w:noProof/>
        </w:rPr>
        <w:t>32</w:t>
      </w:r>
      <w:r w:rsidRPr="008E3E28">
        <w:rPr>
          <w:noProof/>
        </w:rPr>
        <w:t>, 158–166. http://doi.org/10.1002/da.22327</w:t>
      </w:r>
    </w:p>
    <w:p w14:paraId="596F1B08" w14:textId="77777777" w:rsidR="008E3E28" w:rsidRDefault="008E3E28" w:rsidP="008E3E28">
      <w:pPr>
        <w:widowControl w:val="0"/>
        <w:autoSpaceDE w:val="0"/>
        <w:autoSpaceDN w:val="0"/>
        <w:adjustRightInd w:val="0"/>
        <w:spacing w:line="480" w:lineRule="auto"/>
        <w:ind w:left="480" w:hanging="480"/>
        <w:rPr>
          <w:noProof/>
        </w:rPr>
      </w:pPr>
      <w:r w:rsidRPr="008E3E28">
        <w:rPr>
          <w:noProof/>
        </w:rPr>
        <w:t xml:space="preserve">Tolin, D. F., Meunier, S. A., Frost, R. O., &amp; Steketee, G. (2010). Course of compulsive hoarding and its relationship to life events. </w:t>
      </w:r>
      <w:r w:rsidRPr="008E3E28">
        <w:rPr>
          <w:i/>
          <w:iCs/>
          <w:noProof/>
        </w:rPr>
        <w:t>Depression and Anxiety</w:t>
      </w:r>
      <w:r w:rsidRPr="008E3E28">
        <w:rPr>
          <w:noProof/>
        </w:rPr>
        <w:t xml:space="preserve">, </w:t>
      </w:r>
      <w:r w:rsidRPr="008E3E28">
        <w:rPr>
          <w:i/>
          <w:iCs/>
          <w:noProof/>
        </w:rPr>
        <w:t>27</w:t>
      </w:r>
      <w:r w:rsidRPr="008E3E28">
        <w:rPr>
          <w:noProof/>
        </w:rPr>
        <w:t>, 829–838. http://doi.org/10.1002/da.20684</w:t>
      </w:r>
    </w:p>
    <w:p w14:paraId="121709E9" w14:textId="504FCAB8" w:rsidR="00DB0EC8" w:rsidRDefault="00DB0EC8" w:rsidP="008E3E28">
      <w:pPr>
        <w:widowControl w:val="0"/>
        <w:autoSpaceDE w:val="0"/>
        <w:autoSpaceDN w:val="0"/>
        <w:adjustRightInd w:val="0"/>
        <w:spacing w:line="480" w:lineRule="auto"/>
        <w:ind w:left="480" w:hanging="480"/>
        <w:rPr>
          <w:noProof/>
        </w:rPr>
      </w:pPr>
      <w:r w:rsidRPr="00DB0EC8">
        <w:rPr>
          <w:noProof/>
        </w:rPr>
        <w:t xml:space="preserve">Twohig, M. P. (2009). The application of acceptance and commitment therapy to obsessive-compulsive disorder. </w:t>
      </w:r>
      <w:r w:rsidRPr="009F157E">
        <w:rPr>
          <w:i/>
          <w:noProof/>
        </w:rPr>
        <w:t>Cognitive and Behavioral Practice, 16,</w:t>
      </w:r>
      <w:r w:rsidRPr="00DB0EC8">
        <w:rPr>
          <w:noProof/>
        </w:rPr>
        <w:t xml:space="preserve"> 18–28. http://doi.org/10.1016/j.cbpra.2008.02.008</w:t>
      </w:r>
    </w:p>
    <w:p w14:paraId="622510E9" w14:textId="7D064C43" w:rsidR="003727A7" w:rsidRDefault="003727A7" w:rsidP="003727A7">
      <w:pPr>
        <w:widowControl w:val="0"/>
        <w:autoSpaceDE w:val="0"/>
        <w:autoSpaceDN w:val="0"/>
        <w:adjustRightInd w:val="0"/>
        <w:spacing w:line="480" w:lineRule="auto"/>
        <w:ind w:left="480" w:hanging="480"/>
        <w:rPr>
          <w:noProof/>
        </w:rPr>
      </w:pPr>
      <w:r>
        <w:rPr>
          <w:noProof/>
        </w:rPr>
        <w:t>Twohig,  M. P.,  &amp;  Levin  M. E.  (2017).  Acceptance  and  commitment  therapy  as  a </w:t>
      </w:r>
    </w:p>
    <w:p w14:paraId="4E8B552C" w14:textId="7FCBA174" w:rsidR="003727A7" w:rsidRPr="008E3E28" w:rsidRDefault="003727A7" w:rsidP="003727A7">
      <w:pPr>
        <w:widowControl w:val="0"/>
        <w:autoSpaceDE w:val="0"/>
        <w:autoSpaceDN w:val="0"/>
        <w:adjustRightInd w:val="0"/>
        <w:spacing w:line="480" w:lineRule="auto"/>
        <w:ind w:left="480" w:hanging="480"/>
        <w:rPr>
          <w:noProof/>
        </w:rPr>
      </w:pPr>
      <w:r>
        <w:rPr>
          <w:rFonts w:hint="eastAsia"/>
          <w:noProof/>
        </w:rPr>
        <w:t>treatment for anxiety and depression: A review. </w:t>
      </w:r>
      <w:r w:rsidRPr="003727A7">
        <w:rPr>
          <w:rFonts w:hint="eastAsia"/>
          <w:i/>
          <w:noProof/>
        </w:rPr>
        <w:t>Psychiatric Clinics, 40</w:t>
      </w:r>
      <w:r>
        <w:rPr>
          <w:rFonts w:hint="eastAsia"/>
          <w:noProof/>
        </w:rPr>
        <w:t>, 751</w:t>
      </w:r>
      <w:r>
        <w:rPr>
          <w:noProof/>
        </w:rPr>
        <w:t>-</w:t>
      </w:r>
      <w:r>
        <w:rPr>
          <w:rFonts w:hint="eastAsia"/>
          <w:noProof/>
        </w:rPr>
        <w:t>770. </w:t>
      </w:r>
      <w:r w:rsidRPr="003727A7">
        <w:rPr>
          <w:noProof/>
        </w:rPr>
        <w:t>https://doi.org/10.1016/j.psc.2017.08.009</w:t>
      </w:r>
    </w:p>
    <w:p w14:paraId="166CD947" w14:textId="799D8310" w:rsidR="008E3E28" w:rsidRDefault="008E3E28" w:rsidP="008E3E28">
      <w:pPr>
        <w:widowControl w:val="0"/>
        <w:autoSpaceDE w:val="0"/>
        <w:autoSpaceDN w:val="0"/>
        <w:adjustRightInd w:val="0"/>
        <w:spacing w:line="480" w:lineRule="auto"/>
        <w:ind w:left="480" w:hanging="480"/>
        <w:rPr>
          <w:noProof/>
        </w:rPr>
      </w:pPr>
      <w:r w:rsidRPr="008E3E28">
        <w:rPr>
          <w:noProof/>
        </w:rPr>
        <w:t xml:space="preserve">Wheaton, M. G., Fabricant, L. E., Berman, N. C., &amp; Abramowitz, J. S. (2013). Experiential avoidance in individuals with hoarding disorder. </w:t>
      </w:r>
      <w:r w:rsidRPr="008E3E28">
        <w:rPr>
          <w:i/>
          <w:iCs/>
          <w:noProof/>
        </w:rPr>
        <w:t>Cognitive Therapy and Research</w:t>
      </w:r>
      <w:r w:rsidRPr="008E3E28">
        <w:rPr>
          <w:noProof/>
        </w:rPr>
        <w:t xml:space="preserve">, </w:t>
      </w:r>
      <w:r w:rsidRPr="008E3E28">
        <w:rPr>
          <w:i/>
          <w:iCs/>
          <w:noProof/>
        </w:rPr>
        <w:t>37</w:t>
      </w:r>
      <w:r w:rsidRPr="008E3E28">
        <w:rPr>
          <w:noProof/>
        </w:rPr>
        <w:t>, 779–785. http://doi.org/10.1007/s10608-012-9511-2</w:t>
      </w:r>
    </w:p>
    <w:p w14:paraId="5AFC5429" w14:textId="3FE69018" w:rsidR="001551AE" w:rsidRPr="008E3E28" w:rsidRDefault="001551AE" w:rsidP="008E3E28">
      <w:pPr>
        <w:widowControl w:val="0"/>
        <w:autoSpaceDE w:val="0"/>
        <w:autoSpaceDN w:val="0"/>
        <w:adjustRightInd w:val="0"/>
        <w:spacing w:line="480" w:lineRule="auto"/>
        <w:ind w:left="480" w:hanging="480"/>
        <w:rPr>
          <w:noProof/>
        </w:rPr>
      </w:pPr>
      <w:r w:rsidRPr="001551AE">
        <w:rPr>
          <w:noProof/>
        </w:rPr>
        <w:t>Zwick, W. R., &amp; Velicer, W. F. (1986). Comparison of five rules for determining the number of components to retai</w:t>
      </w:r>
      <w:r>
        <w:rPr>
          <w:noProof/>
        </w:rPr>
        <w:t xml:space="preserve">n. </w:t>
      </w:r>
      <w:r w:rsidRPr="00F5279C">
        <w:rPr>
          <w:i/>
          <w:noProof/>
        </w:rPr>
        <w:t>Psychological Bulletin, 99</w:t>
      </w:r>
      <w:r w:rsidRPr="001551AE">
        <w:rPr>
          <w:noProof/>
        </w:rPr>
        <w:t>, 432-442. doi:10.1037/0033-2909.99.3.432</w:t>
      </w:r>
    </w:p>
    <w:p w14:paraId="68D82453" w14:textId="77777777" w:rsidR="009D4E5D" w:rsidRDefault="00B53D6E" w:rsidP="008E3E28">
      <w:pPr>
        <w:widowControl w:val="0"/>
        <w:autoSpaceDE w:val="0"/>
        <w:autoSpaceDN w:val="0"/>
        <w:adjustRightInd w:val="0"/>
        <w:spacing w:line="480" w:lineRule="auto"/>
      </w:pPr>
      <w:r>
        <w:fldChar w:fldCharType="end"/>
      </w:r>
    </w:p>
    <w:p w14:paraId="34A29F95" w14:textId="77777777" w:rsidR="00DB0EC8" w:rsidRDefault="00DB0EC8">
      <w:r>
        <w:br w:type="page"/>
      </w:r>
    </w:p>
    <w:p w14:paraId="0C0FEEA2" w14:textId="77777777" w:rsidR="00C9514A" w:rsidRPr="00A13BAE" w:rsidRDefault="00C9514A" w:rsidP="00C9514A">
      <w:r w:rsidRPr="00A13BAE">
        <w:t>Table 1</w:t>
      </w:r>
    </w:p>
    <w:p w14:paraId="5A4279EB" w14:textId="5CDEE0E5" w:rsidR="00C9514A" w:rsidRPr="009F157E" w:rsidRDefault="00C9514A" w:rsidP="00C9514A">
      <w:pPr>
        <w:rPr>
          <w:i/>
        </w:rPr>
      </w:pPr>
      <w:r w:rsidRPr="009F157E">
        <w:rPr>
          <w:i/>
        </w:rPr>
        <w:t>Factor loadings for</w:t>
      </w:r>
      <w:r w:rsidR="008C09A6" w:rsidRPr="009F157E">
        <w:rPr>
          <w:i/>
        </w:rPr>
        <w:t xml:space="preserve"> </w:t>
      </w:r>
      <w:r w:rsidRPr="009F157E">
        <w:rPr>
          <w:i/>
        </w:rPr>
        <w:t>AAQH items using exploratory factor analysis</w:t>
      </w:r>
    </w:p>
    <w:tbl>
      <w:tblPr>
        <w:tblW w:w="10080" w:type="dxa"/>
        <w:tblLook w:val="04A0" w:firstRow="1" w:lastRow="0" w:firstColumn="1" w:lastColumn="0" w:noHBand="0" w:noVBand="1"/>
      </w:tblPr>
      <w:tblGrid>
        <w:gridCol w:w="8190"/>
        <w:gridCol w:w="887"/>
        <w:gridCol w:w="1003"/>
      </w:tblGrid>
      <w:tr w:rsidR="002538EB" w:rsidRPr="00A13BAE" w14:paraId="4D7BB40D" w14:textId="77777777" w:rsidTr="001551AE">
        <w:trPr>
          <w:trHeight w:val="320"/>
        </w:trPr>
        <w:tc>
          <w:tcPr>
            <w:tcW w:w="8190" w:type="dxa"/>
            <w:tcBorders>
              <w:top w:val="single" w:sz="4" w:space="0" w:color="auto"/>
              <w:left w:val="nil"/>
              <w:bottom w:val="single" w:sz="4" w:space="0" w:color="auto"/>
              <w:right w:val="nil"/>
            </w:tcBorders>
            <w:shd w:val="clear" w:color="auto" w:fill="auto"/>
            <w:noWrap/>
            <w:vAlign w:val="bottom"/>
          </w:tcPr>
          <w:p w14:paraId="5E337765" w14:textId="77777777" w:rsidR="002538EB" w:rsidRPr="00A13BAE" w:rsidRDefault="002538EB" w:rsidP="001551AE">
            <w:pPr>
              <w:jc w:val="right"/>
              <w:rPr>
                <w:rFonts w:eastAsia="Times New Roman"/>
                <w:color w:val="000000"/>
              </w:rPr>
            </w:pPr>
          </w:p>
        </w:tc>
        <w:tc>
          <w:tcPr>
            <w:tcW w:w="887" w:type="dxa"/>
            <w:tcBorders>
              <w:top w:val="single" w:sz="4" w:space="0" w:color="auto"/>
              <w:left w:val="nil"/>
              <w:bottom w:val="single" w:sz="4" w:space="0" w:color="auto"/>
              <w:right w:val="nil"/>
            </w:tcBorders>
            <w:shd w:val="clear" w:color="auto" w:fill="auto"/>
            <w:noWrap/>
            <w:vAlign w:val="bottom"/>
          </w:tcPr>
          <w:p w14:paraId="777833EE" w14:textId="77777777" w:rsidR="002538EB" w:rsidRPr="00A13BAE" w:rsidRDefault="002538EB" w:rsidP="001551AE">
            <w:pPr>
              <w:rPr>
                <w:rFonts w:eastAsia="Times New Roman"/>
                <w:color w:val="000000"/>
              </w:rPr>
            </w:pPr>
            <w:r w:rsidRPr="00A13BAE">
              <w:rPr>
                <w:rFonts w:eastAsia="Times New Roman"/>
                <w:color w:val="000000"/>
              </w:rPr>
              <w:t>1</w:t>
            </w:r>
          </w:p>
        </w:tc>
        <w:tc>
          <w:tcPr>
            <w:tcW w:w="1003" w:type="dxa"/>
            <w:tcBorders>
              <w:top w:val="single" w:sz="4" w:space="0" w:color="auto"/>
              <w:left w:val="nil"/>
              <w:bottom w:val="single" w:sz="4" w:space="0" w:color="auto"/>
              <w:right w:val="nil"/>
            </w:tcBorders>
            <w:shd w:val="clear" w:color="auto" w:fill="auto"/>
            <w:noWrap/>
            <w:vAlign w:val="bottom"/>
            <w:hideMark/>
          </w:tcPr>
          <w:p w14:paraId="596D3449" w14:textId="77777777" w:rsidR="002538EB" w:rsidRPr="00A13BAE" w:rsidRDefault="002538EB" w:rsidP="001551AE">
            <w:pPr>
              <w:rPr>
                <w:rFonts w:eastAsia="Times New Roman"/>
                <w:color w:val="000000"/>
              </w:rPr>
            </w:pPr>
            <w:r w:rsidRPr="00A13BAE">
              <w:rPr>
                <w:rFonts w:eastAsia="Times New Roman"/>
                <w:color w:val="000000"/>
              </w:rPr>
              <w:t>2</w:t>
            </w:r>
          </w:p>
        </w:tc>
      </w:tr>
      <w:tr w:rsidR="002538EB" w:rsidRPr="00A13BAE" w14:paraId="36B49BDA" w14:textId="77777777" w:rsidTr="001551AE">
        <w:trPr>
          <w:trHeight w:val="320"/>
        </w:trPr>
        <w:tc>
          <w:tcPr>
            <w:tcW w:w="8190" w:type="dxa"/>
            <w:tcBorders>
              <w:top w:val="single" w:sz="4" w:space="0" w:color="auto"/>
              <w:left w:val="nil"/>
              <w:bottom w:val="nil"/>
              <w:right w:val="nil"/>
            </w:tcBorders>
            <w:shd w:val="clear" w:color="auto" w:fill="auto"/>
            <w:noWrap/>
            <w:vAlign w:val="bottom"/>
          </w:tcPr>
          <w:p w14:paraId="1DB74744" w14:textId="77777777" w:rsidR="002538EB" w:rsidRPr="00A13BAE" w:rsidRDefault="002538EB" w:rsidP="001551AE">
            <w:pPr>
              <w:rPr>
                <w:rFonts w:eastAsia="Times New Roman"/>
                <w:color w:val="000000"/>
              </w:rPr>
            </w:pPr>
            <w:r w:rsidRPr="00A13BAE">
              <w:rPr>
                <w:rFonts w:eastAsia="Times New Roman"/>
                <w:color w:val="000000"/>
              </w:rPr>
              <w:t>Factor 1:</w:t>
            </w:r>
          </w:p>
        </w:tc>
        <w:tc>
          <w:tcPr>
            <w:tcW w:w="887" w:type="dxa"/>
            <w:tcBorders>
              <w:top w:val="single" w:sz="4" w:space="0" w:color="auto"/>
              <w:left w:val="nil"/>
              <w:bottom w:val="nil"/>
              <w:right w:val="nil"/>
            </w:tcBorders>
            <w:shd w:val="clear" w:color="auto" w:fill="auto"/>
            <w:noWrap/>
            <w:vAlign w:val="bottom"/>
          </w:tcPr>
          <w:p w14:paraId="1B35CECD" w14:textId="77777777" w:rsidR="002538EB" w:rsidRPr="00A13BAE" w:rsidRDefault="002538EB" w:rsidP="001551AE">
            <w:pPr>
              <w:rPr>
                <w:rFonts w:eastAsia="Times New Roman"/>
                <w:color w:val="000000"/>
              </w:rPr>
            </w:pPr>
          </w:p>
        </w:tc>
        <w:tc>
          <w:tcPr>
            <w:tcW w:w="1003" w:type="dxa"/>
            <w:tcBorders>
              <w:top w:val="single" w:sz="4" w:space="0" w:color="auto"/>
              <w:left w:val="nil"/>
              <w:bottom w:val="nil"/>
              <w:right w:val="nil"/>
            </w:tcBorders>
            <w:shd w:val="clear" w:color="auto" w:fill="auto"/>
            <w:noWrap/>
            <w:vAlign w:val="bottom"/>
          </w:tcPr>
          <w:p w14:paraId="7A4B52CE" w14:textId="77777777" w:rsidR="002538EB" w:rsidRPr="00A13BAE" w:rsidRDefault="002538EB" w:rsidP="001551AE">
            <w:pPr>
              <w:rPr>
                <w:rFonts w:eastAsia="Times New Roman"/>
                <w:color w:val="000000"/>
              </w:rPr>
            </w:pPr>
          </w:p>
        </w:tc>
      </w:tr>
      <w:tr w:rsidR="002538EB" w:rsidRPr="00A13BAE" w14:paraId="04CD9520" w14:textId="77777777" w:rsidTr="001551AE">
        <w:trPr>
          <w:trHeight w:val="320"/>
        </w:trPr>
        <w:tc>
          <w:tcPr>
            <w:tcW w:w="8190" w:type="dxa"/>
            <w:tcBorders>
              <w:top w:val="nil"/>
              <w:left w:val="nil"/>
              <w:bottom w:val="nil"/>
              <w:right w:val="nil"/>
            </w:tcBorders>
            <w:shd w:val="clear" w:color="auto" w:fill="auto"/>
            <w:noWrap/>
            <w:vAlign w:val="bottom"/>
            <w:hideMark/>
          </w:tcPr>
          <w:p w14:paraId="49CBCD24" w14:textId="77777777" w:rsidR="002538EB" w:rsidRPr="00A13BAE" w:rsidRDefault="002538EB" w:rsidP="001551AE">
            <w:pPr>
              <w:rPr>
                <w:rFonts w:eastAsia="Times New Roman"/>
                <w:color w:val="000000"/>
              </w:rPr>
            </w:pPr>
            <w:r w:rsidRPr="00A13BAE">
              <w:t>1. I need to stop feeling so attached to my things.</w:t>
            </w:r>
          </w:p>
        </w:tc>
        <w:tc>
          <w:tcPr>
            <w:tcW w:w="887" w:type="dxa"/>
            <w:tcBorders>
              <w:top w:val="nil"/>
              <w:left w:val="nil"/>
              <w:bottom w:val="nil"/>
              <w:right w:val="nil"/>
            </w:tcBorders>
            <w:shd w:val="clear" w:color="auto" w:fill="auto"/>
            <w:noWrap/>
            <w:vAlign w:val="bottom"/>
            <w:hideMark/>
          </w:tcPr>
          <w:p w14:paraId="2A89BAD7" w14:textId="77777777" w:rsidR="002538EB" w:rsidRPr="009C53EE" w:rsidRDefault="002538EB" w:rsidP="001551AE">
            <w:pPr>
              <w:rPr>
                <w:rFonts w:eastAsia="Times New Roman"/>
                <w:b/>
                <w:color w:val="000000"/>
              </w:rPr>
            </w:pPr>
            <w:r w:rsidRPr="009C53EE">
              <w:rPr>
                <w:rFonts w:eastAsia="Times New Roman"/>
                <w:b/>
                <w:color w:val="000000"/>
              </w:rPr>
              <w:t xml:space="preserve">0.685*        </w:t>
            </w:r>
          </w:p>
        </w:tc>
        <w:tc>
          <w:tcPr>
            <w:tcW w:w="1003" w:type="dxa"/>
            <w:tcBorders>
              <w:top w:val="nil"/>
              <w:left w:val="nil"/>
              <w:bottom w:val="nil"/>
              <w:right w:val="nil"/>
            </w:tcBorders>
            <w:shd w:val="clear" w:color="auto" w:fill="auto"/>
            <w:noWrap/>
            <w:vAlign w:val="bottom"/>
            <w:hideMark/>
          </w:tcPr>
          <w:p w14:paraId="00D19F01" w14:textId="77777777" w:rsidR="002538EB" w:rsidRPr="00A13BAE" w:rsidRDefault="002538EB" w:rsidP="001551AE">
            <w:pPr>
              <w:rPr>
                <w:rFonts w:eastAsia="Times New Roman"/>
                <w:color w:val="000000"/>
              </w:rPr>
            </w:pPr>
            <w:r w:rsidRPr="00175FA0">
              <w:rPr>
                <w:rFonts w:eastAsia="Times New Roman"/>
                <w:color w:val="000000"/>
              </w:rPr>
              <w:t>0.027</w:t>
            </w:r>
          </w:p>
        </w:tc>
      </w:tr>
      <w:tr w:rsidR="002538EB" w:rsidRPr="00A13BAE" w14:paraId="624A31C6" w14:textId="77777777" w:rsidTr="001551AE">
        <w:trPr>
          <w:trHeight w:val="320"/>
        </w:trPr>
        <w:tc>
          <w:tcPr>
            <w:tcW w:w="8190" w:type="dxa"/>
            <w:tcBorders>
              <w:top w:val="nil"/>
              <w:left w:val="nil"/>
              <w:bottom w:val="nil"/>
              <w:right w:val="nil"/>
            </w:tcBorders>
            <w:shd w:val="clear" w:color="auto" w:fill="auto"/>
            <w:noWrap/>
            <w:hideMark/>
          </w:tcPr>
          <w:p w14:paraId="5DDEA319" w14:textId="77777777" w:rsidR="002538EB" w:rsidRPr="00A13BAE" w:rsidRDefault="002538EB" w:rsidP="001551AE">
            <w:r w:rsidRPr="00A13BAE">
              <w:t>2. I can’t stand feeling like I might make a mistake if I get rid of something.</w:t>
            </w:r>
          </w:p>
        </w:tc>
        <w:tc>
          <w:tcPr>
            <w:tcW w:w="887" w:type="dxa"/>
            <w:tcBorders>
              <w:top w:val="nil"/>
              <w:left w:val="nil"/>
              <w:bottom w:val="nil"/>
              <w:right w:val="nil"/>
            </w:tcBorders>
            <w:shd w:val="clear" w:color="auto" w:fill="auto"/>
            <w:noWrap/>
            <w:vAlign w:val="bottom"/>
            <w:hideMark/>
          </w:tcPr>
          <w:p w14:paraId="4123DD71" w14:textId="77777777" w:rsidR="002538EB" w:rsidRPr="009C53EE" w:rsidRDefault="002538EB" w:rsidP="001551AE">
            <w:pPr>
              <w:rPr>
                <w:rFonts w:eastAsia="Times New Roman"/>
                <w:b/>
                <w:color w:val="000000"/>
              </w:rPr>
            </w:pPr>
            <w:r w:rsidRPr="009C53EE">
              <w:rPr>
                <w:rFonts w:eastAsia="Times New Roman"/>
                <w:b/>
                <w:color w:val="000000"/>
              </w:rPr>
              <w:t xml:space="preserve">0.710*        </w:t>
            </w:r>
          </w:p>
        </w:tc>
        <w:tc>
          <w:tcPr>
            <w:tcW w:w="1003" w:type="dxa"/>
            <w:tcBorders>
              <w:top w:val="nil"/>
              <w:left w:val="nil"/>
              <w:bottom w:val="nil"/>
              <w:right w:val="nil"/>
            </w:tcBorders>
            <w:shd w:val="clear" w:color="auto" w:fill="auto"/>
            <w:noWrap/>
            <w:vAlign w:val="bottom"/>
            <w:hideMark/>
          </w:tcPr>
          <w:p w14:paraId="17F30D19" w14:textId="77777777" w:rsidR="002538EB" w:rsidRPr="00A13BAE" w:rsidRDefault="002538EB" w:rsidP="001551AE">
            <w:pPr>
              <w:rPr>
                <w:rFonts w:eastAsia="Times New Roman"/>
                <w:color w:val="000000"/>
              </w:rPr>
            </w:pPr>
            <w:r w:rsidRPr="00175FA0">
              <w:rPr>
                <w:rFonts w:eastAsia="Times New Roman"/>
                <w:color w:val="000000"/>
              </w:rPr>
              <w:t>0.009</w:t>
            </w:r>
          </w:p>
        </w:tc>
      </w:tr>
      <w:tr w:rsidR="002538EB" w:rsidRPr="00A13BAE" w14:paraId="7DEE3B11" w14:textId="77777777" w:rsidTr="001551AE">
        <w:trPr>
          <w:trHeight w:val="320"/>
        </w:trPr>
        <w:tc>
          <w:tcPr>
            <w:tcW w:w="8190" w:type="dxa"/>
            <w:tcBorders>
              <w:top w:val="nil"/>
              <w:left w:val="nil"/>
              <w:bottom w:val="nil"/>
              <w:right w:val="nil"/>
            </w:tcBorders>
            <w:shd w:val="clear" w:color="auto" w:fill="auto"/>
            <w:noWrap/>
            <w:vAlign w:val="bottom"/>
            <w:hideMark/>
          </w:tcPr>
          <w:p w14:paraId="536473E3" w14:textId="77777777" w:rsidR="002538EB" w:rsidRPr="00A13BAE" w:rsidRDefault="002538EB" w:rsidP="001551AE">
            <w:pPr>
              <w:rPr>
                <w:rFonts w:eastAsia="Times New Roman"/>
                <w:color w:val="000000"/>
              </w:rPr>
            </w:pPr>
            <w:r w:rsidRPr="00A13BAE">
              <w:t>8. I have a hard time getting rid of things even when I know I should.</w:t>
            </w:r>
          </w:p>
        </w:tc>
        <w:tc>
          <w:tcPr>
            <w:tcW w:w="887" w:type="dxa"/>
            <w:tcBorders>
              <w:top w:val="nil"/>
              <w:left w:val="nil"/>
              <w:bottom w:val="nil"/>
              <w:right w:val="nil"/>
            </w:tcBorders>
            <w:shd w:val="clear" w:color="auto" w:fill="auto"/>
            <w:noWrap/>
            <w:vAlign w:val="bottom"/>
            <w:hideMark/>
          </w:tcPr>
          <w:p w14:paraId="4FBEA813" w14:textId="77777777" w:rsidR="002538EB" w:rsidRPr="009C53EE" w:rsidRDefault="002538EB" w:rsidP="001551AE">
            <w:pPr>
              <w:rPr>
                <w:rFonts w:eastAsia="Times New Roman"/>
                <w:b/>
                <w:color w:val="000000"/>
              </w:rPr>
            </w:pPr>
            <w:r w:rsidRPr="009C53EE">
              <w:rPr>
                <w:rFonts w:eastAsia="Times New Roman"/>
                <w:b/>
                <w:color w:val="000000"/>
              </w:rPr>
              <w:t xml:space="preserve">0.645*        </w:t>
            </w:r>
          </w:p>
        </w:tc>
        <w:tc>
          <w:tcPr>
            <w:tcW w:w="1003" w:type="dxa"/>
            <w:tcBorders>
              <w:top w:val="nil"/>
              <w:left w:val="nil"/>
              <w:bottom w:val="nil"/>
              <w:right w:val="nil"/>
            </w:tcBorders>
            <w:shd w:val="clear" w:color="auto" w:fill="auto"/>
            <w:noWrap/>
            <w:vAlign w:val="bottom"/>
            <w:hideMark/>
          </w:tcPr>
          <w:p w14:paraId="6042CE39" w14:textId="77777777" w:rsidR="002538EB" w:rsidRPr="00A13BAE" w:rsidRDefault="002538EB" w:rsidP="001551AE">
            <w:pPr>
              <w:rPr>
                <w:rFonts w:eastAsia="Times New Roman"/>
                <w:color w:val="000000"/>
              </w:rPr>
            </w:pPr>
            <w:r w:rsidRPr="00175FA0">
              <w:rPr>
                <w:rFonts w:eastAsia="Times New Roman"/>
                <w:color w:val="000000"/>
              </w:rPr>
              <w:t>0.142</w:t>
            </w:r>
          </w:p>
        </w:tc>
      </w:tr>
      <w:tr w:rsidR="002538EB" w:rsidRPr="00A13BAE" w14:paraId="1D8CBC79" w14:textId="77777777" w:rsidTr="001551AE">
        <w:trPr>
          <w:trHeight w:val="320"/>
        </w:trPr>
        <w:tc>
          <w:tcPr>
            <w:tcW w:w="8190" w:type="dxa"/>
            <w:tcBorders>
              <w:top w:val="nil"/>
              <w:left w:val="nil"/>
              <w:bottom w:val="nil"/>
              <w:right w:val="nil"/>
            </w:tcBorders>
            <w:shd w:val="clear" w:color="auto" w:fill="auto"/>
            <w:noWrap/>
            <w:hideMark/>
          </w:tcPr>
          <w:p w14:paraId="375CFDA0" w14:textId="77777777" w:rsidR="002538EB" w:rsidRPr="00A13BAE" w:rsidRDefault="002538EB" w:rsidP="001551AE">
            <w:r w:rsidRPr="00A13BAE">
              <w:t>14. My thoughts or feelings make it hard for me to get rid of my things.</w:t>
            </w:r>
          </w:p>
        </w:tc>
        <w:tc>
          <w:tcPr>
            <w:tcW w:w="887" w:type="dxa"/>
            <w:tcBorders>
              <w:top w:val="nil"/>
              <w:left w:val="nil"/>
              <w:bottom w:val="nil"/>
              <w:right w:val="nil"/>
            </w:tcBorders>
            <w:shd w:val="clear" w:color="auto" w:fill="auto"/>
            <w:noWrap/>
            <w:vAlign w:val="bottom"/>
            <w:hideMark/>
          </w:tcPr>
          <w:p w14:paraId="057AC61C" w14:textId="77777777" w:rsidR="002538EB" w:rsidRPr="009C53EE" w:rsidRDefault="002538EB" w:rsidP="001551AE">
            <w:pPr>
              <w:rPr>
                <w:rFonts w:eastAsia="Times New Roman"/>
                <w:b/>
                <w:color w:val="000000"/>
              </w:rPr>
            </w:pPr>
            <w:r w:rsidRPr="009C53EE">
              <w:rPr>
                <w:rFonts w:eastAsia="Times New Roman"/>
                <w:b/>
                <w:color w:val="000000"/>
              </w:rPr>
              <w:t xml:space="preserve">0.714*        </w:t>
            </w:r>
          </w:p>
        </w:tc>
        <w:tc>
          <w:tcPr>
            <w:tcW w:w="1003" w:type="dxa"/>
            <w:tcBorders>
              <w:top w:val="nil"/>
              <w:left w:val="nil"/>
              <w:bottom w:val="nil"/>
              <w:right w:val="nil"/>
            </w:tcBorders>
            <w:shd w:val="clear" w:color="auto" w:fill="auto"/>
            <w:noWrap/>
            <w:vAlign w:val="bottom"/>
            <w:hideMark/>
          </w:tcPr>
          <w:p w14:paraId="520ED1A0" w14:textId="77777777" w:rsidR="002538EB" w:rsidRPr="00A13BAE" w:rsidRDefault="002538EB" w:rsidP="001551AE">
            <w:pPr>
              <w:rPr>
                <w:rFonts w:eastAsia="Times New Roman"/>
                <w:color w:val="000000"/>
              </w:rPr>
            </w:pPr>
            <w:r w:rsidRPr="00175FA0">
              <w:rPr>
                <w:rFonts w:eastAsia="Times New Roman"/>
                <w:color w:val="000000"/>
              </w:rPr>
              <w:t>0.169</w:t>
            </w:r>
          </w:p>
        </w:tc>
      </w:tr>
      <w:tr w:rsidR="002538EB" w:rsidRPr="00A13BAE" w14:paraId="168EBF37" w14:textId="77777777" w:rsidTr="001551AE">
        <w:trPr>
          <w:trHeight w:val="320"/>
        </w:trPr>
        <w:tc>
          <w:tcPr>
            <w:tcW w:w="8190" w:type="dxa"/>
            <w:tcBorders>
              <w:top w:val="nil"/>
              <w:left w:val="nil"/>
              <w:bottom w:val="nil"/>
              <w:right w:val="nil"/>
            </w:tcBorders>
            <w:shd w:val="clear" w:color="auto" w:fill="auto"/>
            <w:noWrap/>
            <w:vAlign w:val="bottom"/>
            <w:hideMark/>
          </w:tcPr>
          <w:p w14:paraId="3B271D2A" w14:textId="77777777" w:rsidR="002538EB" w:rsidRPr="00A13BAE" w:rsidRDefault="002538EB" w:rsidP="001551AE">
            <w:pPr>
              <w:rPr>
                <w:rFonts w:eastAsia="Times New Roman"/>
                <w:color w:val="000000"/>
              </w:rPr>
            </w:pPr>
            <w:r w:rsidRPr="00A13BAE">
              <w:rPr>
                <w:rFonts w:eastAsia="Times New Roman"/>
                <w:color w:val="000000"/>
              </w:rPr>
              <w:t xml:space="preserve">27. </w:t>
            </w:r>
            <w:r w:rsidRPr="00A13BAE">
              <w:t>I struggle to get rid of items that feel important to me.</w:t>
            </w:r>
          </w:p>
        </w:tc>
        <w:tc>
          <w:tcPr>
            <w:tcW w:w="887" w:type="dxa"/>
            <w:tcBorders>
              <w:top w:val="nil"/>
              <w:left w:val="nil"/>
              <w:bottom w:val="nil"/>
              <w:right w:val="nil"/>
            </w:tcBorders>
            <w:shd w:val="clear" w:color="auto" w:fill="auto"/>
            <w:noWrap/>
            <w:vAlign w:val="bottom"/>
            <w:hideMark/>
          </w:tcPr>
          <w:p w14:paraId="6696985E" w14:textId="77777777" w:rsidR="002538EB" w:rsidRPr="009C53EE" w:rsidRDefault="002538EB" w:rsidP="001551AE">
            <w:pPr>
              <w:rPr>
                <w:rFonts w:eastAsia="Times New Roman"/>
                <w:b/>
                <w:color w:val="000000"/>
              </w:rPr>
            </w:pPr>
            <w:r w:rsidRPr="009C53EE">
              <w:rPr>
                <w:rFonts w:eastAsia="Times New Roman"/>
                <w:b/>
                <w:color w:val="000000"/>
              </w:rPr>
              <w:t xml:space="preserve">0.813*       </w:t>
            </w:r>
          </w:p>
        </w:tc>
        <w:tc>
          <w:tcPr>
            <w:tcW w:w="1003" w:type="dxa"/>
            <w:tcBorders>
              <w:top w:val="nil"/>
              <w:left w:val="nil"/>
              <w:bottom w:val="nil"/>
              <w:right w:val="nil"/>
            </w:tcBorders>
            <w:shd w:val="clear" w:color="auto" w:fill="auto"/>
            <w:noWrap/>
            <w:vAlign w:val="bottom"/>
            <w:hideMark/>
          </w:tcPr>
          <w:p w14:paraId="3A602C42" w14:textId="77777777" w:rsidR="002538EB" w:rsidRPr="00A13BAE" w:rsidRDefault="002538EB" w:rsidP="001551AE">
            <w:pPr>
              <w:rPr>
                <w:rFonts w:eastAsia="Times New Roman"/>
                <w:color w:val="000000"/>
              </w:rPr>
            </w:pPr>
            <w:r w:rsidRPr="00175FA0">
              <w:rPr>
                <w:rFonts w:eastAsia="Times New Roman"/>
                <w:color w:val="000000"/>
              </w:rPr>
              <w:t>-0.103</w:t>
            </w:r>
          </w:p>
        </w:tc>
      </w:tr>
      <w:tr w:rsidR="002538EB" w:rsidRPr="00A13BAE" w14:paraId="0F7C8BC5" w14:textId="77777777" w:rsidTr="001551AE">
        <w:trPr>
          <w:trHeight w:val="320"/>
        </w:trPr>
        <w:tc>
          <w:tcPr>
            <w:tcW w:w="8190" w:type="dxa"/>
            <w:tcBorders>
              <w:top w:val="nil"/>
              <w:left w:val="nil"/>
              <w:bottom w:val="nil"/>
              <w:right w:val="nil"/>
            </w:tcBorders>
            <w:shd w:val="clear" w:color="auto" w:fill="auto"/>
            <w:noWrap/>
            <w:vAlign w:val="bottom"/>
            <w:hideMark/>
          </w:tcPr>
          <w:p w14:paraId="7D4A4F48" w14:textId="77777777" w:rsidR="002538EB" w:rsidRPr="00A13BAE" w:rsidRDefault="002538EB" w:rsidP="001551AE">
            <w:pPr>
              <w:rPr>
                <w:rFonts w:eastAsia="Times New Roman"/>
                <w:color w:val="000000"/>
              </w:rPr>
            </w:pPr>
            <w:r w:rsidRPr="00A13BAE">
              <w:rPr>
                <w:rFonts w:eastAsia="Times New Roman"/>
                <w:color w:val="000000"/>
              </w:rPr>
              <w:t xml:space="preserve">28. </w:t>
            </w:r>
            <w:r w:rsidRPr="00A13BAE">
              <w:t>If I am worried I might need something in the future, I keep it.</w:t>
            </w:r>
          </w:p>
        </w:tc>
        <w:tc>
          <w:tcPr>
            <w:tcW w:w="887" w:type="dxa"/>
            <w:tcBorders>
              <w:top w:val="nil"/>
              <w:left w:val="nil"/>
              <w:bottom w:val="nil"/>
              <w:right w:val="nil"/>
            </w:tcBorders>
            <w:shd w:val="clear" w:color="auto" w:fill="auto"/>
            <w:noWrap/>
            <w:vAlign w:val="bottom"/>
            <w:hideMark/>
          </w:tcPr>
          <w:p w14:paraId="26D0871A" w14:textId="77777777" w:rsidR="002538EB" w:rsidRPr="009C53EE" w:rsidRDefault="002538EB" w:rsidP="001551AE">
            <w:pPr>
              <w:rPr>
                <w:rFonts w:eastAsia="Times New Roman"/>
                <w:b/>
                <w:color w:val="000000"/>
              </w:rPr>
            </w:pPr>
            <w:r w:rsidRPr="009C53EE">
              <w:rPr>
                <w:rFonts w:eastAsia="Times New Roman"/>
                <w:b/>
                <w:color w:val="000000"/>
              </w:rPr>
              <w:t xml:space="preserve">0.767*       </w:t>
            </w:r>
          </w:p>
        </w:tc>
        <w:tc>
          <w:tcPr>
            <w:tcW w:w="1003" w:type="dxa"/>
            <w:tcBorders>
              <w:top w:val="nil"/>
              <w:left w:val="nil"/>
              <w:bottom w:val="nil"/>
              <w:right w:val="nil"/>
            </w:tcBorders>
            <w:shd w:val="clear" w:color="auto" w:fill="auto"/>
            <w:noWrap/>
            <w:vAlign w:val="bottom"/>
            <w:hideMark/>
          </w:tcPr>
          <w:p w14:paraId="28DBB35C" w14:textId="77777777" w:rsidR="002538EB" w:rsidRPr="00A13BAE" w:rsidRDefault="002538EB" w:rsidP="001551AE">
            <w:pPr>
              <w:rPr>
                <w:rFonts w:eastAsia="Times New Roman"/>
                <w:color w:val="000000"/>
              </w:rPr>
            </w:pPr>
            <w:r w:rsidRPr="00175FA0">
              <w:rPr>
                <w:rFonts w:eastAsia="Times New Roman"/>
                <w:color w:val="000000"/>
              </w:rPr>
              <w:t>-0.104</w:t>
            </w:r>
          </w:p>
        </w:tc>
      </w:tr>
      <w:tr w:rsidR="002538EB" w:rsidRPr="00A13BAE" w14:paraId="15C5DD38" w14:textId="77777777" w:rsidTr="001551AE">
        <w:trPr>
          <w:trHeight w:val="320"/>
        </w:trPr>
        <w:tc>
          <w:tcPr>
            <w:tcW w:w="8190" w:type="dxa"/>
            <w:tcBorders>
              <w:top w:val="nil"/>
              <w:left w:val="nil"/>
              <w:bottom w:val="nil"/>
              <w:right w:val="nil"/>
            </w:tcBorders>
            <w:shd w:val="clear" w:color="auto" w:fill="auto"/>
            <w:noWrap/>
            <w:vAlign w:val="bottom"/>
            <w:hideMark/>
          </w:tcPr>
          <w:p w14:paraId="380AB2A6" w14:textId="77777777" w:rsidR="002538EB" w:rsidRPr="00A13BAE" w:rsidRDefault="002538EB" w:rsidP="001551AE">
            <w:pPr>
              <w:rPr>
                <w:rFonts w:eastAsia="Times New Roman"/>
                <w:color w:val="000000"/>
              </w:rPr>
            </w:pPr>
            <w:r w:rsidRPr="00A13BAE">
              <w:rPr>
                <w:rFonts w:eastAsia="Times New Roman"/>
                <w:color w:val="000000"/>
              </w:rPr>
              <w:t xml:space="preserve">31. </w:t>
            </w:r>
            <w:r w:rsidRPr="00A13BAE">
              <w:t>I keep my things because I am attached to them.</w:t>
            </w:r>
          </w:p>
        </w:tc>
        <w:tc>
          <w:tcPr>
            <w:tcW w:w="887" w:type="dxa"/>
            <w:tcBorders>
              <w:top w:val="nil"/>
              <w:left w:val="nil"/>
              <w:bottom w:val="nil"/>
              <w:right w:val="nil"/>
            </w:tcBorders>
            <w:shd w:val="clear" w:color="auto" w:fill="auto"/>
            <w:noWrap/>
            <w:vAlign w:val="bottom"/>
            <w:hideMark/>
          </w:tcPr>
          <w:p w14:paraId="0D7458FC" w14:textId="77777777" w:rsidR="002538EB" w:rsidRPr="009C53EE" w:rsidRDefault="002538EB" w:rsidP="001551AE">
            <w:pPr>
              <w:rPr>
                <w:rFonts w:eastAsia="Times New Roman"/>
                <w:b/>
                <w:color w:val="000000"/>
              </w:rPr>
            </w:pPr>
            <w:r w:rsidRPr="009C53EE">
              <w:rPr>
                <w:rFonts w:eastAsia="Times New Roman"/>
                <w:b/>
                <w:color w:val="000000"/>
              </w:rPr>
              <w:t xml:space="preserve">0.765*       </w:t>
            </w:r>
          </w:p>
        </w:tc>
        <w:tc>
          <w:tcPr>
            <w:tcW w:w="1003" w:type="dxa"/>
            <w:tcBorders>
              <w:top w:val="nil"/>
              <w:left w:val="nil"/>
              <w:bottom w:val="nil"/>
              <w:right w:val="nil"/>
            </w:tcBorders>
            <w:shd w:val="clear" w:color="auto" w:fill="auto"/>
            <w:noWrap/>
            <w:vAlign w:val="bottom"/>
            <w:hideMark/>
          </w:tcPr>
          <w:p w14:paraId="43866462" w14:textId="77777777" w:rsidR="002538EB" w:rsidRPr="00A13BAE" w:rsidRDefault="002538EB" w:rsidP="001551AE">
            <w:pPr>
              <w:rPr>
                <w:rFonts w:eastAsia="Times New Roman"/>
                <w:color w:val="000000"/>
              </w:rPr>
            </w:pPr>
            <w:r w:rsidRPr="00175FA0">
              <w:rPr>
                <w:rFonts w:eastAsia="Times New Roman"/>
                <w:color w:val="000000"/>
              </w:rPr>
              <w:t>-0.040</w:t>
            </w:r>
          </w:p>
        </w:tc>
      </w:tr>
      <w:tr w:rsidR="002538EB" w:rsidRPr="00A13BAE" w14:paraId="6DB408D8" w14:textId="77777777" w:rsidTr="001551AE">
        <w:trPr>
          <w:trHeight w:val="320"/>
        </w:trPr>
        <w:tc>
          <w:tcPr>
            <w:tcW w:w="8190" w:type="dxa"/>
            <w:tcBorders>
              <w:top w:val="nil"/>
              <w:left w:val="nil"/>
              <w:bottom w:val="nil"/>
              <w:right w:val="nil"/>
            </w:tcBorders>
            <w:shd w:val="clear" w:color="auto" w:fill="auto"/>
            <w:noWrap/>
            <w:vAlign w:val="bottom"/>
          </w:tcPr>
          <w:p w14:paraId="62C46A1C" w14:textId="77777777" w:rsidR="002538EB" w:rsidRPr="00A13BAE" w:rsidRDefault="002538EB" w:rsidP="001551AE">
            <w:pPr>
              <w:rPr>
                <w:rFonts w:eastAsia="Times New Roman"/>
                <w:color w:val="000000"/>
              </w:rPr>
            </w:pPr>
            <w:r w:rsidRPr="00A13BAE">
              <w:rPr>
                <w:rFonts w:eastAsia="Times New Roman"/>
                <w:color w:val="000000"/>
              </w:rPr>
              <w:t>Factor 2:</w:t>
            </w:r>
            <w:r>
              <w:rPr>
                <w:rFonts w:eastAsia="Times New Roman"/>
                <w:color w:val="000000"/>
              </w:rPr>
              <w:t xml:space="preserve"> </w:t>
            </w:r>
          </w:p>
        </w:tc>
        <w:tc>
          <w:tcPr>
            <w:tcW w:w="887" w:type="dxa"/>
            <w:tcBorders>
              <w:top w:val="nil"/>
              <w:left w:val="nil"/>
              <w:bottom w:val="nil"/>
              <w:right w:val="nil"/>
            </w:tcBorders>
            <w:shd w:val="clear" w:color="auto" w:fill="auto"/>
            <w:noWrap/>
            <w:vAlign w:val="bottom"/>
          </w:tcPr>
          <w:p w14:paraId="242799ED" w14:textId="77777777" w:rsidR="002538EB" w:rsidRPr="00A13BAE" w:rsidRDefault="002538EB" w:rsidP="001551AE">
            <w:pPr>
              <w:rPr>
                <w:rFonts w:eastAsia="Times New Roman"/>
                <w:color w:val="000000"/>
              </w:rPr>
            </w:pPr>
          </w:p>
        </w:tc>
        <w:tc>
          <w:tcPr>
            <w:tcW w:w="1003" w:type="dxa"/>
            <w:tcBorders>
              <w:top w:val="nil"/>
              <w:left w:val="nil"/>
              <w:bottom w:val="nil"/>
              <w:right w:val="nil"/>
            </w:tcBorders>
            <w:shd w:val="clear" w:color="auto" w:fill="auto"/>
            <w:noWrap/>
            <w:vAlign w:val="bottom"/>
          </w:tcPr>
          <w:p w14:paraId="1E48E634" w14:textId="77777777" w:rsidR="002538EB" w:rsidRPr="00A13BAE" w:rsidRDefault="002538EB" w:rsidP="001551AE">
            <w:pPr>
              <w:rPr>
                <w:rFonts w:eastAsia="Times New Roman"/>
                <w:color w:val="000000"/>
              </w:rPr>
            </w:pPr>
          </w:p>
        </w:tc>
      </w:tr>
      <w:tr w:rsidR="002538EB" w:rsidRPr="00A13BAE" w14:paraId="62CB18FC" w14:textId="77777777" w:rsidTr="001551AE">
        <w:trPr>
          <w:trHeight w:val="320"/>
        </w:trPr>
        <w:tc>
          <w:tcPr>
            <w:tcW w:w="8190" w:type="dxa"/>
            <w:tcBorders>
              <w:top w:val="nil"/>
              <w:left w:val="nil"/>
              <w:bottom w:val="nil"/>
              <w:right w:val="nil"/>
            </w:tcBorders>
            <w:shd w:val="clear" w:color="auto" w:fill="auto"/>
            <w:noWrap/>
            <w:vAlign w:val="center"/>
            <w:hideMark/>
          </w:tcPr>
          <w:p w14:paraId="2EC429E6" w14:textId="77777777" w:rsidR="002538EB" w:rsidRPr="00A13BAE" w:rsidRDefault="002538EB" w:rsidP="001551AE">
            <w:r w:rsidRPr="00A13BAE">
              <w:t>3. I get lost in my thoughts about buying or finding something I really want.</w:t>
            </w:r>
          </w:p>
        </w:tc>
        <w:tc>
          <w:tcPr>
            <w:tcW w:w="887" w:type="dxa"/>
            <w:tcBorders>
              <w:top w:val="nil"/>
              <w:left w:val="nil"/>
              <w:bottom w:val="nil"/>
              <w:right w:val="nil"/>
            </w:tcBorders>
            <w:shd w:val="clear" w:color="auto" w:fill="auto"/>
            <w:noWrap/>
            <w:vAlign w:val="bottom"/>
            <w:hideMark/>
          </w:tcPr>
          <w:p w14:paraId="368837E5" w14:textId="77777777" w:rsidR="002538EB" w:rsidRPr="00A13BAE" w:rsidRDefault="002538EB" w:rsidP="001551AE">
            <w:pPr>
              <w:rPr>
                <w:rFonts w:eastAsia="Times New Roman"/>
                <w:color w:val="000000"/>
              </w:rPr>
            </w:pPr>
            <w:r w:rsidRPr="00175FA0">
              <w:rPr>
                <w:rFonts w:eastAsia="Times New Roman"/>
                <w:color w:val="000000"/>
              </w:rPr>
              <w:t xml:space="preserve">0.005         </w:t>
            </w:r>
          </w:p>
        </w:tc>
        <w:tc>
          <w:tcPr>
            <w:tcW w:w="1003" w:type="dxa"/>
            <w:tcBorders>
              <w:top w:val="nil"/>
              <w:left w:val="nil"/>
              <w:bottom w:val="nil"/>
              <w:right w:val="nil"/>
            </w:tcBorders>
            <w:shd w:val="clear" w:color="auto" w:fill="auto"/>
            <w:noWrap/>
            <w:vAlign w:val="bottom"/>
            <w:hideMark/>
          </w:tcPr>
          <w:p w14:paraId="22D50FC7" w14:textId="77777777" w:rsidR="002538EB" w:rsidRPr="009C53EE" w:rsidRDefault="002538EB" w:rsidP="001551AE">
            <w:pPr>
              <w:rPr>
                <w:rFonts w:eastAsia="Times New Roman"/>
                <w:b/>
                <w:color w:val="000000"/>
              </w:rPr>
            </w:pPr>
            <w:r w:rsidRPr="009C53EE">
              <w:rPr>
                <w:rFonts w:eastAsia="Times New Roman"/>
                <w:b/>
                <w:color w:val="000000"/>
              </w:rPr>
              <w:t>0.552*</w:t>
            </w:r>
          </w:p>
        </w:tc>
      </w:tr>
      <w:tr w:rsidR="002538EB" w:rsidRPr="00A13BAE" w14:paraId="076A6B5A" w14:textId="77777777" w:rsidTr="001551AE">
        <w:trPr>
          <w:trHeight w:val="320"/>
        </w:trPr>
        <w:tc>
          <w:tcPr>
            <w:tcW w:w="8190" w:type="dxa"/>
            <w:tcBorders>
              <w:top w:val="nil"/>
              <w:left w:val="nil"/>
              <w:bottom w:val="nil"/>
              <w:right w:val="nil"/>
            </w:tcBorders>
            <w:shd w:val="clear" w:color="auto" w:fill="auto"/>
            <w:noWrap/>
            <w:hideMark/>
          </w:tcPr>
          <w:p w14:paraId="248A77A1" w14:textId="77777777" w:rsidR="002538EB" w:rsidRPr="00A13BAE" w:rsidRDefault="002538EB" w:rsidP="001551AE">
            <w:r w:rsidRPr="00A13BAE">
              <w:t>4. My thoughts or feelings about my things control my actions.</w:t>
            </w:r>
          </w:p>
        </w:tc>
        <w:tc>
          <w:tcPr>
            <w:tcW w:w="887" w:type="dxa"/>
            <w:tcBorders>
              <w:top w:val="nil"/>
              <w:left w:val="nil"/>
              <w:bottom w:val="nil"/>
              <w:right w:val="nil"/>
            </w:tcBorders>
            <w:shd w:val="clear" w:color="auto" w:fill="auto"/>
            <w:noWrap/>
            <w:vAlign w:val="bottom"/>
            <w:hideMark/>
          </w:tcPr>
          <w:p w14:paraId="6F1C2D88" w14:textId="77777777" w:rsidR="002538EB" w:rsidRPr="00A13BAE" w:rsidRDefault="002538EB" w:rsidP="001551AE">
            <w:pPr>
              <w:rPr>
                <w:rFonts w:eastAsia="Times New Roman"/>
                <w:color w:val="000000"/>
              </w:rPr>
            </w:pPr>
            <w:r w:rsidRPr="00175FA0">
              <w:rPr>
                <w:rFonts w:eastAsia="Times New Roman"/>
                <w:color w:val="000000"/>
              </w:rPr>
              <w:t xml:space="preserve">0.098         </w:t>
            </w:r>
          </w:p>
        </w:tc>
        <w:tc>
          <w:tcPr>
            <w:tcW w:w="1003" w:type="dxa"/>
            <w:tcBorders>
              <w:top w:val="nil"/>
              <w:left w:val="nil"/>
              <w:bottom w:val="nil"/>
              <w:right w:val="nil"/>
            </w:tcBorders>
            <w:shd w:val="clear" w:color="auto" w:fill="auto"/>
            <w:noWrap/>
            <w:vAlign w:val="bottom"/>
            <w:hideMark/>
          </w:tcPr>
          <w:p w14:paraId="270BB6A4" w14:textId="77777777" w:rsidR="002538EB" w:rsidRPr="009C53EE" w:rsidRDefault="002538EB" w:rsidP="001551AE">
            <w:pPr>
              <w:rPr>
                <w:rFonts w:eastAsia="Times New Roman"/>
                <w:b/>
                <w:color w:val="000000"/>
              </w:rPr>
            </w:pPr>
            <w:r w:rsidRPr="009C53EE">
              <w:rPr>
                <w:rFonts w:eastAsia="Times New Roman"/>
                <w:b/>
                <w:color w:val="000000"/>
              </w:rPr>
              <w:t>0.638*</w:t>
            </w:r>
          </w:p>
        </w:tc>
      </w:tr>
      <w:tr w:rsidR="002538EB" w:rsidRPr="00A13BAE" w14:paraId="22601C20" w14:textId="77777777" w:rsidTr="001551AE">
        <w:trPr>
          <w:trHeight w:val="320"/>
        </w:trPr>
        <w:tc>
          <w:tcPr>
            <w:tcW w:w="8190" w:type="dxa"/>
            <w:tcBorders>
              <w:top w:val="nil"/>
              <w:left w:val="nil"/>
              <w:bottom w:val="nil"/>
              <w:right w:val="nil"/>
            </w:tcBorders>
            <w:shd w:val="clear" w:color="auto" w:fill="auto"/>
            <w:noWrap/>
            <w:hideMark/>
          </w:tcPr>
          <w:p w14:paraId="18A510E6" w14:textId="77777777" w:rsidR="002538EB" w:rsidRPr="00A13BAE" w:rsidRDefault="002538EB" w:rsidP="001551AE">
            <w:r w:rsidRPr="00A13BAE">
              <w:t>6. My things are a central part of who I am.</w:t>
            </w:r>
          </w:p>
        </w:tc>
        <w:tc>
          <w:tcPr>
            <w:tcW w:w="887" w:type="dxa"/>
            <w:tcBorders>
              <w:top w:val="nil"/>
              <w:left w:val="nil"/>
              <w:bottom w:val="nil"/>
              <w:right w:val="nil"/>
            </w:tcBorders>
            <w:shd w:val="clear" w:color="auto" w:fill="auto"/>
            <w:noWrap/>
            <w:vAlign w:val="bottom"/>
            <w:hideMark/>
          </w:tcPr>
          <w:p w14:paraId="0F85F9AF" w14:textId="77777777" w:rsidR="002538EB" w:rsidRPr="00A13BAE" w:rsidRDefault="002538EB" w:rsidP="001551AE">
            <w:pPr>
              <w:rPr>
                <w:rFonts w:eastAsia="Times New Roman"/>
                <w:color w:val="000000"/>
              </w:rPr>
            </w:pPr>
            <w:r w:rsidRPr="00175FA0">
              <w:rPr>
                <w:rFonts w:eastAsia="Times New Roman"/>
                <w:color w:val="000000"/>
              </w:rPr>
              <w:t xml:space="preserve">0.140         </w:t>
            </w:r>
          </w:p>
        </w:tc>
        <w:tc>
          <w:tcPr>
            <w:tcW w:w="1003" w:type="dxa"/>
            <w:tcBorders>
              <w:top w:val="nil"/>
              <w:left w:val="nil"/>
              <w:bottom w:val="nil"/>
              <w:right w:val="nil"/>
            </w:tcBorders>
            <w:shd w:val="clear" w:color="auto" w:fill="auto"/>
            <w:noWrap/>
            <w:vAlign w:val="bottom"/>
            <w:hideMark/>
          </w:tcPr>
          <w:p w14:paraId="21C875E8" w14:textId="77777777" w:rsidR="002538EB" w:rsidRPr="009C53EE" w:rsidRDefault="002538EB" w:rsidP="001551AE">
            <w:pPr>
              <w:rPr>
                <w:rFonts w:eastAsia="Times New Roman"/>
                <w:b/>
                <w:color w:val="000000"/>
              </w:rPr>
            </w:pPr>
            <w:r w:rsidRPr="009C53EE">
              <w:rPr>
                <w:rFonts w:eastAsia="Times New Roman"/>
                <w:b/>
                <w:color w:val="000000"/>
              </w:rPr>
              <w:t>0.515*</w:t>
            </w:r>
          </w:p>
        </w:tc>
      </w:tr>
      <w:tr w:rsidR="002538EB" w:rsidRPr="00A13BAE" w14:paraId="2F91893F" w14:textId="77777777" w:rsidTr="001551AE">
        <w:trPr>
          <w:trHeight w:val="320"/>
        </w:trPr>
        <w:tc>
          <w:tcPr>
            <w:tcW w:w="8190" w:type="dxa"/>
            <w:tcBorders>
              <w:top w:val="nil"/>
              <w:left w:val="nil"/>
              <w:bottom w:val="nil"/>
              <w:right w:val="nil"/>
            </w:tcBorders>
            <w:shd w:val="clear" w:color="auto" w:fill="auto"/>
            <w:noWrap/>
            <w:hideMark/>
          </w:tcPr>
          <w:p w14:paraId="5C23BF1B" w14:textId="77777777" w:rsidR="002538EB" w:rsidRPr="00A13BAE" w:rsidRDefault="002538EB" w:rsidP="001551AE">
            <w:r w:rsidRPr="00A13BAE">
              <w:t>7. I need to get rid of my urges to acquire new things.</w:t>
            </w:r>
          </w:p>
        </w:tc>
        <w:tc>
          <w:tcPr>
            <w:tcW w:w="887" w:type="dxa"/>
            <w:tcBorders>
              <w:top w:val="nil"/>
              <w:left w:val="nil"/>
              <w:bottom w:val="nil"/>
              <w:right w:val="nil"/>
            </w:tcBorders>
            <w:shd w:val="clear" w:color="auto" w:fill="auto"/>
            <w:noWrap/>
            <w:vAlign w:val="bottom"/>
            <w:hideMark/>
          </w:tcPr>
          <w:p w14:paraId="62675396" w14:textId="77777777" w:rsidR="002538EB" w:rsidRPr="00A13BAE" w:rsidRDefault="002538EB" w:rsidP="001551AE">
            <w:pPr>
              <w:rPr>
                <w:rFonts w:eastAsia="Times New Roman"/>
                <w:color w:val="000000"/>
              </w:rPr>
            </w:pPr>
            <w:r w:rsidRPr="00175FA0">
              <w:rPr>
                <w:rFonts w:eastAsia="Times New Roman"/>
                <w:color w:val="000000"/>
              </w:rPr>
              <w:t xml:space="preserve">0.106         </w:t>
            </w:r>
          </w:p>
        </w:tc>
        <w:tc>
          <w:tcPr>
            <w:tcW w:w="1003" w:type="dxa"/>
            <w:tcBorders>
              <w:top w:val="nil"/>
              <w:left w:val="nil"/>
              <w:bottom w:val="nil"/>
              <w:right w:val="nil"/>
            </w:tcBorders>
            <w:shd w:val="clear" w:color="auto" w:fill="auto"/>
            <w:noWrap/>
            <w:vAlign w:val="bottom"/>
            <w:hideMark/>
          </w:tcPr>
          <w:p w14:paraId="30FE8719" w14:textId="77777777" w:rsidR="002538EB" w:rsidRPr="009C53EE" w:rsidRDefault="002538EB" w:rsidP="001551AE">
            <w:pPr>
              <w:rPr>
                <w:rFonts w:eastAsia="Times New Roman"/>
                <w:b/>
                <w:color w:val="000000"/>
              </w:rPr>
            </w:pPr>
            <w:r w:rsidRPr="009C53EE">
              <w:rPr>
                <w:rFonts w:eastAsia="Times New Roman"/>
                <w:b/>
                <w:color w:val="000000"/>
              </w:rPr>
              <w:t>0.529*</w:t>
            </w:r>
          </w:p>
        </w:tc>
      </w:tr>
      <w:tr w:rsidR="002538EB" w:rsidRPr="00A13BAE" w14:paraId="6B0676E0" w14:textId="77777777" w:rsidTr="001551AE">
        <w:trPr>
          <w:trHeight w:val="320"/>
        </w:trPr>
        <w:tc>
          <w:tcPr>
            <w:tcW w:w="8190" w:type="dxa"/>
            <w:tcBorders>
              <w:top w:val="nil"/>
              <w:left w:val="nil"/>
              <w:bottom w:val="nil"/>
              <w:right w:val="nil"/>
            </w:tcBorders>
            <w:shd w:val="clear" w:color="auto" w:fill="auto"/>
            <w:noWrap/>
            <w:vAlign w:val="bottom"/>
            <w:hideMark/>
          </w:tcPr>
          <w:p w14:paraId="7D4B1471" w14:textId="77777777" w:rsidR="002538EB" w:rsidRPr="00A13BAE" w:rsidRDefault="002538EB" w:rsidP="001551AE">
            <w:pPr>
              <w:rPr>
                <w:rFonts w:eastAsia="Times New Roman"/>
                <w:color w:val="000000"/>
              </w:rPr>
            </w:pPr>
            <w:r w:rsidRPr="00A13BAE">
              <w:t>10. I am always thinking about my things.</w:t>
            </w:r>
          </w:p>
        </w:tc>
        <w:tc>
          <w:tcPr>
            <w:tcW w:w="887" w:type="dxa"/>
            <w:tcBorders>
              <w:top w:val="nil"/>
              <w:left w:val="nil"/>
              <w:bottom w:val="nil"/>
              <w:right w:val="nil"/>
            </w:tcBorders>
            <w:shd w:val="clear" w:color="auto" w:fill="auto"/>
            <w:noWrap/>
            <w:vAlign w:val="bottom"/>
            <w:hideMark/>
          </w:tcPr>
          <w:p w14:paraId="445C3C18" w14:textId="77777777" w:rsidR="002538EB" w:rsidRPr="00A13BAE" w:rsidRDefault="002538EB" w:rsidP="001551AE">
            <w:pPr>
              <w:rPr>
                <w:rFonts w:eastAsia="Times New Roman"/>
                <w:color w:val="000000"/>
              </w:rPr>
            </w:pPr>
            <w:r w:rsidRPr="00175FA0">
              <w:rPr>
                <w:rFonts w:eastAsia="Times New Roman"/>
                <w:color w:val="000000"/>
              </w:rPr>
              <w:t xml:space="preserve">-0.051         </w:t>
            </w:r>
          </w:p>
        </w:tc>
        <w:tc>
          <w:tcPr>
            <w:tcW w:w="1003" w:type="dxa"/>
            <w:tcBorders>
              <w:top w:val="nil"/>
              <w:left w:val="nil"/>
              <w:bottom w:val="nil"/>
              <w:right w:val="nil"/>
            </w:tcBorders>
            <w:shd w:val="clear" w:color="auto" w:fill="auto"/>
            <w:noWrap/>
            <w:vAlign w:val="bottom"/>
            <w:hideMark/>
          </w:tcPr>
          <w:p w14:paraId="217A471A" w14:textId="77777777" w:rsidR="002538EB" w:rsidRPr="009C53EE" w:rsidRDefault="002538EB" w:rsidP="001551AE">
            <w:pPr>
              <w:rPr>
                <w:rFonts w:eastAsia="Times New Roman"/>
                <w:b/>
                <w:color w:val="000000"/>
              </w:rPr>
            </w:pPr>
            <w:r w:rsidRPr="009C53EE">
              <w:rPr>
                <w:rFonts w:eastAsia="Times New Roman"/>
                <w:b/>
                <w:color w:val="000000"/>
              </w:rPr>
              <w:t>0.753*</w:t>
            </w:r>
          </w:p>
        </w:tc>
      </w:tr>
      <w:tr w:rsidR="002538EB" w:rsidRPr="00A13BAE" w14:paraId="217DF87D" w14:textId="77777777" w:rsidTr="009C53EE">
        <w:trPr>
          <w:trHeight w:val="320"/>
        </w:trPr>
        <w:tc>
          <w:tcPr>
            <w:tcW w:w="8190" w:type="dxa"/>
            <w:tcBorders>
              <w:top w:val="nil"/>
              <w:left w:val="nil"/>
              <w:right w:val="nil"/>
            </w:tcBorders>
            <w:shd w:val="clear" w:color="auto" w:fill="auto"/>
            <w:noWrap/>
            <w:vAlign w:val="bottom"/>
            <w:hideMark/>
          </w:tcPr>
          <w:p w14:paraId="720B65AF" w14:textId="77777777" w:rsidR="002538EB" w:rsidRPr="00A13BAE" w:rsidRDefault="002538EB" w:rsidP="001551AE">
            <w:pPr>
              <w:rPr>
                <w:rFonts w:eastAsia="Times New Roman"/>
                <w:color w:val="000000"/>
              </w:rPr>
            </w:pPr>
            <w:r w:rsidRPr="00A13BAE">
              <w:rPr>
                <w:rFonts w:eastAsia="Times New Roman"/>
                <w:color w:val="000000"/>
              </w:rPr>
              <w:t xml:space="preserve">23. </w:t>
            </w:r>
            <w:r w:rsidRPr="00A13BAE">
              <w:t>I continue to collect items, even when they cause problems for me.</w:t>
            </w:r>
          </w:p>
        </w:tc>
        <w:tc>
          <w:tcPr>
            <w:tcW w:w="887" w:type="dxa"/>
            <w:tcBorders>
              <w:top w:val="nil"/>
              <w:left w:val="nil"/>
              <w:right w:val="nil"/>
            </w:tcBorders>
            <w:shd w:val="clear" w:color="auto" w:fill="auto"/>
            <w:noWrap/>
            <w:vAlign w:val="bottom"/>
            <w:hideMark/>
          </w:tcPr>
          <w:p w14:paraId="3A48E396" w14:textId="77777777" w:rsidR="002538EB" w:rsidRPr="00A13BAE" w:rsidRDefault="002538EB" w:rsidP="001551AE">
            <w:pPr>
              <w:rPr>
                <w:rFonts w:eastAsia="Times New Roman"/>
                <w:color w:val="000000"/>
              </w:rPr>
            </w:pPr>
            <w:r w:rsidRPr="00175FA0">
              <w:rPr>
                <w:rFonts w:eastAsia="Times New Roman"/>
                <w:color w:val="000000"/>
              </w:rPr>
              <w:t xml:space="preserve">-0.003         </w:t>
            </w:r>
          </w:p>
        </w:tc>
        <w:tc>
          <w:tcPr>
            <w:tcW w:w="1003" w:type="dxa"/>
            <w:tcBorders>
              <w:top w:val="nil"/>
              <w:left w:val="nil"/>
              <w:right w:val="nil"/>
            </w:tcBorders>
            <w:shd w:val="clear" w:color="auto" w:fill="auto"/>
            <w:noWrap/>
            <w:vAlign w:val="bottom"/>
            <w:hideMark/>
          </w:tcPr>
          <w:p w14:paraId="194FB275" w14:textId="77777777" w:rsidR="002538EB" w:rsidRPr="009C53EE" w:rsidRDefault="002538EB" w:rsidP="001551AE">
            <w:pPr>
              <w:rPr>
                <w:rFonts w:eastAsia="Times New Roman"/>
                <w:b/>
                <w:color w:val="000000"/>
              </w:rPr>
            </w:pPr>
            <w:r w:rsidRPr="009C53EE">
              <w:rPr>
                <w:rFonts w:eastAsia="Times New Roman"/>
                <w:b/>
                <w:color w:val="000000"/>
              </w:rPr>
              <w:t>0.784*</w:t>
            </w:r>
          </w:p>
        </w:tc>
      </w:tr>
      <w:tr w:rsidR="002538EB" w:rsidRPr="00A13BAE" w14:paraId="49B4D9D5" w14:textId="77777777" w:rsidTr="009C53EE">
        <w:trPr>
          <w:trHeight w:val="320"/>
        </w:trPr>
        <w:tc>
          <w:tcPr>
            <w:tcW w:w="8190" w:type="dxa"/>
            <w:tcBorders>
              <w:top w:val="nil"/>
              <w:left w:val="nil"/>
              <w:bottom w:val="single" w:sz="4" w:space="0" w:color="auto"/>
              <w:right w:val="nil"/>
            </w:tcBorders>
            <w:shd w:val="clear" w:color="auto" w:fill="auto"/>
            <w:noWrap/>
            <w:vAlign w:val="center"/>
            <w:hideMark/>
          </w:tcPr>
          <w:p w14:paraId="78B29FE9" w14:textId="77777777" w:rsidR="002538EB" w:rsidRPr="00A13BAE" w:rsidRDefault="002538EB" w:rsidP="001551AE">
            <w:pPr>
              <w:rPr>
                <w:i/>
                <w:iCs/>
                <w:color w:val="404040" w:themeColor="text1" w:themeTint="BF"/>
              </w:rPr>
            </w:pPr>
            <w:r w:rsidRPr="00A13BAE">
              <w:t>32. I collect or buy objects when I feel distressed.</w:t>
            </w:r>
          </w:p>
        </w:tc>
        <w:tc>
          <w:tcPr>
            <w:tcW w:w="887" w:type="dxa"/>
            <w:tcBorders>
              <w:top w:val="nil"/>
              <w:left w:val="nil"/>
              <w:bottom w:val="single" w:sz="4" w:space="0" w:color="auto"/>
              <w:right w:val="nil"/>
            </w:tcBorders>
            <w:shd w:val="clear" w:color="auto" w:fill="auto"/>
            <w:noWrap/>
            <w:vAlign w:val="bottom"/>
            <w:hideMark/>
          </w:tcPr>
          <w:p w14:paraId="77AD98F0" w14:textId="77777777" w:rsidR="002538EB" w:rsidRPr="00A13BAE" w:rsidRDefault="002538EB" w:rsidP="001551AE">
            <w:pPr>
              <w:rPr>
                <w:rFonts w:eastAsia="Times New Roman"/>
                <w:color w:val="000000"/>
              </w:rPr>
            </w:pPr>
            <w:r w:rsidRPr="00175FA0">
              <w:rPr>
                <w:rFonts w:eastAsia="Times New Roman"/>
                <w:color w:val="000000"/>
              </w:rPr>
              <w:t xml:space="preserve">-0.055         </w:t>
            </w:r>
          </w:p>
        </w:tc>
        <w:tc>
          <w:tcPr>
            <w:tcW w:w="1003" w:type="dxa"/>
            <w:tcBorders>
              <w:top w:val="nil"/>
              <w:left w:val="nil"/>
              <w:bottom w:val="single" w:sz="4" w:space="0" w:color="auto"/>
              <w:right w:val="nil"/>
            </w:tcBorders>
            <w:shd w:val="clear" w:color="auto" w:fill="auto"/>
            <w:noWrap/>
            <w:vAlign w:val="bottom"/>
            <w:hideMark/>
          </w:tcPr>
          <w:p w14:paraId="59D13396" w14:textId="77777777" w:rsidR="002538EB" w:rsidRPr="009C53EE" w:rsidRDefault="002538EB" w:rsidP="001551AE">
            <w:pPr>
              <w:rPr>
                <w:rFonts w:eastAsia="Times New Roman"/>
                <w:b/>
                <w:color w:val="000000"/>
              </w:rPr>
            </w:pPr>
            <w:r w:rsidRPr="009C53EE">
              <w:rPr>
                <w:rFonts w:eastAsia="Times New Roman"/>
                <w:b/>
                <w:color w:val="000000"/>
              </w:rPr>
              <w:t>0.699*</w:t>
            </w:r>
          </w:p>
        </w:tc>
      </w:tr>
    </w:tbl>
    <w:p w14:paraId="579D0CAE" w14:textId="528B9044" w:rsidR="002538EB" w:rsidRDefault="002538EB" w:rsidP="009D4E5D">
      <w:pPr>
        <w:contextualSpacing/>
      </w:pPr>
      <w:r>
        <w:t xml:space="preserve">* </w:t>
      </w:r>
      <w:r w:rsidRPr="009C53EE">
        <w:rPr>
          <w:i/>
        </w:rPr>
        <w:t>p</w:t>
      </w:r>
      <w:r>
        <w:t xml:space="preserve"> &lt; .05.</w:t>
      </w:r>
    </w:p>
    <w:p w14:paraId="7FC19107" w14:textId="3EFC4A06" w:rsidR="009D4E5D" w:rsidRPr="0043070C" w:rsidRDefault="009D4E5D" w:rsidP="009D4E5D">
      <w:pPr>
        <w:contextualSpacing/>
      </w:pPr>
      <w:r w:rsidRPr="00981D9A">
        <w:rPr>
          <w:i/>
        </w:rPr>
        <w:t>Note</w:t>
      </w:r>
      <w:r w:rsidR="0043070C">
        <w:rPr>
          <w:i/>
        </w:rPr>
        <w:t>.</w:t>
      </w:r>
      <w:r w:rsidRPr="00981D9A">
        <w:rPr>
          <w:i/>
        </w:rPr>
        <w:t xml:space="preserve"> </w:t>
      </w:r>
      <w:r w:rsidRPr="0043070C">
        <w:t>The instructions for responding to this measure clarified that “things” refers to “the things you own” and asked respondents to rate their agreement with these statements from 1 (never true) to 7 (always true) over the past week.</w:t>
      </w:r>
    </w:p>
    <w:p w14:paraId="3FE5C0F0" w14:textId="77777777" w:rsidR="009D4E5D" w:rsidRPr="00981D9A" w:rsidRDefault="009D4E5D" w:rsidP="009D4E5D">
      <w:pPr>
        <w:contextualSpacing/>
      </w:pPr>
    </w:p>
    <w:p w14:paraId="6C2799B7" w14:textId="77777777" w:rsidR="009D4E5D" w:rsidRPr="00981D9A" w:rsidRDefault="009D4E5D" w:rsidP="009D4E5D">
      <w:pPr>
        <w:contextualSpacing/>
      </w:pPr>
    </w:p>
    <w:p w14:paraId="4640FC37" w14:textId="77777777" w:rsidR="009D4E5D" w:rsidRDefault="009D4E5D">
      <w:r>
        <w:br w:type="page"/>
      </w:r>
    </w:p>
    <w:p w14:paraId="281FDD41" w14:textId="77777777" w:rsidR="00987ADC" w:rsidRDefault="00987ADC">
      <w:r>
        <w:t>Table 2</w:t>
      </w:r>
    </w:p>
    <w:p w14:paraId="35AA99C4" w14:textId="77777777" w:rsidR="00987ADC" w:rsidRPr="00C76E40" w:rsidRDefault="00987ADC">
      <w:pPr>
        <w:rPr>
          <w:i/>
        </w:rPr>
      </w:pPr>
      <w:r w:rsidRPr="00C76E40">
        <w:rPr>
          <w:i/>
        </w:rPr>
        <w:t>Excluded items and reasons for exclusion</w:t>
      </w:r>
    </w:p>
    <w:p w14:paraId="662AA1F7" w14:textId="77777777" w:rsidR="00987ADC" w:rsidRDefault="00987ADC"/>
    <w:tbl>
      <w:tblPr>
        <w:tblW w:w="0" w:type="auto"/>
        <w:tblBorders>
          <w:top w:val="single" w:sz="4" w:space="0" w:color="auto"/>
          <w:bottom w:val="single" w:sz="4" w:space="0" w:color="auto"/>
        </w:tblBorders>
        <w:tblLook w:val="04A0" w:firstRow="1" w:lastRow="0" w:firstColumn="1" w:lastColumn="0" w:noHBand="0" w:noVBand="1"/>
      </w:tblPr>
      <w:tblGrid>
        <w:gridCol w:w="8482"/>
      </w:tblGrid>
      <w:tr w:rsidR="00987ADC" w:rsidRPr="00894739" w14:paraId="2841D3E2" w14:textId="77777777" w:rsidTr="00A177A7">
        <w:trPr>
          <w:trHeight w:hRule="exact" w:val="331"/>
        </w:trPr>
        <w:tc>
          <w:tcPr>
            <w:tcW w:w="0" w:type="auto"/>
            <w:tcBorders>
              <w:top w:val="single" w:sz="4" w:space="0" w:color="auto"/>
              <w:bottom w:val="single" w:sz="4" w:space="0" w:color="auto"/>
            </w:tcBorders>
            <w:shd w:val="clear" w:color="auto" w:fill="auto"/>
            <w:noWrap/>
          </w:tcPr>
          <w:p w14:paraId="2084F899" w14:textId="77777777" w:rsidR="00987ADC" w:rsidRPr="00894739" w:rsidRDefault="00987ADC" w:rsidP="00671191">
            <w:pPr>
              <w:rPr>
                <w:rFonts w:eastAsia="Times New Roman"/>
                <w:color w:val="000000"/>
              </w:rPr>
            </w:pPr>
            <w:r>
              <w:rPr>
                <w:rFonts w:eastAsia="Times New Roman"/>
                <w:color w:val="000000"/>
              </w:rPr>
              <w:t>Items excluded due to skewness/kurtosis:</w:t>
            </w:r>
          </w:p>
        </w:tc>
      </w:tr>
      <w:tr w:rsidR="00987ADC" w14:paraId="0AB80183" w14:textId="77777777" w:rsidTr="00A177A7">
        <w:trPr>
          <w:trHeight w:hRule="exact" w:val="331"/>
        </w:trPr>
        <w:tc>
          <w:tcPr>
            <w:tcW w:w="0" w:type="auto"/>
            <w:tcBorders>
              <w:top w:val="single" w:sz="4" w:space="0" w:color="auto"/>
            </w:tcBorders>
            <w:shd w:val="clear" w:color="auto" w:fill="auto"/>
            <w:noWrap/>
          </w:tcPr>
          <w:p w14:paraId="006A57D4" w14:textId="77777777" w:rsidR="00987ADC" w:rsidRDefault="00987ADC" w:rsidP="00671191">
            <w:pPr>
              <w:rPr>
                <w:rFonts w:eastAsia="Times New Roman"/>
                <w:color w:val="000000"/>
              </w:rPr>
            </w:pPr>
            <w:r w:rsidRPr="00894739">
              <w:rPr>
                <w:rFonts w:eastAsia="Times New Roman"/>
                <w:color w:val="000000"/>
              </w:rPr>
              <w:t>13. Worries about my things get in the way of living the life I want.</w:t>
            </w:r>
          </w:p>
        </w:tc>
      </w:tr>
      <w:tr w:rsidR="00987ADC" w:rsidRPr="00894739" w14:paraId="45BEA68C" w14:textId="77777777" w:rsidTr="00A177A7">
        <w:trPr>
          <w:trHeight w:hRule="exact" w:val="331"/>
        </w:trPr>
        <w:tc>
          <w:tcPr>
            <w:tcW w:w="0" w:type="auto"/>
            <w:shd w:val="clear" w:color="auto" w:fill="auto"/>
            <w:noWrap/>
          </w:tcPr>
          <w:p w14:paraId="501EB97C" w14:textId="77777777" w:rsidR="00987ADC" w:rsidRPr="00894739" w:rsidRDefault="00987ADC" w:rsidP="00671191">
            <w:pPr>
              <w:rPr>
                <w:rFonts w:eastAsia="Times New Roman"/>
                <w:color w:val="000000"/>
              </w:rPr>
            </w:pPr>
            <w:r w:rsidRPr="00894739">
              <w:rPr>
                <w:rFonts w:eastAsia="Times New Roman"/>
                <w:color w:val="000000"/>
              </w:rPr>
              <w:t>18. My things are the most important part of my life.</w:t>
            </w:r>
          </w:p>
        </w:tc>
      </w:tr>
      <w:tr w:rsidR="00987ADC" w:rsidRPr="00894739" w14:paraId="57A3F028" w14:textId="77777777" w:rsidTr="00A177A7">
        <w:trPr>
          <w:trHeight w:hRule="exact" w:val="331"/>
        </w:trPr>
        <w:tc>
          <w:tcPr>
            <w:tcW w:w="0" w:type="auto"/>
            <w:shd w:val="clear" w:color="auto" w:fill="auto"/>
            <w:noWrap/>
          </w:tcPr>
          <w:p w14:paraId="3E081895" w14:textId="77777777" w:rsidR="00987ADC" w:rsidRPr="00894739" w:rsidRDefault="00987ADC" w:rsidP="00671191">
            <w:pPr>
              <w:rPr>
                <w:rFonts w:eastAsia="Times New Roman"/>
                <w:color w:val="000000"/>
              </w:rPr>
            </w:pPr>
            <w:r w:rsidRPr="00894739">
              <w:rPr>
                <w:rFonts w:eastAsia="Times New Roman"/>
                <w:color w:val="000000"/>
              </w:rPr>
              <w:t>19. I care more about my things than anything else.</w:t>
            </w:r>
          </w:p>
        </w:tc>
      </w:tr>
      <w:tr w:rsidR="00987ADC" w:rsidRPr="00894739" w14:paraId="27BC75B9" w14:textId="77777777" w:rsidTr="00A177A7">
        <w:trPr>
          <w:trHeight w:hRule="exact" w:val="331"/>
        </w:trPr>
        <w:tc>
          <w:tcPr>
            <w:tcW w:w="0" w:type="auto"/>
            <w:shd w:val="clear" w:color="auto" w:fill="auto"/>
            <w:noWrap/>
          </w:tcPr>
          <w:p w14:paraId="47411B2D" w14:textId="77777777" w:rsidR="00987ADC" w:rsidRPr="00894739" w:rsidRDefault="00987ADC" w:rsidP="00671191">
            <w:pPr>
              <w:rPr>
                <w:rFonts w:eastAsia="Times New Roman"/>
                <w:color w:val="000000"/>
              </w:rPr>
            </w:pPr>
            <w:r w:rsidRPr="00894739">
              <w:rPr>
                <w:rFonts w:eastAsia="Times New Roman"/>
                <w:color w:val="000000"/>
              </w:rPr>
              <w:t>22. My clutter prevents me from living the life I want.</w:t>
            </w:r>
          </w:p>
        </w:tc>
      </w:tr>
      <w:tr w:rsidR="00987ADC" w:rsidRPr="00894739" w14:paraId="1F1C405A" w14:textId="77777777" w:rsidTr="00A177A7">
        <w:trPr>
          <w:trHeight w:hRule="exact" w:val="331"/>
        </w:trPr>
        <w:tc>
          <w:tcPr>
            <w:tcW w:w="0" w:type="auto"/>
            <w:shd w:val="clear" w:color="auto" w:fill="auto"/>
            <w:noWrap/>
          </w:tcPr>
          <w:p w14:paraId="03FD1506" w14:textId="77777777" w:rsidR="00987ADC" w:rsidRPr="00894739" w:rsidRDefault="00987ADC" w:rsidP="00671191">
            <w:pPr>
              <w:rPr>
                <w:rFonts w:eastAsia="Times New Roman"/>
                <w:color w:val="000000"/>
              </w:rPr>
            </w:pPr>
            <w:r w:rsidRPr="00894739">
              <w:rPr>
                <w:rFonts w:eastAsia="Times New Roman"/>
                <w:color w:val="000000"/>
              </w:rPr>
              <w:t>26. Who I am depends on the things I have.</w:t>
            </w:r>
          </w:p>
        </w:tc>
      </w:tr>
      <w:tr w:rsidR="00987ADC" w:rsidRPr="00894739" w14:paraId="628C1278" w14:textId="77777777" w:rsidTr="00A177A7">
        <w:trPr>
          <w:trHeight w:hRule="exact" w:val="331"/>
        </w:trPr>
        <w:tc>
          <w:tcPr>
            <w:tcW w:w="0" w:type="auto"/>
            <w:shd w:val="clear" w:color="auto" w:fill="auto"/>
            <w:noWrap/>
          </w:tcPr>
          <w:p w14:paraId="19DD86E1" w14:textId="77777777" w:rsidR="00987ADC" w:rsidRPr="00894739" w:rsidRDefault="00987ADC" w:rsidP="00671191">
            <w:pPr>
              <w:rPr>
                <w:rFonts w:eastAsia="Times New Roman"/>
                <w:color w:val="000000"/>
              </w:rPr>
            </w:pPr>
            <w:r w:rsidRPr="000B6F7D">
              <w:t>34. My things take up so much time that they interfere with my life.</w:t>
            </w:r>
          </w:p>
        </w:tc>
      </w:tr>
      <w:tr w:rsidR="00987ADC" w:rsidRPr="00894739" w14:paraId="42B9B9E6" w14:textId="77777777" w:rsidTr="00A177A7">
        <w:trPr>
          <w:trHeight w:hRule="exact" w:val="331"/>
        </w:trPr>
        <w:tc>
          <w:tcPr>
            <w:tcW w:w="0" w:type="auto"/>
            <w:shd w:val="clear" w:color="auto" w:fill="auto"/>
            <w:noWrap/>
          </w:tcPr>
          <w:p w14:paraId="32AD704B" w14:textId="77777777" w:rsidR="00987ADC" w:rsidRPr="00894739" w:rsidRDefault="00987ADC" w:rsidP="00671191">
            <w:pPr>
              <w:rPr>
                <w:rFonts w:eastAsia="Times New Roman"/>
                <w:color w:val="000000"/>
              </w:rPr>
            </w:pPr>
            <w:r w:rsidRPr="000B6F7D">
              <w:t>36. Discarding something that is no longer useful is too painful for me to bear.</w:t>
            </w:r>
          </w:p>
        </w:tc>
      </w:tr>
      <w:tr w:rsidR="00987ADC" w:rsidRPr="00894739" w14:paraId="08AE4E65" w14:textId="77777777" w:rsidTr="006F3B99">
        <w:trPr>
          <w:trHeight w:hRule="exact" w:val="331"/>
        </w:trPr>
        <w:tc>
          <w:tcPr>
            <w:tcW w:w="0" w:type="auto"/>
            <w:tcBorders>
              <w:bottom w:val="single" w:sz="4" w:space="0" w:color="auto"/>
            </w:tcBorders>
            <w:shd w:val="clear" w:color="auto" w:fill="auto"/>
            <w:noWrap/>
          </w:tcPr>
          <w:p w14:paraId="6A1D7F6C" w14:textId="77777777" w:rsidR="00987ADC" w:rsidRPr="00894739" w:rsidRDefault="00987ADC" w:rsidP="00671191">
            <w:pPr>
              <w:rPr>
                <w:rFonts w:eastAsia="Times New Roman"/>
                <w:color w:val="000000"/>
              </w:rPr>
            </w:pPr>
            <w:r w:rsidRPr="000B6F7D">
              <w:t>37. The time I spend thinking about what to do with my things interferes with my life.</w:t>
            </w:r>
          </w:p>
        </w:tc>
      </w:tr>
      <w:tr w:rsidR="00987ADC" w:rsidRPr="000B6F7D" w14:paraId="4845A0B7" w14:textId="77777777" w:rsidTr="006F3B99">
        <w:trPr>
          <w:trHeight w:hRule="exact" w:val="331"/>
        </w:trPr>
        <w:tc>
          <w:tcPr>
            <w:tcW w:w="0" w:type="auto"/>
            <w:tcBorders>
              <w:top w:val="single" w:sz="4" w:space="0" w:color="auto"/>
              <w:bottom w:val="single" w:sz="4" w:space="0" w:color="auto"/>
            </w:tcBorders>
            <w:shd w:val="clear" w:color="auto" w:fill="auto"/>
            <w:noWrap/>
          </w:tcPr>
          <w:p w14:paraId="22022B58" w14:textId="77777777" w:rsidR="00987ADC" w:rsidRPr="000B6F7D" w:rsidRDefault="00987ADC" w:rsidP="00671191">
            <w:r>
              <w:t>Items excluded due to low inter-item correlations:</w:t>
            </w:r>
          </w:p>
        </w:tc>
      </w:tr>
      <w:tr w:rsidR="00987ADC" w:rsidRPr="00894739" w14:paraId="79E33E35" w14:textId="77777777" w:rsidTr="006F3B99">
        <w:trPr>
          <w:trHeight w:hRule="exact" w:val="331"/>
        </w:trPr>
        <w:tc>
          <w:tcPr>
            <w:tcW w:w="0" w:type="auto"/>
            <w:tcBorders>
              <w:top w:val="single" w:sz="4" w:space="0" w:color="auto"/>
            </w:tcBorders>
            <w:shd w:val="clear" w:color="auto" w:fill="auto"/>
            <w:noWrap/>
          </w:tcPr>
          <w:p w14:paraId="32336CD7" w14:textId="77777777" w:rsidR="00987ADC" w:rsidRPr="00894739" w:rsidRDefault="00987ADC" w:rsidP="00671191">
            <w:pPr>
              <w:rPr>
                <w:rFonts w:eastAsia="Times New Roman"/>
                <w:color w:val="000000"/>
              </w:rPr>
            </w:pPr>
            <w:r w:rsidRPr="00894739">
              <w:rPr>
                <w:rFonts w:eastAsia="Times New Roman"/>
                <w:color w:val="000000"/>
              </w:rPr>
              <w:t>5. My feelings about my things get in the way of living a fulfilling life.</w:t>
            </w:r>
          </w:p>
        </w:tc>
      </w:tr>
      <w:tr w:rsidR="00987ADC" w:rsidRPr="00894739" w14:paraId="45A38CD8" w14:textId="77777777" w:rsidTr="00A177A7">
        <w:trPr>
          <w:trHeight w:hRule="exact" w:val="331"/>
        </w:trPr>
        <w:tc>
          <w:tcPr>
            <w:tcW w:w="0" w:type="auto"/>
            <w:shd w:val="clear" w:color="auto" w:fill="auto"/>
            <w:noWrap/>
          </w:tcPr>
          <w:p w14:paraId="1DD669BF" w14:textId="77777777" w:rsidR="00987ADC" w:rsidRPr="00894739" w:rsidRDefault="00987ADC" w:rsidP="00671191">
            <w:pPr>
              <w:rPr>
                <w:rFonts w:eastAsia="Times New Roman"/>
                <w:color w:val="000000"/>
              </w:rPr>
            </w:pPr>
            <w:r w:rsidRPr="00894739">
              <w:rPr>
                <w:rFonts w:eastAsia="Times New Roman"/>
                <w:color w:val="000000"/>
              </w:rPr>
              <w:t>11. The time I spend on my things gets in the way of doing what is important to me.</w:t>
            </w:r>
          </w:p>
        </w:tc>
      </w:tr>
      <w:tr w:rsidR="00987ADC" w:rsidRPr="00894739" w14:paraId="0E92A3C8" w14:textId="77777777" w:rsidTr="00A177A7">
        <w:trPr>
          <w:trHeight w:hRule="exact" w:val="331"/>
        </w:trPr>
        <w:tc>
          <w:tcPr>
            <w:tcW w:w="0" w:type="auto"/>
            <w:shd w:val="clear" w:color="auto" w:fill="auto"/>
            <w:noWrap/>
          </w:tcPr>
          <w:p w14:paraId="2E5F06BF" w14:textId="77777777" w:rsidR="00987ADC" w:rsidRPr="00894739" w:rsidRDefault="00987ADC" w:rsidP="00671191">
            <w:pPr>
              <w:rPr>
                <w:rFonts w:eastAsia="Times New Roman"/>
                <w:color w:val="000000"/>
              </w:rPr>
            </w:pPr>
            <w:r w:rsidRPr="00894739">
              <w:rPr>
                <w:rFonts w:eastAsia="Times New Roman"/>
                <w:color w:val="000000"/>
              </w:rPr>
              <w:t>15. I am unable to let go of things that remind me of important memories.</w:t>
            </w:r>
          </w:p>
        </w:tc>
      </w:tr>
      <w:tr w:rsidR="00987ADC" w:rsidRPr="00894739" w14:paraId="220EA472" w14:textId="77777777" w:rsidTr="00A177A7">
        <w:trPr>
          <w:trHeight w:hRule="exact" w:val="331"/>
        </w:trPr>
        <w:tc>
          <w:tcPr>
            <w:tcW w:w="0" w:type="auto"/>
            <w:shd w:val="clear" w:color="auto" w:fill="auto"/>
            <w:noWrap/>
          </w:tcPr>
          <w:p w14:paraId="2AA1F3B1" w14:textId="77777777" w:rsidR="00987ADC" w:rsidRPr="00894739" w:rsidRDefault="00987ADC" w:rsidP="00671191">
            <w:pPr>
              <w:rPr>
                <w:rFonts w:eastAsia="Times New Roman"/>
                <w:color w:val="000000"/>
              </w:rPr>
            </w:pPr>
            <w:r w:rsidRPr="00894739">
              <w:rPr>
                <w:rFonts w:eastAsia="Times New Roman"/>
                <w:color w:val="000000"/>
              </w:rPr>
              <w:t>16. When I see something I want, I just get it.</w:t>
            </w:r>
          </w:p>
        </w:tc>
      </w:tr>
      <w:tr w:rsidR="00987ADC" w:rsidRPr="00894739" w14:paraId="4AB07813" w14:textId="77777777" w:rsidTr="00A177A7">
        <w:trPr>
          <w:trHeight w:hRule="exact" w:val="331"/>
        </w:trPr>
        <w:tc>
          <w:tcPr>
            <w:tcW w:w="0" w:type="auto"/>
            <w:shd w:val="clear" w:color="auto" w:fill="auto"/>
            <w:noWrap/>
          </w:tcPr>
          <w:p w14:paraId="26C76668" w14:textId="77777777" w:rsidR="00987ADC" w:rsidRPr="00894739" w:rsidRDefault="00987ADC" w:rsidP="00671191">
            <w:pPr>
              <w:rPr>
                <w:rFonts w:eastAsia="Times New Roman"/>
                <w:color w:val="000000"/>
              </w:rPr>
            </w:pPr>
            <w:r w:rsidRPr="00894739">
              <w:rPr>
                <w:rFonts w:eastAsia="Times New Roman"/>
                <w:color w:val="000000"/>
              </w:rPr>
              <w:t>17. I act on my impulses to get the things I want.</w:t>
            </w:r>
          </w:p>
        </w:tc>
      </w:tr>
      <w:tr w:rsidR="00987ADC" w:rsidRPr="00894739" w14:paraId="3B6BF5CE" w14:textId="77777777" w:rsidTr="00A177A7">
        <w:trPr>
          <w:trHeight w:hRule="exact" w:val="331"/>
        </w:trPr>
        <w:tc>
          <w:tcPr>
            <w:tcW w:w="0" w:type="auto"/>
            <w:shd w:val="clear" w:color="auto" w:fill="auto"/>
            <w:noWrap/>
          </w:tcPr>
          <w:p w14:paraId="6EFB5800" w14:textId="77777777" w:rsidR="00987ADC" w:rsidRPr="00894739" w:rsidRDefault="00987ADC" w:rsidP="00671191">
            <w:pPr>
              <w:rPr>
                <w:rFonts w:eastAsia="Times New Roman"/>
                <w:color w:val="000000"/>
              </w:rPr>
            </w:pPr>
            <w:r w:rsidRPr="00894739">
              <w:rPr>
                <w:rFonts w:eastAsia="Times New Roman"/>
                <w:color w:val="000000"/>
              </w:rPr>
              <w:t>21. The value of my things is based on my feelings about them.</w:t>
            </w:r>
          </w:p>
        </w:tc>
      </w:tr>
      <w:tr w:rsidR="00987ADC" w:rsidRPr="00894739" w14:paraId="1DDA7513" w14:textId="77777777" w:rsidTr="00A177A7">
        <w:trPr>
          <w:trHeight w:hRule="exact" w:val="331"/>
        </w:trPr>
        <w:tc>
          <w:tcPr>
            <w:tcW w:w="0" w:type="auto"/>
            <w:shd w:val="clear" w:color="auto" w:fill="auto"/>
            <w:noWrap/>
          </w:tcPr>
          <w:p w14:paraId="37C1B8C7" w14:textId="77777777" w:rsidR="00987ADC" w:rsidRPr="00894739" w:rsidRDefault="00987ADC" w:rsidP="00671191">
            <w:pPr>
              <w:rPr>
                <w:rFonts w:eastAsia="Times New Roman"/>
                <w:color w:val="000000"/>
              </w:rPr>
            </w:pPr>
            <w:r w:rsidRPr="00894739">
              <w:rPr>
                <w:rFonts w:eastAsia="Times New Roman"/>
                <w:color w:val="000000"/>
              </w:rPr>
              <w:t>24. Losing something important to me would be the worst thing that could happen.</w:t>
            </w:r>
          </w:p>
        </w:tc>
      </w:tr>
      <w:tr w:rsidR="00987ADC" w:rsidRPr="00894739" w14:paraId="4408418C" w14:textId="77777777" w:rsidTr="006F3B99">
        <w:trPr>
          <w:trHeight w:hRule="exact" w:val="360"/>
        </w:trPr>
        <w:tc>
          <w:tcPr>
            <w:tcW w:w="0" w:type="auto"/>
            <w:tcBorders>
              <w:bottom w:val="single" w:sz="4" w:space="0" w:color="auto"/>
            </w:tcBorders>
            <w:shd w:val="clear" w:color="auto" w:fill="auto"/>
            <w:noWrap/>
          </w:tcPr>
          <w:p w14:paraId="60CA1804" w14:textId="77777777" w:rsidR="00987ADC" w:rsidRPr="00894739" w:rsidRDefault="00987ADC" w:rsidP="00671191">
            <w:pPr>
              <w:rPr>
                <w:rFonts w:eastAsia="Times New Roman"/>
                <w:color w:val="000000"/>
              </w:rPr>
            </w:pPr>
            <w:r w:rsidRPr="000B6F7D">
              <w:t>35. When I want an item, I just get it.</w:t>
            </w:r>
          </w:p>
        </w:tc>
      </w:tr>
      <w:tr w:rsidR="00394489" w:rsidRPr="00894739" w14:paraId="0F40FBFE" w14:textId="77777777" w:rsidTr="006F3B99">
        <w:trPr>
          <w:trHeight w:hRule="exact" w:val="331"/>
        </w:trPr>
        <w:tc>
          <w:tcPr>
            <w:tcW w:w="0" w:type="auto"/>
            <w:tcBorders>
              <w:top w:val="single" w:sz="4" w:space="0" w:color="auto"/>
              <w:bottom w:val="single" w:sz="4" w:space="0" w:color="auto"/>
            </w:tcBorders>
            <w:shd w:val="clear" w:color="auto" w:fill="auto"/>
            <w:noWrap/>
          </w:tcPr>
          <w:p w14:paraId="61337CA0" w14:textId="409B4B38" w:rsidR="00394489" w:rsidRPr="00394489" w:rsidRDefault="00394489" w:rsidP="00671191">
            <w:r w:rsidRPr="00394489">
              <w:t>Items excluded due to</w:t>
            </w:r>
            <w:r>
              <w:t xml:space="preserve"> factor</w:t>
            </w:r>
            <w:r w:rsidRPr="00394489">
              <w:t xml:space="preserve"> loading criteria:</w:t>
            </w:r>
          </w:p>
        </w:tc>
      </w:tr>
      <w:tr w:rsidR="002538EB" w:rsidRPr="00894739" w14:paraId="16302FEC" w14:textId="77777777" w:rsidTr="006F3B99">
        <w:trPr>
          <w:trHeight w:hRule="exact" w:val="331"/>
        </w:trPr>
        <w:tc>
          <w:tcPr>
            <w:tcW w:w="0" w:type="auto"/>
            <w:tcBorders>
              <w:top w:val="single" w:sz="4" w:space="0" w:color="auto"/>
            </w:tcBorders>
            <w:shd w:val="clear" w:color="auto" w:fill="auto"/>
            <w:noWrap/>
          </w:tcPr>
          <w:p w14:paraId="4F0F39FB" w14:textId="3889FF3F" w:rsidR="002538EB" w:rsidRDefault="002538EB" w:rsidP="002538EB">
            <w:r w:rsidRPr="00A13BAE">
              <w:t>9. I try not to think about the negative effects of my clutter.</w:t>
            </w:r>
          </w:p>
        </w:tc>
      </w:tr>
      <w:tr w:rsidR="002538EB" w:rsidRPr="00894739" w14:paraId="12D21758" w14:textId="77777777" w:rsidTr="00A177A7">
        <w:trPr>
          <w:trHeight w:hRule="exact" w:val="331"/>
        </w:trPr>
        <w:tc>
          <w:tcPr>
            <w:tcW w:w="0" w:type="auto"/>
            <w:shd w:val="clear" w:color="auto" w:fill="auto"/>
            <w:noWrap/>
          </w:tcPr>
          <w:p w14:paraId="49245B5F" w14:textId="20D6378E" w:rsidR="002538EB" w:rsidRPr="00A13BAE" w:rsidRDefault="002538EB" w:rsidP="002538EB">
            <w:r w:rsidRPr="00A13BAE">
              <w:t>12. I can’t make decisions about my things when I feel uncertain.</w:t>
            </w:r>
          </w:p>
        </w:tc>
      </w:tr>
      <w:tr w:rsidR="002538EB" w:rsidRPr="00894739" w14:paraId="7BAEB12B" w14:textId="77777777" w:rsidTr="00A177A7">
        <w:trPr>
          <w:trHeight w:hRule="exact" w:val="331"/>
        </w:trPr>
        <w:tc>
          <w:tcPr>
            <w:tcW w:w="0" w:type="auto"/>
            <w:shd w:val="clear" w:color="auto" w:fill="auto"/>
            <w:noWrap/>
            <w:vAlign w:val="bottom"/>
          </w:tcPr>
          <w:p w14:paraId="79E5B070" w14:textId="77CFC1D1" w:rsidR="002538EB" w:rsidRPr="00A13BAE" w:rsidRDefault="002538EB" w:rsidP="002538EB">
            <w:r w:rsidRPr="00A13BAE">
              <w:rPr>
                <w:rFonts w:eastAsia="Times New Roman"/>
                <w:color w:val="000000"/>
              </w:rPr>
              <w:t xml:space="preserve">20. </w:t>
            </w:r>
            <w:r w:rsidRPr="00A13BAE">
              <w:t>I hate when I have strong reactions to losing my things.</w:t>
            </w:r>
          </w:p>
        </w:tc>
      </w:tr>
      <w:tr w:rsidR="002538EB" w:rsidRPr="00894739" w14:paraId="186F9FAC" w14:textId="77777777" w:rsidTr="00A177A7">
        <w:trPr>
          <w:trHeight w:hRule="exact" w:val="331"/>
        </w:trPr>
        <w:tc>
          <w:tcPr>
            <w:tcW w:w="0" w:type="auto"/>
            <w:shd w:val="clear" w:color="auto" w:fill="auto"/>
            <w:noWrap/>
            <w:vAlign w:val="bottom"/>
          </w:tcPr>
          <w:p w14:paraId="0143931E" w14:textId="0D4D3EB0" w:rsidR="002538EB" w:rsidRPr="00A13BAE" w:rsidRDefault="002538EB" w:rsidP="002538EB">
            <w:pPr>
              <w:rPr>
                <w:rFonts w:eastAsia="Times New Roman"/>
                <w:color w:val="000000"/>
              </w:rPr>
            </w:pPr>
            <w:r w:rsidRPr="00A13BAE">
              <w:rPr>
                <w:rFonts w:eastAsia="Times New Roman"/>
                <w:color w:val="000000"/>
              </w:rPr>
              <w:t xml:space="preserve">25. </w:t>
            </w:r>
            <w:r w:rsidRPr="00A13BAE">
              <w:t>My emotions overwhelm me when I think about parting with my things.</w:t>
            </w:r>
          </w:p>
        </w:tc>
      </w:tr>
      <w:tr w:rsidR="002538EB" w:rsidRPr="00894739" w14:paraId="22254F40" w14:textId="77777777" w:rsidTr="00A177A7">
        <w:trPr>
          <w:trHeight w:hRule="exact" w:val="331"/>
        </w:trPr>
        <w:tc>
          <w:tcPr>
            <w:tcW w:w="0" w:type="auto"/>
            <w:shd w:val="clear" w:color="auto" w:fill="auto"/>
            <w:noWrap/>
            <w:vAlign w:val="bottom"/>
          </w:tcPr>
          <w:p w14:paraId="0111C7A9" w14:textId="0C5E0E37" w:rsidR="002538EB" w:rsidRPr="00A13BAE" w:rsidRDefault="002538EB" w:rsidP="002538EB">
            <w:pPr>
              <w:rPr>
                <w:rFonts w:eastAsia="Times New Roman"/>
                <w:color w:val="000000"/>
              </w:rPr>
            </w:pPr>
            <w:r w:rsidRPr="00A13BAE">
              <w:t>29. The desire to keep things is a problem in my life.</w:t>
            </w:r>
          </w:p>
        </w:tc>
      </w:tr>
      <w:tr w:rsidR="002538EB" w:rsidRPr="00894739" w14:paraId="4F57EB0F" w14:textId="77777777" w:rsidTr="00A177A7">
        <w:trPr>
          <w:trHeight w:hRule="exact" w:val="331"/>
        </w:trPr>
        <w:tc>
          <w:tcPr>
            <w:tcW w:w="0" w:type="auto"/>
            <w:shd w:val="clear" w:color="auto" w:fill="auto"/>
            <w:noWrap/>
            <w:vAlign w:val="bottom"/>
          </w:tcPr>
          <w:p w14:paraId="25F55202" w14:textId="7AE175DA" w:rsidR="002538EB" w:rsidRPr="00A13BAE" w:rsidRDefault="002538EB" w:rsidP="002538EB">
            <w:r w:rsidRPr="00A13BAE">
              <w:rPr>
                <w:rFonts w:eastAsia="Times New Roman"/>
                <w:color w:val="000000"/>
              </w:rPr>
              <w:t xml:space="preserve">30. </w:t>
            </w:r>
            <w:r w:rsidRPr="00A13BAE">
              <w:t>My saving or collecting habits are inconsistent with the life I want.</w:t>
            </w:r>
          </w:p>
        </w:tc>
      </w:tr>
      <w:tr w:rsidR="002538EB" w:rsidRPr="00894739" w14:paraId="0B7F6B68" w14:textId="77777777" w:rsidTr="00A177A7">
        <w:trPr>
          <w:trHeight w:hRule="exact" w:val="331"/>
        </w:trPr>
        <w:tc>
          <w:tcPr>
            <w:tcW w:w="0" w:type="auto"/>
            <w:shd w:val="clear" w:color="auto" w:fill="auto"/>
            <w:noWrap/>
            <w:vAlign w:val="bottom"/>
          </w:tcPr>
          <w:p w14:paraId="77F19F76" w14:textId="324819DF" w:rsidR="002538EB" w:rsidRPr="00A13BAE" w:rsidRDefault="002538EB" w:rsidP="002538EB">
            <w:pPr>
              <w:rPr>
                <w:rFonts w:eastAsia="Times New Roman"/>
                <w:color w:val="000000"/>
              </w:rPr>
            </w:pPr>
            <w:r w:rsidRPr="00A13BAE">
              <w:rPr>
                <w:rFonts w:eastAsia="Times New Roman"/>
                <w:color w:val="000000"/>
              </w:rPr>
              <w:t xml:space="preserve">33. </w:t>
            </w:r>
            <w:r w:rsidRPr="00A13BAE">
              <w:t>My mood affects what I do with my things.</w:t>
            </w:r>
          </w:p>
        </w:tc>
      </w:tr>
    </w:tbl>
    <w:p w14:paraId="06EBF16E" w14:textId="6CD9B52A" w:rsidR="00987ADC" w:rsidRDefault="00987ADC">
      <w:r>
        <w:br w:type="page"/>
      </w:r>
    </w:p>
    <w:p w14:paraId="461891D6" w14:textId="5B54896D" w:rsidR="0043070C" w:rsidRDefault="009D4E5D" w:rsidP="009D4E5D">
      <w:pPr>
        <w:contextualSpacing/>
      </w:pPr>
      <w:r w:rsidRPr="00981D9A">
        <w:t xml:space="preserve">Table </w:t>
      </w:r>
      <w:r w:rsidR="00C07773">
        <w:t>3</w:t>
      </w:r>
    </w:p>
    <w:p w14:paraId="379FA000" w14:textId="23A88B26" w:rsidR="009D4E5D" w:rsidRPr="00E03C9B" w:rsidRDefault="00841E93" w:rsidP="009D4E5D">
      <w:pPr>
        <w:contextualSpacing/>
        <w:rPr>
          <w:i/>
        </w:rPr>
      </w:pPr>
      <w:r>
        <w:rPr>
          <w:i/>
        </w:rPr>
        <w:t>C</w:t>
      </w:r>
      <w:r w:rsidR="009D4E5D" w:rsidRPr="00E03C9B">
        <w:rPr>
          <w:i/>
        </w:rPr>
        <w:t>orrelations with other measures</w:t>
      </w:r>
    </w:p>
    <w:p w14:paraId="01C9F100" w14:textId="77777777" w:rsidR="009D4E5D" w:rsidRPr="00981D9A" w:rsidRDefault="009D4E5D" w:rsidP="009D4E5D">
      <w:pPr>
        <w:contextualSpacing/>
      </w:pPr>
    </w:p>
    <w:tbl>
      <w:tblPr>
        <w:tblStyle w:val="TableGrid"/>
        <w:tblW w:w="0" w:type="auto"/>
        <w:tblLook w:val="04A0" w:firstRow="1" w:lastRow="0" w:firstColumn="1" w:lastColumn="0" w:noHBand="0" w:noVBand="1"/>
      </w:tblPr>
      <w:tblGrid>
        <w:gridCol w:w="1729"/>
        <w:gridCol w:w="2554"/>
        <w:gridCol w:w="2113"/>
        <w:gridCol w:w="1482"/>
        <w:gridCol w:w="1482"/>
      </w:tblGrid>
      <w:tr w:rsidR="00841E93" w:rsidRPr="00981D9A" w14:paraId="1D6DFAFC" w14:textId="182896BB" w:rsidTr="00C76E40">
        <w:trPr>
          <w:trHeight w:val="386"/>
        </w:trPr>
        <w:tc>
          <w:tcPr>
            <w:tcW w:w="1729" w:type="dxa"/>
            <w:tcBorders>
              <w:left w:val="nil"/>
              <w:bottom w:val="single" w:sz="4" w:space="0" w:color="auto"/>
              <w:right w:val="nil"/>
            </w:tcBorders>
          </w:tcPr>
          <w:p w14:paraId="3B2F4E0A" w14:textId="77777777" w:rsidR="00841E93" w:rsidRPr="00E03C9B" w:rsidRDefault="00841E93" w:rsidP="001C6D39">
            <w:pPr>
              <w:contextualSpacing/>
            </w:pPr>
            <w:r w:rsidRPr="00E03C9B">
              <w:t>Measure</w:t>
            </w:r>
          </w:p>
        </w:tc>
        <w:tc>
          <w:tcPr>
            <w:tcW w:w="2554" w:type="dxa"/>
            <w:tcBorders>
              <w:left w:val="nil"/>
              <w:bottom w:val="single" w:sz="4" w:space="0" w:color="auto"/>
              <w:right w:val="nil"/>
            </w:tcBorders>
          </w:tcPr>
          <w:p w14:paraId="20D1A297" w14:textId="13EEF584" w:rsidR="00841E93" w:rsidRPr="00E03C9B" w:rsidRDefault="00841E93" w:rsidP="001C6D39">
            <w:pPr>
              <w:contextualSpacing/>
            </w:pPr>
            <w:r>
              <w:t>AAQH Total</w:t>
            </w:r>
          </w:p>
        </w:tc>
        <w:tc>
          <w:tcPr>
            <w:tcW w:w="2113" w:type="dxa"/>
            <w:tcBorders>
              <w:left w:val="nil"/>
              <w:bottom w:val="single" w:sz="4" w:space="0" w:color="auto"/>
              <w:right w:val="nil"/>
            </w:tcBorders>
          </w:tcPr>
          <w:p w14:paraId="255733E1" w14:textId="514D9215" w:rsidR="00841E93" w:rsidRPr="00E03C9B" w:rsidRDefault="00841E93" w:rsidP="001C6D39">
            <w:pPr>
              <w:contextualSpacing/>
            </w:pPr>
            <w:r>
              <w:t>AAQ-II</w:t>
            </w:r>
          </w:p>
        </w:tc>
        <w:tc>
          <w:tcPr>
            <w:tcW w:w="1482" w:type="dxa"/>
            <w:tcBorders>
              <w:left w:val="nil"/>
              <w:bottom w:val="single" w:sz="4" w:space="0" w:color="auto"/>
              <w:right w:val="nil"/>
            </w:tcBorders>
          </w:tcPr>
          <w:p w14:paraId="498CBD0E" w14:textId="28114792" w:rsidR="00841E93" w:rsidRPr="00E03C9B" w:rsidDel="00841E93" w:rsidRDefault="00841E93" w:rsidP="00592BEC">
            <w:pPr>
              <w:contextualSpacing/>
            </w:pPr>
            <w:r>
              <w:t>AAQH-</w:t>
            </w:r>
            <w:r w:rsidR="00592BEC">
              <w:t>Saving</w:t>
            </w:r>
          </w:p>
        </w:tc>
        <w:tc>
          <w:tcPr>
            <w:tcW w:w="1482" w:type="dxa"/>
            <w:tcBorders>
              <w:left w:val="nil"/>
              <w:bottom w:val="single" w:sz="4" w:space="0" w:color="auto"/>
              <w:right w:val="nil"/>
            </w:tcBorders>
          </w:tcPr>
          <w:p w14:paraId="682B51A2" w14:textId="19E20839" w:rsidR="00841E93" w:rsidRPr="00E03C9B" w:rsidDel="00841E93" w:rsidRDefault="00841E93" w:rsidP="00F6241B">
            <w:pPr>
              <w:contextualSpacing/>
            </w:pPr>
            <w:r>
              <w:t>AAQH-Acquisition</w:t>
            </w:r>
          </w:p>
        </w:tc>
      </w:tr>
      <w:tr w:rsidR="00841E93" w:rsidRPr="00981D9A" w14:paraId="756D9CC5" w14:textId="60E79B8D" w:rsidTr="00C76E40">
        <w:trPr>
          <w:trHeight w:val="314"/>
        </w:trPr>
        <w:tc>
          <w:tcPr>
            <w:tcW w:w="1729" w:type="dxa"/>
            <w:tcBorders>
              <w:left w:val="nil"/>
              <w:bottom w:val="nil"/>
              <w:right w:val="nil"/>
            </w:tcBorders>
          </w:tcPr>
          <w:p w14:paraId="1F424A86" w14:textId="77777777" w:rsidR="00841E93" w:rsidRPr="00981D9A" w:rsidRDefault="00841E93" w:rsidP="001C6D39">
            <w:pPr>
              <w:contextualSpacing/>
            </w:pPr>
            <w:r w:rsidRPr="00981D9A">
              <w:t>SI-R Total</w:t>
            </w:r>
          </w:p>
        </w:tc>
        <w:tc>
          <w:tcPr>
            <w:tcW w:w="2554" w:type="dxa"/>
            <w:tcBorders>
              <w:left w:val="nil"/>
              <w:bottom w:val="nil"/>
              <w:right w:val="nil"/>
            </w:tcBorders>
          </w:tcPr>
          <w:p w14:paraId="4D31BA44" w14:textId="1DC90061" w:rsidR="00841E93" w:rsidRPr="00981D9A" w:rsidRDefault="00841E93" w:rsidP="001C6D39">
            <w:pPr>
              <w:contextualSpacing/>
            </w:pPr>
            <w:r w:rsidRPr="00981D9A">
              <w:t>0.6</w:t>
            </w:r>
            <w:r w:rsidR="00C77AF4">
              <w:t>4</w:t>
            </w:r>
            <w:r w:rsidRPr="00981D9A">
              <w:t>***</w:t>
            </w:r>
          </w:p>
        </w:tc>
        <w:tc>
          <w:tcPr>
            <w:tcW w:w="2113" w:type="dxa"/>
            <w:tcBorders>
              <w:left w:val="nil"/>
              <w:bottom w:val="nil"/>
              <w:right w:val="nil"/>
            </w:tcBorders>
          </w:tcPr>
          <w:p w14:paraId="07C39667" w14:textId="77777777" w:rsidR="00841E93" w:rsidRPr="00981D9A" w:rsidRDefault="00841E93" w:rsidP="001C6D39">
            <w:pPr>
              <w:contextualSpacing/>
            </w:pPr>
            <w:r w:rsidRPr="00981D9A">
              <w:t>0.42***</w:t>
            </w:r>
          </w:p>
        </w:tc>
        <w:tc>
          <w:tcPr>
            <w:tcW w:w="1482" w:type="dxa"/>
            <w:tcBorders>
              <w:left w:val="nil"/>
              <w:bottom w:val="nil"/>
              <w:right w:val="nil"/>
            </w:tcBorders>
          </w:tcPr>
          <w:p w14:paraId="4F631DFD" w14:textId="43204B7A" w:rsidR="00841E93" w:rsidRPr="00981D9A" w:rsidRDefault="008C725C" w:rsidP="001C6D39">
            <w:pPr>
              <w:contextualSpacing/>
            </w:pPr>
            <w:r>
              <w:t>0.5</w:t>
            </w:r>
            <w:r w:rsidR="00C77AF4">
              <w:t>3</w:t>
            </w:r>
            <w:r w:rsidR="00B92257">
              <w:t>***</w:t>
            </w:r>
          </w:p>
        </w:tc>
        <w:tc>
          <w:tcPr>
            <w:tcW w:w="1482" w:type="dxa"/>
            <w:tcBorders>
              <w:left w:val="nil"/>
              <w:bottom w:val="nil"/>
              <w:right w:val="nil"/>
            </w:tcBorders>
          </w:tcPr>
          <w:p w14:paraId="3047590C" w14:textId="48FC50AD" w:rsidR="00841E93" w:rsidRPr="00981D9A" w:rsidRDefault="008C725C" w:rsidP="001C6D39">
            <w:pPr>
              <w:contextualSpacing/>
            </w:pPr>
            <w:r>
              <w:t>0.6</w:t>
            </w:r>
            <w:r w:rsidR="00C77AF4">
              <w:t>1</w:t>
            </w:r>
            <w:r w:rsidR="00174882">
              <w:t>***</w:t>
            </w:r>
          </w:p>
        </w:tc>
      </w:tr>
      <w:tr w:rsidR="00841E93" w:rsidRPr="00981D9A" w14:paraId="2368F141" w14:textId="3C2FFF9F" w:rsidTr="00C76E40">
        <w:trPr>
          <w:trHeight w:val="305"/>
        </w:trPr>
        <w:tc>
          <w:tcPr>
            <w:tcW w:w="1729" w:type="dxa"/>
            <w:tcBorders>
              <w:top w:val="nil"/>
              <w:left w:val="nil"/>
              <w:bottom w:val="nil"/>
              <w:right w:val="nil"/>
            </w:tcBorders>
          </w:tcPr>
          <w:p w14:paraId="092429FB" w14:textId="77777777" w:rsidR="00841E93" w:rsidRPr="00981D9A" w:rsidRDefault="00841E93" w:rsidP="001C6D39">
            <w:pPr>
              <w:contextualSpacing/>
            </w:pPr>
            <w:r w:rsidRPr="00981D9A">
              <w:t>SI-R Acquisition</w:t>
            </w:r>
          </w:p>
        </w:tc>
        <w:tc>
          <w:tcPr>
            <w:tcW w:w="2554" w:type="dxa"/>
            <w:tcBorders>
              <w:top w:val="nil"/>
              <w:left w:val="nil"/>
              <w:bottom w:val="nil"/>
              <w:right w:val="nil"/>
            </w:tcBorders>
          </w:tcPr>
          <w:p w14:paraId="4B6B31C3" w14:textId="12AFD005" w:rsidR="00841E93" w:rsidRPr="00981D9A" w:rsidRDefault="00841E93" w:rsidP="001C6D39">
            <w:pPr>
              <w:contextualSpacing/>
            </w:pPr>
            <w:r w:rsidRPr="00981D9A">
              <w:t>0.</w:t>
            </w:r>
            <w:r w:rsidR="008C725C">
              <w:t>4</w:t>
            </w:r>
            <w:r w:rsidR="00C77AF4">
              <w:t>9</w:t>
            </w:r>
            <w:r w:rsidRPr="00981D9A">
              <w:t>***</w:t>
            </w:r>
          </w:p>
        </w:tc>
        <w:tc>
          <w:tcPr>
            <w:tcW w:w="2113" w:type="dxa"/>
            <w:tcBorders>
              <w:top w:val="nil"/>
              <w:left w:val="nil"/>
              <w:bottom w:val="nil"/>
              <w:right w:val="nil"/>
            </w:tcBorders>
          </w:tcPr>
          <w:p w14:paraId="6A60ECCA" w14:textId="7DCC1B1E" w:rsidR="00841E93" w:rsidRPr="00981D9A" w:rsidRDefault="00841E93" w:rsidP="001C6D39">
            <w:pPr>
              <w:contextualSpacing/>
            </w:pPr>
            <w:r w:rsidRPr="00981D9A">
              <w:t>0.3</w:t>
            </w:r>
            <w:r w:rsidR="00C77AF4">
              <w:t>0</w:t>
            </w:r>
            <w:r w:rsidRPr="00981D9A">
              <w:t>***</w:t>
            </w:r>
          </w:p>
        </w:tc>
        <w:tc>
          <w:tcPr>
            <w:tcW w:w="1482" w:type="dxa"/>
            <w:tcBorders>
              <w:top w:val="nil"/>
              <w:left w:val="nil"/>
              <w:bottom w:val="nil"/>
              <w:right w:val="nil"/>
            </w:tcBorders>
          </w:tcPr>
          <w:p w14:paraId="296857B1" w14:textId="1A393CCC" w:rsidR="00841E93" w:rsidRPr="00981D9A" w:rsidRDefault="008C725C" w:rsidP="001C6D39">
            <w:pPr>
              <w:contextualSpacing/>
            </w:pPr>
            <w:r>
              <w:t>0.2</w:t>
            </w:r>
            <w:r w:rsidR="00C77AF4">
              <w:t>8</w:t>
            </w:r>
            <w:r w:rsidR="00174882">
              <w:t>***</w:t>
            </w:r>
          </w:p>
        </w:tc>
        <w:tc>
          <w:tcPr>
            <w:tcW w:w="1482" w:type="dxa"/>
            <w:tcBorders>
              <w:top w:val="nil"/>
              <w:left w:val="nil"/>
              <w:bottom w:val="nil"/>
              <w:right w:val="nil"/>
            </w:tcBorders>
          </w:tcPr>
          <w:p w14:paraId="186E3D92" w14:textId="20DE0AFE" w:rsidR="00841E93" w:rsidRPr="00981D9A" w:rsidRDefault="00174882" w:rsidP="001C6D39">
            <w:pPr>
              <w:contextualSpacing/>
            </w:pPr>
            <w:r>
              <w:t>0.6</w:t>
            </w:r>
            <w:r w:rsidR="00C77AF4">
              <w:t>1</w:t>
            </w:r>
            <w:r>
              <w:t>***</w:t>
            </w:r>
          </w:p>
        </w:tc>
      </w:tr>
      <w:tr w:rsidR="00841E93" w:rsidRPr="00981D9A" w14:paraId="317A8DB8" w14:textId="583CD677" w:rsidTr="00C76E40">
        <w:tc>
          <w:tcPr>
            <w:tcW w:w="1729" w:type="dxa"/>
            <w:tcBorders>
              <w:top w:val="nil"/>
              <w:left w:val="nil"/>
              <w:bottom w:val="nil"/>
              <w:right w:val="nil"/>
            </w:tcBorders>
          </w:tcPr>
          <w:p w14:paraId="0BFC055C" w14:textId="77777777" w:rsidR="00841E93" w:rsidRPr="00981D9A" w:rsidRDefault="00841E93" w:rsidP="001C6D39">
            <w:pPr>
              <w:contextualSpacing/>
            </w:pPr>
            <w:r w:rsidRPr="00981D9A">
              <w:t>SI-R Difficulty Discarding</w:t>
            </w:r>
          </w:p>
        </w:tc>
        <w:tc>
          <w:tcPr>
            <w:tcW w:w="2554" w:type="dxa"/>
            <w:tcBorders>
              <w:top w:val="nil"/>
              <w:left w:val="nil"/>
              <w:bottom w:val="nil"/>
              <w:right w:val="nil"/>
            </w:tcBorders>
          </w:tcPr>
          <w:p w14:paraId="5E665D7B" w14:textId="3BE1B345" w:rsidR="00841E93" w:rsidRPr="00981D9A" w:rsidRDefault="00841E93" w:rsidP="001C6D39">
            <w:pPr>
              <w:contextualSpacing/>
            </w:pPr>
            <w:r w:rsidRPr="00981D9A">
              <w:t>0.</w:t>
            </w:r>
            <w:r w:rsidR="00C77AF4">
              <w:t>59</w:t>
            </w:r>
            <w:r w:rsidRPr="00981D9A">
              <w:t>***</w:t>
            </w:r>
          </w:p>
        </w:tc>
        <w:tc>
          <w:tcPr>
            <w:tcW w:w="2113" w:type="dxa"/>
            <w:tcBorders>
              <w:top w:val="nil"/>
              <w:left w:val="nil"/>
              <w:bottom w:val="nil"/>
              <w:right w:val="nil"/>
            </w:tcBorders>
          </w:tcPr>
          <w:p w14:paraId="181D2754" w14:textId="77777777" w:rsidR="00841E93" w:rsidRPr="00981D9A" w:rsidRDefault="00841E93" w:rsidP="001C6D39">
            <w:pPr>
              <w:contextualSpacing/>
            </w:pPr>
            <w:r w:rsidRPr="00981D9A">
              <w:t>0.32***</w:t>
            </w:r>
          </w:p>
        </w:tc>
        <w:tc>
          <w:tcPr>
            <w:tcW w:w="1482" w:type="dxa"/>
            <w:tcBorders>
              <w:top w:val="nil"/>
              <w:left w:val="nil"/>
              <w:bottom w:val="nil"/>
              <w:right w:val="nil"/>
            </w:tcBorders>
          </w:tcPr>
          <w:p w14:paraId="421864A9" w14:textId="13BA2389" w:rsidR="00841E93" w:rsidRPr="00981D9A" w:rsidRDefault="00174882" w:rsidP="001C6D39">
            <w:pPr>
              <w:contextualSpacing/>
            </w:pPr>
            <w:r>
              <w:t>0.61***</w:t>
            </w:r>
          </w:p>
        </w:tc>
        <w:tc>
          <w:tcPr>
            <w:tcW w:w="1482" w:type="dxa"/>
            <w:tcBorders>
              <w:top w:val="nil"/>
              <w:left w:val="nil"/>
              <w:bottom w:val="nil"/>
              <w:right w:val="nil"/>
            </w:tcBorders>
          </w:tcPr>
          <w:p w14:paraId="30FC7790" w14:textId="5CA731B0" w:rsidR="00841E93" w:rsidRPr="00981D9A" w:rsidRDefault="008C725C" w:rsidP="001C6D39">
            <w:pPr>
              <w:contextualSpacing/>
            </w:pPr>
            <w:r>
              <w:t>0.4</w:t>
            </w:r>
            <w:r w:rsidR="00C77AF4">
              <w:t>2</w:t>
            </w:r>
            <w:r w:rsidR="00174882">
              <w:t>***</w:t>
            </w:r>
          </w:p>
        </w:tc>
      </w:tr>
      <w:tr w:rsidR="00841E93" w:rsidRPr="00981D9A" w14:paraId="4475A3FC" w14:textId="60838B1B" w:rsidTr="00C76E40">
        <w:tc>
          <w:tcPr>
            <w:tcW w:w="1729" w:type="dxa"/>
            <w:tcBorders>
              <w:top w:val="nil"/>
              <w:left w:val="nil"/>
              <w:bottom w:val="nil"/>
              <w:right w:val="nil"/>
            </w:tcBorders>
          </w:tcPr>
          <w:p w14:paraId="459B9B45" w14:textId="77777777" w:rsidR="00841E93" w:rsidRPr="00981D9A" w:rsidRDefault="00841E93" w:rsidP="001C6D39">
            <w:pPr>
              <w:contextualSpacing/>
            </w:pPr>
            <w:r w:rsidRPr="00981D9A">
              <w:t>SI-R Clutter</w:t>
            </w:r>
          </w:p>
        </w:tc>
        <w:tc>
          <w:tcPr>
            <w:tcW w:w="2554" w:type="dxa"/>
            <w:tcBorders>
              <w:top w:val="nil"/>
              <w:left w:val="nil"/>
              <w:bottom w:val="nil"/>
              <w:right w:val="nil"/>
            </w:tcBorders>
          </w:tcPr>
          <w:p w14:paraId="7DA06E38" w14:textId="08613152" w:rsidR="00841E93" w:rsidRPr="00981D9A" w:rsidRDefault="00841E93" w:rsidP="001C6D39">
            <w:pPr>
              <w:contextualSpacing/>
            </w:pPr>
            <w:r w:rsidRPr="00981D9A">
              <w:t>0.</w:t>
            </w:r>
            <w:r w:rsidR="00C77AF4">
              <w:t>31</w:t>
            </w:r>
            <w:r w:rsidRPr="00981D9A">
              <w:t>***</w:t>
            </w:r>
          </w:p>
        </w:tc>
        <w:tc>
          <w:tcPr>
            <w:tcW w:w="2113" w:type="dxa"/>
            <w:tcBorders>
              <w:top w:val="nil"/>
              <w:left w:val="nil"/>
              <w:bottom w:val="nil"/>
              <w:right w:val="nil"/>
            </w:tcBorders>
          </w:tcPr>
          <w:p w14:paraId="0EB1577A" w14:textId="77777777" w:rsidR="00841E93" w:rsidRPr="00981D9A" w:rsidRDefault="00841E93" w:rsidP="001C6D39">
            <w:pPr>
              <w:contextualSpacing/>
            </w:pPr>
            <w:r w:rsidRPr="00981D9A">
              <w:t>0.26***</w:t>
            </w:r>
          </w:p>
        </w:tc>
        <w:tc>
          <w:tcPr>
            <w:tcW w:w="1482" w:type="dxa"/>
            <w:tcBorders>
              <w:top w:val="nil"/>
              <w:left w:val="nil"/>
              <w:bottom w:val="nil"/>
              <w:right w:val="nil"/>
            </w:tcBorders>
          </w:tcPr>
          <w:p w14:paraId="23AB62D8" w14:textId="63BC88D8" w:rsidR="00841E93" w:rsidRPr="00981D9A" w:rsidRDefault="008C725C" w:rsidP="001C6D39">
            <w:pPr>
              <w:contextualSpacing/>
            </w:pPr>
            <w:r>
              <w:t>0.27</w:t>
            </w:r>
            <w:r w:rsidR="00174882">
              <w:t>***</w:t>
            </w:r>
          </w:p>
        </w:tc>
        <w:tc>
          <w:tcPr>
            <w:tcW w:w="1482" w:type="dxa"/>
            <w:tcBorders>
              <w:top w:val="nil"/>
              <w:left w:val="nil"/>
              <w:bottom w:val="nil"/>
              <w:right w:val="nil"/>
            </w:tcBorders>
          </w:tcPr>
          <w:p w14:paraId="317C62B3" w14:textId="0FCD6681" w:rsidR="00841E93" w:rsidRPr="00981D9A" w:rsidRDefault="008C725C" w:rsidP="001C6D39">
            <w:pPr>
              <w:contextualSpacing/>
            </w:pPr>
            <w:r>
              <w:t>0.</w:t>
            </w:r>
            <w:r w:rsidR="00C77AF4">
              <w:t>28</w:t>
            </w:r>
            <w:r w:rsidR="00174882">
              <w:t>***</w:t>
            </w:r>
          </w:p>
        </w:tc>
      </w:tr>
      <w:tr w:rsidR="00841E93" w:rsidRPr="00981D9A" w14:paraId="4217700F" w14:textId="0BE34958" w:rsidTr="00C76E40">
        <w:trPr>
          <w:trHeight w:val="333"/>
        </w:trPr>
        <w:tc>
          <w:tcPr>
            <w:tcW w:w="1729" w:type="dxa"/>
            <w:tcBorders>
              <w:top w:val="nil"/>
              <w:left w:val="nil"/>
              <w:bottom w:val="nil"/>
              <w:right w:val="nil"/>
            </w:tcBorders>
          </w:tcPr>
          <w:p w14:paraId="7020CB04" w14:textId="77777777" w:rsidR="00841E93" w:rsidRPr="00981D9A" w:rsidRDefault="00841E93" w:rsidP="001C6D39">
            <w:pPr>
              <w:contextualSpacing/>
            </w:pPr>
            <w:r w:rsidRPr="00981D9A">
              <w:t>AAQ-II</w:t>
            </w:r>
          </w:p>
        </w:tc>
        <w:tc>
          <w:tcPr>
            <w:tcW w:w="2554" w:type="dxa"/>
            <w:tcBorders>
              <w:top w:val="nil"/>
              <w:left w:val="nil"/>
              <w:bottom w:val="nil"/>
              <w:right w:val="nil"/>
            </w:tcBorders>
          </w:tcPr>
          <w:p w14:paraId="35195BCE" w14:textId="5E7FADC4" w:rsidR="00841E93" w:rsidRPr="00981D9A" w:rsidRDefault="00841E93" w:rsidP="001C6D39">
            <w:pPr>
              <w:contextualSpacing/>
            </w:pPr>
            <w:r w:rsidRPr="00981D9A">
              <w:t>0.</w:t>
            </w:r>
            <w:r w:rsidR="00C77AF4">
              <w:t>49</w:t>
            </w:r>
            <w:r w:rsidRPr="00981D9A">
              <w:t>***</w:t>
            </w:r>
          </w:p>
        </w:tc>
        <w:tc>
          <w:tcPr>
            <w:tcW w:w="2113" w:type="dxa"/>
            <w:tcBorders>
              <w:top w:val="nil"/>
              <w:left w:val="nil"/>
              <w:bottom w:val="nil"/>
              <w:right w:val="nil"/>
            </w:tcBorders>
          </w:tcPr>
          <w:p w14:paraId="28E3B159" w14:textId="77777777" w:rsidR="00841E93" w:rsidRPr="00981D9A" w:rsidRDefault="00841E93" w:rsidP="001C6D39">
            <w:pPr>
              <w:contextualSpacing/>
            </w:pPr>
            <w:r>
              <w:t>-</w:t>
            </w:r>
          </w:p>
        </w:tc>
        <w:tc>
          <w:tcPr>
            <w:tcW w:w="1482" w:type="dxa"/>
            <w:tcBorders>
              <w:top w:val="nil"/>
              <w:left w:val="nil"/>
              <w:bottom w:val="nil"/>
              <w:right w:val="nil"/>
            </w:tcBorders>
          </w:tcPr>
          <w:p w14:paraId="554A6EB1" w14:textId="633A2273" w:rsidR="00841E93" w:rsidRDefault="00B92257" w:rsidP="001C6D39">
            <w:pPr>
              <w:contextualSpacing/>
            </w:pPr>
            <w:r>
              <w:t>0.4</w:t>
            </w:r>
            <w:r w:rsidR="00C77AF4">
              <w:t>3</w:t>
            </w:r>
            <w:r>
              <w:t>***</w:t>
            </w:r>
          </w:p>
        </w:tc>
        <w:tc>
          <w:tcPr>
            <w:tcW w:w="1482" w:type="dxa"/>
            <w:tcBorders>
              <w:top w:val="nil"/>
              <w:left w:val="nil"/>
              <w:bottom w:val="nil"/>
              <w:right w:val="nil"/>
            </w:tcBorders>
          </w:tcPr>
          <w:p w14:paraId="2981600E" w14:textId="21306C91" w:rsidR="00841E93" w:rsidRDefault="008C725C" w:rsidP="001C6D39">
            <w:pPr>
              <w:contextualSpacing/>
            </w:pPr>
            <w:r>
              <w:t>0.</w:t>
            </w:r>
            <w:r w:rsidR="00C77AF4">
              <w:t>43</w:t>
            </w:r>
            <w:r w:rsidR="00174882">
              <w:t>***</w:t>
            </w:r>
          </w:p>
        </w:tc>
      </w:tr>
      <w:tr w:rsidR="00841E93" w:rsidRPr="00981D9A" w14:paraId="5C6AFA1E" w14:textId="634EBD92" w:rsidTr="00C76E40">
        <w:tc>
          <w:tcPr>
            <w:tcW w:w="1729" w:type="dxa"/>
            <w:tcBorders>
              <w:top w:val="nil"/>
              <w:left w:val="nil"/>
              <w:bottom w:val="nil"/>
              <w:right w:val="nil"/>
            </w:tcBorders>
          </w:tcPr>
          <w:p w14:paraId="1832C94A" w14:textId="77777777" w:rsidR="00841E93" w:rsidRPr="00981D9A" w:rsidRDefault="00841E93" w:rsidP="001C6D39">
            <w:pPr>
              <w:contextualSpacing/>
            </w:pPr>
            <w:r w:rsidRPr="00981D9A">
              <w:t>PHLMS Acceptance</w:t>
            </w:r>
          </w:p>
        </w:tc>
        <w:tc>
          <w:tcPr>
            <w:tcW w:w="2554" w:type="dxa"/>
            <w:tcBorders>
              <w:top w:val="nil"/>
              <w:left w:val="nil"/>
              <w:bottom w:val="nil"/>
              <w:right w:val="nil"/>
            </w:tcBorders>
          </w:tcPr>
          <w:p w14:paraId="6F60ED8D" w14:textId="59C1CA38" w:rsidR="00841E93" w:rsidRPr="00981D9A" w:rsidRDefault="00841E93" w:rsidP="001C6D39">
            <w:pPr>
              <w:contextualSpacing/>
            </w:pPr>
            <w:r w:rsidRPr="00981D9A">
              <w:t>-0.4</w:t>
            </w:r>
            <w:r w:rsidR="00C77AF4">
              <w:t>1</w:t>
            </w:r>
            <w:r w:rsidRPr="00981D9A">
              <w:t>***</w:t>
            </w:r>
          </w:p>
        </w:tc>
        <w:tc>
          <w:tcPr>
            <w:tcW w:w="2113" w:type="dxa"/>
            <w:tcBorders>
              <w:top w:val="nil"/>
              <w:left w:val="nil"/>
              <w:bottom w:val="nil"/>
              <w:right w:val="nil"/>
            </w:tcBorders>
          </w:tcPr>
          <w:p w14:paraId="748639F9" w14:textId="77777777" w:rsidR="00841E93" w:rsidRPr="00981D9A" w:rsidRDefault="00841E93" w:rsidP="001C6D39">
            <w:pPr>
              <w:contextualSpacing/>
            </w:pPr>
            <w:r w:rsidRPr="00981D9A">
              <w:t>-0.66***</w:t>
            </w:r>
          </w:p>
        </w:tc>
        <w:tc>
          <w:tcPr>
            <w:tcW w:w="1482" w:type="dxa"/>
            <w:tcBorders>
              <w:top w:val="nil"/>
              <w:left w:val="nil"/>
              <w:bottom w:val="nil"/>
              <w:right w:val="nil"/>
            </w:tcBorders>
          </w:tcPr>
          <w:p w14:paraId="503A7E33" w14:textId="7A77B47C" w:rsidR="00841E93" w:rsidRPr="00981D9A" w:rsidRDefault="008C725C" w:rsidP="001C6D39">
            <w:pPr>
              <w:contextualSpacing/>
            </w:pPr>
            <w:r>
              <w:t>-0.3</w:t>
            </w:r>
            <w:r w:rsidR="00C77AF4">
              <w:t>8</w:t>
            </w:r>
            <w:r w:rsidR="00B92257">
              <w:t>***</w:t>
            </w:r>
          </w:p>
        </w:tc>
        <w:tc>
          <w:tcPr>
            <w:tcW w:w="1482" w:type="dxa"/>
            <w:tcBorders>
              <w:top w:val="nil"/>
              <w:left w:val="nil"/>
              <w:bottom w:val="nil"/>
              <w:right w:val="nil"/>
            </w:tcBorders>
          </w:tcPr>
          <w:p w14:paraId="5ECB64A0" w14:textId="5D53F9B3" w:rsidR="00841E93" w:rsidRPr="00981D9A" w:rsidRDefault="008C725C" w:rsidP="001C6D39">
            <w:pPr>
              <w:contextualSpacing/>
            </w:pPr>
            <w:r>
              <w:t>-0.3</w:t>
            </w:r>
            <w:r w:rsidR="00C77AF4">
              <w:t>4</w:t>
            </w:r>
            <w:r w:rsidR="00174882">
              <w:t>***</w:t>
            </w:r>
          </w:p>
        </w:tc>
      </w:tr>
      <w:tr w:rsidR="00841E93" w:rsidRPr="00981D9A" w14:paraId="0B25AE0D" w14:textId="3BE03F1E" w:rsidTr="00C76E40">
        <w:trPr>
          <w:trHeight w:val="386"/>
        </w:trPr>
        <w:tc>
          <w:tcPr>
            <w:tcW w:w="1729" w:type="dxa"/>
            <w:tcBorders>
              <w:top w:val="nil"/>
              <w:left w:val="nil"/>
              <w:bottom w:val="nil"/>
              <w:right w:val="nil"/>
            </w:tcBorders>
          </w:tcPr>
          <w:p w14:paraId="0F0A4A10" w14:textId="77777777" w:rsidR="00841E93" w:rsidRPr="00981D9A" w:rsidRDefault="00841E93" w:rsidP="001C6D39">
            <w:pPr>
              <w:contextualSpacing/>
            </w:pPr>
            <w:r w:rsidRPr="00981D9A">
              <w:t>CFQ</w:t>
            </w:r>
          </w:p>
        </w:tc>
        <w:tc>
          <w:tcPr>
            <w:tcW w:w="2554" w:type="dxa"/>
            <w:tcBorders>
              <w:top w:val="nil"/>
              <w:left w:val="nil"/>
              <w:bottom w:val="nil"/>
              <w:right w:val="nil"/>
            </w:tcBorders>
          </w:tcPr>
          <w:p w14:paraId="18C7F047" w14:textId="6830DB56" w:rsidR="00841E93" w:rsidRPr="00981D9A" w:rsidRDefault="00841E93" w:rsidP="001C6D39">
            <w:pPr>
              <w:contextualSpacing/>
            </w:pPr>
            <w:r w:rsidRPr="00981D9A">
              <w:t>0.</w:t>
            </w:r>
            <w:r w:rsidR="00C77AF4">
              <w:t>39</w:t>
            </w:r>
            <w:r w:rsidRPr="00981D9A">
              <w:t>***</w:t>
            </w:r>
          </w:p>
        </w:tc>
        <w:tc>
          <w:tcPr>
            <w:tcW w:w="2113" w:type="dxa"/>
            <w:tcBorders>
              <w:top w:val="nil"/>
              <w:left w:val="nil"/>
              <w:bottom w:val="nil"/>
              <w:right w:val="nil"/>
            </w:tcBorders>
          </w:tcPr>
          <w:p w14:paraId="49598A91" w14:textId="77777777" w:rsidR="00841E93" w:rsidRPr="00981D9A" w:rsidRDefault="00841E93" w:rsidP="001C6D39">
            <w:pPr>
              <w:contextualSpacing/>
            </w:pPr>
            <w:r w:rsidRPr="00981D9A">
              <w:t>0.75***</w:t>
            </w:r>
          </w:p>
        </w:tc>
        <w:tc>
          <w:tcPr>
            <w:tcW w:w="1482" w:type="dxa"/>
            <w:tcBorders>
              <w:top w:val="nil"/>
              <w:left w:val="nil"/>
              <w:bottom w:val="nil"/>
              <w:right w:val="nil"/>
            </w:tcBorders>
          </w:tcPr>
          <w:p w14:paraId="2E3BB8E7" w14:textId="355B64F5" w:rsidR="00841E93" w:rsidRPr="00981D9A" w:rsidRDefault="008C725C" w:rsidP="001C6D39">
            <w:pPr>
              <w:contextualSpacing/>
            </w:pPr>
            <w:r>
              <w:t>0.3</w:t>
            </w:r>
            <w:r w:rsidR="00C77AF4">
              <w:t>6</w:t>
            </w:r>
            <w:r w:rsidR="00B92257">
              <w:t>***</w:t>
            </w:r>
          </w:p>
        </w:tc>
        <w:tc>
          <w:tcPr>
            <w:tcW w:w="1482" w:type="dxa"/>
            <w:tcBorders>
              <w:top w:val="nil"/>
              <w:left w:val="nil"/>
              <w:bottom w:val="nil"/>
              <w:right w:val="nil"/>
            </w:tcBorders>
          </w:tcPr>
          <w:p w14:paraId="24E23871" w14:textId="0E3CE85E" w:rsidR="00841E93" w:rsidRPr="00981D9A" w:rsidRDefault="00174882" w:rsidP="001C6D39">
            <w:pPr>
              <w:contextualSpacing/>
            </w:pPr>
            <w:r>
              <w:t>0.3</w:t>
            </w:r>
            <w:r w:rsidR="00C77AF4">
              <w:t>3</w:t>
            </w:r>
            <w:r>
              <w:t>***</w:t>
            </w:r>
          </w:p>
        </w:tc>
      </w:tr>
      <w:tr w:rsidR="00841E93" w:rsidRPr="00981D9A" w14:paraId="6C0E5BC4" w14:textId="159C1906" w:rsidTr="00C76E40">
        <w:trPr>
          <w:trHeight w:val="305"/>
        </w:trPr>
        <w:tc>
          <w:tcPr>
            <w:tcW w:w="1729" w:type="dxa"/>
            <w:tcBorders>
              <w:top w:val="nil"/>
              <w:left w:val="nil"/>
              <w:bottom w:val="nil"/>
              <w:right w:val="nil"/>
            </w:tcBorders>
          </w:tcPr>
          <w:p w14:paraId="3F92E63D" w14:textId="77777777" w:rsidR="00841E93" w:rsidRPr="00981D9A" w:rsidRDefault="00841E93" w:rsidP="001C6D39">
            <w:pPr>
              <w:contextualSpacing/>
            </w:pPr>
            <w:r w:rsidRPr="00981D9A">
              <w:t>MAAS</w:t>
            </w:r>
          </w:p>
        </w:tc>
        <w:tc>
          <w:tcPr>
            <w:tcW w:w="2554" w:type="dxa"/>
            <w:tcBorders>
              <w:top w:val="nil"/>
              <w:left w:val="nil"/>
              <w:bottom w:val="nil"/>
              <w:right w:val="nil"/>
            </w:tcBorders>
          </w:tcPr>
          <w:p w14:paraId="019790E0" w14:textId="2CAD2355" w:rsidR="00841E93" w:rsidRPr="00981D9A" w:rsidRDefault="00841E93" w:rsidP="001C6D39">
            <w:pPr>
              <w:contextualSpacing/>
            </w:pPr>
            <w:r w:rsidRPr="00981D9A">
              <w:t>-0.</w:t>
            </w:r>
            <w:r w:rsidR="00C77AF4">
              <w:t>34</w:t>
            </w:r>
            <w:r w:rsidRPr="00981D9A">
              <w:t>***</w:t>
            </w:r>
          </w:p>
        </w:tc>
        <w:tc>
          <w:tcPr>
            <w:tcW w:w="2113" w:type="dxa"/>
            <w:tcBorders>
              <w:top w:val="nil"/>
              <w:left w:val="nil"/>
              <w:bottom w:val="nil"/>
              <w:right w:val="nil"/>
            </w:tcBorders>
          </w:tcPr>
          <w:p w14:paraId="2E9D8544" w14:textId="77777777" w:rsidR="00841E93" w:rsidRPr="00981D9A" w:rsidRDefault="00841E93" w:rsidP="001C6D39">
            <w:pPr>
              <w:contextualSpacing/>
            </w:pPr>
            <w:r w:rsidRPr="00981D9A">
              <w:t>-0.38***</w:t>
            </w:r>
          </w:p>
        </w:tc>
        <w:tc>
          <w:tcPr>
            <w:tcW w:w="1482" w:type="dxa"/>
            <w:tcBorders>
              <w:top w:val="nil"/>
              <w:left w:val="nil"/>
              <w:bottom w:val="nil"/>
              <w:right w:val="nil"/>
            </w:tcBorders>
          </w:tcPr>
          <w:p w14:paraId="32B6982F" w14:textId="09312D5A" w:rsidR="00841E93" w:rsidRPr="00981D9A" w:rsidRDefault="008C725C" w:rsidP="001C6D39">
            <w:pPr>
              <w:contextualSpacing/>
            </w:pPr>
            <w:r>
              <w:t>-0.2</w:t>
            </w:r>
            <w:r w:rsidR="00C77AF4">
              <w:t>7</w:t>
            </w:r>
            <w:r w:rsidR="00B92257">
              <w:t>***</w:t>
            </w:r>
          </w:p>
        </w:tc>
        <w:tc>
          <w:tcPr>
            <w:tcW w:w="1482" w:type="dxa"/>
            <w:tcBorders>
              <w:top w:val="nil"/>
              <w:left w:val="nil"/>
              <w:bottom w:val="nil"/>
              <w:right w:val="nil"/>
            </w:tcBorders>
          </w:tcPr>
          <w:p w14:paraId="2078CA15" w14:textId="3EA59563" w:rsidR="00841E93" w:rsidRPr="00981D9A" w:rsidRDefault="008C725C" w:rsidP="001C6D39">
            <w:pPr>
              <w:contextualSpacing/>
            </w:pPr>
            <w:r>
              <w:t>-0.3</w:t>
            </w:r>
            <w:r w:rsidR="00C77AF4">
              <w:t>4</w:t>
            </w:r>
            <w:r w:rsidR="00174882">
              <w:t>***</w:t>
            </w:r>
          </w:p>
        </w:tc>
      </w:tr>
      <w:tr w:rsidR="00841E93" w:rsidRPr="00981D9A" w14:paraId="5153141E" w14:textId="54ED455E" w:rsidTr="00C76E40">
        <w:tc>
          <w:tcPr>
            <w:tcW w:w="1729" w:type="dxa"/>
            <w:tcBorders>
              <w:top w:val="nil"/>
              <w:left w:val="nil"/>
              <w:bottom w:val="nil"/>
              <w:right w:val="nil"/>
            </w:tcBorders>
          </w:tcPr>
          <w:p w14:paraId="7DE36047" w14:textId="77777777" w:rsidR="00841E93" w:rsidRPr="00981D9A" w:rsidRDefault="00841E93" w:rsidP="001C6D39">
            <w:pPr>
              <w:contextualSpacing/>
            </w:pPr>
            <w:r w:rsidRPr="00981D9A">
              <w:t>VQ Progress</w:t>
            </w:r>
          </w:p>
        </w:tc>
        <w:tc>
          <w:tcPr>
            <w:tcW w:w="2554" w:type="dxa"/>
            <w:tcBorders>
              <w:top w:val="nil"/>
              <w:left w:val="nil"/>
              <w:bottom w:val="nil"/>
              <w:right w:val="nil"/>
            </w:tcBorders>
          </w:tcPr>
          <w:p w14:paraId="16F185F2" w14:textId="58E78321" w:rsidR="00841E93" w:rsidRPr="00981D9A" w:rsidRDefault="00841E93" w:rsidP="001C6D39">
            <w:pPr>
              <w:contextualSpacing/>
            </w:pPr>
            <w:r w:rsidRPr="00981D9A">
              <w:t>-0.0</w:t>
            </w:r>
            <w:r w:rsidR="00B92257">
              <w:t>7</w:t>
            </w:r>
          </w:p>
        </w:tc>
        <w:tc>
          <w:tcPr>
            <w:tcW w:w="2113" w:type="dxa"/>
            <w:tcBorders>
              <w:top w:val="nil"/>
              <w:left w:val="nil"/>
              <w:bottom w:val="nil"/>
              <w:right w:val="nil"/>
            </w:tcBorders>
          </w:tcPr>
          <w:p w14:paraId="4AAC5C05" w14:textId="77777777" w:rsidR="00841E93" w:rsidRPr="00981D9A" w:rsidRDefault="00841E93" w:rsidP="001C6D39">
            <w:pPr>
              <w:contextualSpacing/>
            </w:pPr>
            <w:r w:rsidRPr="00981D9A">
              <w:t>-0.24**</w:t>
            </w:r>
          </w:p>
        </w:tc>
        <w:tc>
          <w:tcPr>
            <w:tcW w:w="1482" w:type="dxa"/>
            <w:tcBorders>
              <w:top w:val="nil"/>
              <w:left w:val="nil"/>
              <w:bottom w:val="nil"/>
              <w:right w:val="nil"/>
            </w:tcBorders>
          </w:tcPr>
          <w:p w14:paraId="6BF6D8C4" w14:textId="45053217" w:rsidR="00841E93" w:rsidRPr="00981D9A" w:rsidRDefault="00B92257" w:rsidP="001C6D39">
            <w:pPr>
              <w:contextualSpacing/>
            </w:pPr>
            <w:r>
              <w:t>-0.0</w:t>
            </w:r>
            <w:r w:rsidR="008C725C">
              <w:t>5</w:t>
            </w:r>
          </w:p>
        </w:tc>
        <w:tc>
          <w:tcPr>
            <w:tcW w:w="1482" w:type="dxa"/>
            <w:tcBorders>
              <w:top w:val="nil"/>
              <w:left w:val="nil"/>
              <w:bottom w:val="nil"/>
              <w:right w:val="nil"/>
            </w:tcBorders>
          </w:tcPr>
          <w:p w14:paraId="2D8B1AC4" w14:textId="6F2D9F0C" w:rsidR="00841E93" w:rsidRPr="00981D9A" w:rsidRDefault="00174882" w:rsidP="001C6D39">
            <w:pPr>
              <w:contextualSpacing/>
            </w:pPr>
            <w:r>
              <w:t>-0.08</w:t>
            </w:r>
          </w:p>
        </w:tc>
      </w:tr>
      <w:tr w:rsidR="00841E93" w:rsidRPr="00981D9A" w14:paraId="34AAA2D0" w14:textId="4C8E8F18" w:rsidTr="00C76E40">
        <w:tc>
          <w:tcPr>
            <w:tcW w:w="1729" w:type="dxa"/>
            <w:tcBorders>
              <w:top w:val="nil"/>
              <w:left w:val="nil"/>
              <w:bottom w:val="nil"/>
              <w:right w:val="nil"/>
            </w:tcBorders>
          </w:tcPr>
          <w:p w14:paraId="7B3796BD" w14:textId="77777777" w:rsidR="00841E93" w:rsidRPr="00981D9A" w:rsidRDefault="00841E93" w:rsidP="001C6D39">
            <w:pPr>
              <w:contextualSpacing/>
            </w:pPr>
            <w:r w:rsidRPr="00981D9A">
              <w:t>VQ Obstruction</w:t>
            </w:r>
          </w:p>
        </w:tc>
        <w:tc>
          <w:tcPr>
            <w:tcW w:w="2554" w:type="dxa"/>
            <w:tcBorders>
              <w:top w:val="nil"/>
              <w:left w:val="nil"/>
              <w:bottom w:val="nil"/>
              <w:right w:val="nil"/>
            </w:tcBorders>
          </w:tcPr>
          <w:p w14:paraId="1E9EDAAE" w14:textId="7160B993" w:rsidR="00841E93" w:rsidRPr="00981D9A" w:rsidRDefault="00841E93" w:rsidP="001C6D39">
            <w:pPr>
              <w:contextualSpacing/>
            </w:pPr>
            <w:r w:rsidRPr="00981D9A">
              <w:t>0.3</w:t>
            </w:r>
            <w:r w:rsidR="00C77AF4">
              <w:t>5</w:t>
            </w:r>
            <w:r w:rsidRPr="00981D9A">
              <w:t>***</w:t>
            </w:r>
          </w:p>
        </w:tc>
        <w:tc>
          <w:tcPr>
            <w:tcW w:w="2113" w:type="dxa"/>
            <w:tcBorders>
              <w:top w:val="nil"/>
              <w:left w:val="nil"/>
              <w:bottom w:val="nil"/>
              <w:right w:val="nil"/>
            </w:tcBorders>
          </w:tcPr>
          <w:p w14:paraId="4F380F2A" w14:textId="77777777" w:rsidR="00841E93" w:rsidRPr="00981D9A" w:rsidRDefault="00841E93" w:rsidP="001C6D39">
            <w:pPr>
              <w:contextualSpacing/>
            </w:pPr>
            <w:r w:rsidRPr="00981D9A">
              <w:t>0.57***</w:t>
            </w:r>
          </w:p>
        </w:tc>
        <w:tc>
          <w:tcPr>
            <w:tcW w:w="1482" w:type="dxa"/>
            <w:tcBorders>
              <w:top w:val="nil"/>
              <w:left w:val="nil"/>
              <w:bottom w:val="nil"/>
              <w:right w:val="nil"/>
            </w:tcBorders>
          </w:tcPr>
          <w:p w14:paraId="6A3F2C6D" w14:textId="26BC289A" w:rsidR="00841E93" w:rsidRPr="00981D9A" w:rsidRDefault="008C725C" w:rsidP="001C6D39">
            <w:pPr>
              <w:contextualSpacing/>
            </w:pPr>
            <w:r>
              <w:t>0.2</w:t>
            </w:r>
            <w:r w:rsidR="00C77AF4">
              <w:t>5</w:t>
            </w:r>
            <w:r w:rsidR="006C0073">
              <w:t>**</w:t>
            </w:r>
          </w:p>
        </w:tc>
        <w:tc>
          <w:tcPr>
            <w:tcW w:w="1482" w:type="dxa"/>
            <w:tcBorders>
              <w:top w:val="nil"/>
              <w:left w:val="nil"/>
              <w:bottom w:val="nil"/>
              <w:right w:val="nil"/>
            </w:tcBorders>
          </w:tcPr>
          <w:p w14:paraId="141466E9" w14:textId="739320C3" w:rsidR="00841E93" w:rsidRPr="00981D9A" w:rsidRDefault="008C725C" w:rsidP="001C6D39">
            <w:pPr>
              <w:contextualSpacing/>
            </w:pPr>
            <w:r>
              <w:t>0.</w:t>
            </w:r>
            <w:r w:rsidR="00C77AF4">
              <w:t>37</w:t>
            </w:r>
            <w:r w:rsidR="00174882">
              <w:t>***</w:t>
            </w:r>
          </w:p>
        </w:tc>
      </w:tr>
      <w:tr w:rsidR="00841E93" w:rsidRPr="00981D9A" w14:paraId="5E44D7DF" w14:textId="6DBCAE4A" w:rsidTr="00C76E40">
        <w:tc>
          <w:tcPr>
            <w:tcW w:w="1729" w:type="dxa"/>
            <w:tcBorders>
              <w:top w:val="nil"/>
              <w:left w:val="nil"/>
              <w:bottom w:val="nil"/>
              <w:right w:val="nil"/>
            </w:tcBorders>
          </w:tcPr>
          <w:p w14:paraId="1134D643" w14:textId="77777777" w:rsidR="00841E93" w:rsidRPr="00981D9A" w:rsidRDefault="00841E93" w:rsidP="001C6D39">
            <w:pPr>
              <w:contextualSpacing/>
            </w:pPr>
            <w:r w:rsidRPr="00981D9A">
              <w:t>DASS Total</w:t>
            </w:r>
          </w:p>
        </w:tc>
        <w:tc>
          <w:tcPr>
            <w:tcW w:w="2554" w:type="dxa"/>
            <w:tcBorders>
              <w:top w:val="nil"/>
              <w:left w:val="nil"/>
              <w:bottom w:val="nil"/>
              <w:right w:val="nil"/>
            </w:tcBorders>
          </w:tcPr>
          <w:p w14:paraId="330C93DE" w14:textId="6E5CDC7D" w:rsidR="00841E93" w:rsidRPr="00981D9A" w:rsidRDefault="00841E93" w:rsidP="001C6D39">
            <w:pPr>
              <w:contextualSpacing/>
            </w:pPr>
            <w:r w:rsidRPr="00981D9A">
              <w:t>0.</w:t>
            </w:r>
            <w:r w:rsidR="008C725C">
              <w:t>2</w:t>
            </w:r>
            <w:r w:rsidR="00C77AF4">
              <w:t>6</w:t>
            </w:r>
            <w:r w:rsidRPr="00981D9A">
              <w:t>***</w:t>
            </w:r>
          </w:p>
        </w:tc>
        <w:tc>
          <w:tcPr>
            <w:tcW w:w="2113" w:type="dxa"/>
            <w:tcBorders>
              <w:top w:val="nil"/>
              <w:left w:val="nil"/>
              <w:bottom w:val="nil"/>
              <w:right w:val="nil"/>
            </w:tcBorders>
          </w:tcPr>
          <w:p w14:paraId="04918917" w14:textId="77777777" w:rsidR="00841E93" w:rsidRPr="00981D9A" w:rsidRDefault="00841E93" w:rsidP="001C6D39">
            <w:pPr>
              <w:contextualSpacing/>
            </w:pPr>
            <w:r w:rsidRPr="00981D9A">
              <w:t>0.57***</w:t>
            </w:r>
          </w:p>
        </w:tc>
        <w:tc>
          <w:tcPr>
            <w:tcW w:w="1482" w:type="dxa"/>
            <w:tcBorders>
              <w:top w:val="nil"/>
              <w:left w:val="nil"/>
              <w:bottom w:val="nil"/>
              <w:right w:val="nil"/>
            </w:tcBorders>
          </w:tcPr>
          <w:p w14:paraId="326478B3" w14:textId="7B8386CA" w:rsidR="00841E93" w:rsidRPr="00981D9A" w:rsidRDefault="008C725C" w:rsidP="001C6D39">
            <w:pPr>
              <w:contextualSpacing/>
            </w:pPr>
            <w:r>
              <w:t>0.1</w:t>
            </w:r>
            <w:r w:rsidR="00C77AF4">
              <w:t>6</w:t>
            </w:r>
            <w:r w:rsidR="00174882">
              <w:t>*</w:t>
            </w:r>
          </w:p>
        </w:tc>
        <w:tc>
          <w:tcPr>
            <w:tcW w:w="1482" w:type="dxa"/>
            <w:tcBorders>
              <w:top w:val="nil"/>
              <w:left w:val="nil"/>
              <w:bottom w:val="nil"/>
              <w:right w:val="nil"/>
            </w:tcBorders>
          </w:tcPr>
          <w:p w14:paraId="7A774F2E" w14:textId="7FD6FC6C" w:rsidR="00841E93" w:rsidRPr="00981D9A" w:rsidRDefault="00174882" w:rsidP="001C6D39">
            <w:pPr>
              <w:contextualSpacing/>
            </w:pPr>
            <w:r>
              <w:t>0.3</w:t>
            </w:r>
            <w:r w:rsidR="00C77AF4">
              <w:t>0</w:t>
            </w:r>
            <w:r>
              <w:t>***</w:t>
            </w:r>
          </w:p>
        </w:tc>
      </w:tr>
      <w:tr w:rsidR="00841E93" w:rsidRPr="00981D9A" w14:paraId="013EE13E" w14:textId="4E25931E" w:rsidTr="00C76E40">
        <w:tc>
          <w:tcPr>
            <w:tcW w:w="1729" w:type="dxa"/>
            <w:tcBorders>
              <w:top w:val="nil"/>
              <w:left w:val="nil"/>
              <w:bottom w:val="nil"/>
              <w:right w:val="nil"/>
            </w:tcBorders>
          </w:tcPr>
          <w:p w14:paraId="121A7FC6" w14:textId="77777777" w:rsidR="00841E93" w:rsidRPr="00981D9A" w:rsidRDefault="00841E93" w:rsidP="001C6D39">
            <w:pPr>
              <w:contextualSpacing/>
            </w:pPr>
            <w:r w:rsidRPr="00981D9A">
              <w:t>DASS Depression</w:t>
            </w:r>
          </w:p>
        </w:tc>
        <w:tc>
          <w:tcPr>
            <w:tcW w:w="2554" w:type="dxa"/>
            <w:tcBorders>
              <w:top w:val="nil"/>
              <w:left w:val="nil"/>
              <w:bottom w:val="nil"/>
              <w:right w:val="nil"/>
            </w:tcBorders>
          </w:tcPr>
          <w:p w14:paraId="1DA488C7" w14:textId="66D13AB0" w:rsidR="00841E93" w:rsidRPr="00981D9A" w:rsidRDefault="00841E93" w:rsidP="001C6D39">
            <w:pPr>
              <w:contextualSpacing/>
            </w:pPr>
            <w:r w:rsidRPr="00981D9A">
              <w:t>0.1</w:t>
            </w:r>
            <w:r w:rsidR="00C77AF4">
              <w:t>3</w:t>
            </w:r>
          </w:p>
        </w:tc>
        <w:tc>
          <w:tcPr>
            <w:tcW w:w="2113" w:type="dxa"/>
            <w:tcBorders>
              <w:top w:val="nil"/>
              <w:left w:val="nil"/>
              <w:bottom w:val="nil"/>
              <w:right w:val="nil"/>
            </w:tcBorders>
          </w:tcPr>
          <w:p w14:paraId="4C1FF676" w14:textId="77777777" w:rsidR="00841E93" w:rsidRPr="00981D9A" w:rsidRDefault="00841E93" w:rsidP="001C6D39">
            <w:pPr>
              <w:contextualSpacing/>
            </w:pPr>
            <w:r w:rsidRPr="00981D9A">
              <w:t>0.53***</w:t>
            </w:r>
          </w:p>
        </w:tc>
        <w:tc>
          <w:tcPr>
            <w:tcW w:w="1482" w:type="dxa"/>
            <w:tcBorders>
              <w:top w:val="nil"/>
              <w:left w:val="nil"/>
              <w:bottom w:val="nil"/>
              <w:right w:val="nil"/>
            </w:tcBorders>
          </w:tcPr>
          <w:p w14:paraId="1D723A2C" w14:textId="03C56F4C" w:rsidR="00841E93" w:rsidRPr="00981D9A" w:rsidRDefault="00174882" w:rsidP="001C6D39">
            <w:pPr>
              <w:contextualSpacing/>
            </w:pPr>
            <w:r>
              <w:t>0.0</w:t>
            </w:r>
            <w:r w:rsidR="00C77AF4">
              <w:t>5</w:t>
            </w:r>
          </w:p>
        </w:tc>
        <w:tc>
          <w:tcPr>
            <w:tcW w:w="1482" w:type="dxa"/>
            <w:tcBorders>
              <w:top w:val="nil"/>
              <w:left w:val="nil"/>
              <w:bottom w:val="nil"/>
              <w:right w:val="nil"/>
            </w:tcBorders>
          </w:tcPr>
          <w:p w14:paraId="1289C609" w14:textId="0F88074C" w:rsidR="00841E93" w:rsidRPr="00981D9A" w:rsidRDefault="008C725C" w:rsidP="001C6D39">
            <w:pPr>
              <w:contextualSpacing/>
            </w:pPr>
            <w:r>
              <w:t>0.</w:t>
            </w:r>
            <w:r w:rsidR="004A45AC">
              <w:t>19</w:t>
            </w:r>
            <w:r w:rsidR="00174882">
              <w:t>**</w:t>
            </w:r>
          </w:p>
        </w:tc>
      </w:tr>
      <w:tr w:rsidR="00841E93" w:rsidRPr="00981D9A" w14:paraId="3A7BDDBF" w14:textId="4A7EFC78" w:rsidTr="00C76E40">
        <w:tc>
          <w:tcPr>
            <w:tcW w:w="1729" w:type="dxa"/>
            <w:tcBorders>
              <w:top w:val="nil"/>
              <w:left w:val="nil"/>
              <w:bottom w:val="nil"/>
              <w:right w:val="nil"/>
            </w:tcBorders>
          </w:tcPr>
          <w:p w14:paraId="6453A8DD" w14:textId="77777777" w:rsidR="00841E93" w:rsidRPr="00981D9A" w:rsidRDefault="00841E93" w:rsidP="001C6D39">
            <w:pPr>
              <w:contextualSpacing/>
            </w:pPr>
            <w:r w:rsidRPr="00981D9A">
              <w:t>DASS Anxiety</w:t>
            </w:r>
          </w:p>
        </w:tc>
        <w:tc>
          <w:tcPr>
            <w:tcW w:w="2554" w:type="dxa"/>
            <w:tcBorders>
              <w:top w:val="nil"/>
              <w:left w:val="nil"/>
              <w:bottom w:val="nil"/>
              <w:right w:val="nil"/>
            </w:tcBorders>
          </w:tcPr>
          <w:p w14:paraId="78821FF7" w14:textId="708CAE98" w:rsidR="00841E93" w:rsidRPr="00981D9A" w:rsidRDefault="00841E93" w:rsidP="001C6D39">
            <w:pPr>
              <w:contextualSpacing/>
            </w:pPr>
            <w:r w:rsidRPr="00981D9A">
              <w:t>0.2</w:t>
            </w:r>
            <w:r w:rsidR="00C77AF4">
              <w:t>3</w:t>
            </w:r>
            <w:r w:rsidRPr="00981D9A">
              <w:t>***</w:t>
            </w:r>
          </w:p>
        </w:tc>
        <w:tc>
          <w:tcPr>
            <w:tcW w:w="2113" w:type="dxa"/>
            <w:tcBorders>
              <w:top w:val="nil"/>
              <w:left w:val="nil"/>
              <w:bottom w:val="nil"/>
              <w:right w:val="nil"/>
            </w:tcBorders>
          </w:tcPr>
          <w:p w14:paraId="331151CC" w14:textId="77777777" w:rsidR="00841E93" w:rsidRPr="00981D9A" w:rsidRDefault="00841E93" w:rsidP="001C6D39">
            <w:pPr>
              <w:contextualSpacing/>
            </w:pPr>
            <w:r w:rsidRPr="00981D9A">
              <w:t>0.46***</w:t>
            </w:r>
          </w:p>
        </w:tc>
        <w:tc>
          <w:tcPr>
            <w:tcW w:w="1482" w:type="dxa"/>
            <w:tcBorders>
              <w:top w:val="nil"/>
              <w:left w:val="nil"/>
              <w:bottom w:val="nil"/>
              <w:right w:val="nil"/>
            </w:tcBorders>
          </w:tcPr>
          <w:p w14:paraId="0BFD18EA" w14:textId="60130211" w:rsidR="00841E93" w:rsidRPr="00981D9A" w:rsidRDefault="008C725C" w:rsidP="001C6D39">
            <w:pPr>
              <w:contextualSpacing/>
            </w:pPr>
            <w:r>
              <w:t>0.1</w:t>
            </w:r>
            <w:r w:rsidR="00C77AF4">
              <w:t>4</w:t>
            </w:r>
            <w:r w:rsidR="00174882">
              <w:t>*</w:t>
            </w:r>
          </w:p>
        </w:tc>
        <w:tc>
          <w:tcPr>
            <w:tcW w:w="1482" w:type="dxa"/>
            <w:tcBorders>
              <w:top w:val="nil"/>
              <w:left w:val="nil"/>
              <w:bottom w:val="nil"/>
              <w:right w:val="nil"/>
            </w:tcBorders>
          </w:tcPr>
          <w:p w14:paraId="04A86017" w14:textId="544321F6" w:rsidR="00841E93" w:rsidRPr="00981D9A" w:rsidRDefault="00174882" w:rsidP="001C6D39">
            <w:pPr>
              <w:contextualSpacing/>
            </w:pPr>
            <w:r>
              <w:t>0.2</w:t>
            </w:r>
            <w:r w:rsidR="004A45AC">
              <w:t>7</w:t>
            </w:r>
            <w:r>
              <w:t>***</w:t>
            </w:r>
          </w:p>
        </w:tc>
      </w:tr>
      <w:tr w:rsidR="00841E93" w:rsidRPr="00981D9A" w14:paraId="3BD009B3" w14:textId="4A7AF353" w:rsidTr="00C76E40">
        <w:tc>
          <w:tcPr>
            <w:tcW w:w="1729" w:type="dxa"/>
            <w:tcBorders>
              <w:top w:val="nil"/>
              <w:left w:val="nil"/>
              <w:bottom w:val="nil"/>
              <w:right w:val="nil"/>
            </w:tcBorders>
          </w:tcPr>
          <w:p w14:paraId="3CF6ABAC" w14:textId="77777777" w:rsidR="00841E93" w:rsidRPr="00981D9A" w:rsidRDefault="00841E93" w:rsidP="001C6D39">
            <w:pPr>
              <w:contextualSpacing/>
            </w:pPr>
            <w:r w:rsidRPr="00981D9A">
              <w:t>DASS Stress</w:t>
            </w:r>
          </w:p>
        </w:tc>
        <w:tc>
          <w:tcPr>
            <w:tcW w:w="2554" w:type="dxa"/>
            <w:tcBorders>
              <w:top w:val="nil"/>
              <w:left w:val="nil"/>
              <w:bottom w:val="nil"/>
              <w:right w:val="nil"/>
            </w:tcBorders>
          </w:tcPr>
          <w:p w14:paraId="5E24C3AB" w14:textId="2E7AC7C4" w:rsidR="00841E93" w:rsidRPr="00981D9A" w:rsidRDefault="00841E93" w:rsidP="001C6D39">
            <w:pPr>
              <w:contextualSpacing/>
            </w:pPr>
            <w:r w:rsidRPr="00981D9A">
              <w:t>0.</w:t>
            </w:r>
            <w:r w:rsidR="00B92257">
              <w:t>2</w:t>
            </w:r>
            <w:r w:rsidR="00C77AF4">
              <w:t>7</w:t>
            </w:r>
            <w:r w:rsidRPr="00981D9A">
              <w:t>***</w:t>
            </w:r>
          </w:p>
        </w:tc>
        <w:tc>
          <w:tcPr>
            <w:tcW w:w="2113" w:type="dxa"/>
            <w:tcBorders>
              <w:top w:val="nil"/>
              <w:left w:val="nil"/>
              <w:bottom w:val="nil"/>
              <w:right w:val="nil"/>
            </w:tcBorders>
          </w:tcPr>
          <w:p w14:paraId="43735D53" w14:textId="77777777" w:rsidR="00841E93" w:rsidRPr="00981D9A" w:rsidRDefault="00841E93" w:rsidP="001C6D39">
            <w:pPr>
              <w:contextualSpacing/>
            </w:pPr>
            <w:r w:rsidRPr="00981D9A">
              <w:t>0.46***</w:t>
            </w:r>
          </w:p>
        </w:tc>
        <w:tc>
          <w:tcPr>
            <w:tcW w:w="1482" w:type="dxa"/>
            <w:tcBorders>
              <w:top w:val="nil"/>
              <w:left w:val="nil"/>
              <w:bottom w:val="nil"/>
              <w:right w:val="nil"/>
            </w:tcBorders>
          </w:tcPr>
          <w:p w14:paraId="42710B25" w14:textId="558C20F3" w:rsidR="00841E93" w:rsidRPr="00981D9A" w:rsidRDefault="008C725C" w:rsidP="001C6D39">
            <w:pPr>
              <w:contextualSpacing/>
            </w:pPr>
            <w:r>
              <w:t>0.</w:t>
            </w:r>
            <w:r w:rsidR="00C77AF4">
              <w:t>19</w:t>
            </w:r>
            <w:r w:rsidR="00174882">
              <w:t>**</w:t>
            </w:r>
          </w:p>
        </w:tc>
        <w:tc>
          <w:tcPr>
            <w:tcW w:w="1482" w:type="dxa"/>
            <w:tcBorders>
              <w:top w:val="nil"/>
              <w:left w:val="nil"/>
              <w:bottom w:val="nil"/>
              <w:right w:val="nil"/>
            </w:tcBorders>
          </w:tcPr>
          <w:p w14:paraId="69D58DFE" w14:textId="7BD8ED8E" w:rsidR="00841E93" w:rsidRPr="00981D9A" w:rsidRDefault="008C725C" w:rsidP="001C6D39">
            <w:pPr>
              <w:contextualSpacing/>
            </w:pPr>
            <w:r>
              <w:t>0.3</w:t>
            </w:r>
            <w:r w:rsidR="004A45AC">
              <w:t>0</w:t>
            </w:r>
            <w:r w:rsidR="00174882">
              <w:t>***</w:t>
            </w:r>
          </w:p>
        </w:tc>
      </w:tr>
      <w:tr w:rsidR="00841E93" w:rsidRPr="00981D9A" w14:paraId="25AFB050" w14:textId="40B5371E" w:rsidTr="00C76E40">
        <w:tc>
          <w:tcPr>
            <w:tcW w:w="1729" w:type="dxa"/>
            <w:tcBorders>
              <w:top w:val="nil"/>
              <w:left w:val="nil"/>
              <w:right w:val="nil"/>
            </w:tcBorders>
          </w:tcPr>
          <w:p w14:paraId="3710FBFC" w14:textId="77777777" w:rsidR="00841E93" w:rsidRPr="00981D9A" w:rsidRDefault="00841E93" w:rsidP="001C6D39">
            <w:pPr>
              <w:contextualSpacing/>
            </w:pPr>
            <w:r w:rsidRPr="00981D9A">
              <w:t>SWLS</w:t>
            </w:r>
          </w:p>
        </w:tc>
        <w:tc>
          <w:tcPr>
            <w:tcW w:w="2554" w:type="dxa"/>
            <w:tcBorders>
              <w:top w:val="nil"/>
              <w:left w:val="nil"/>
              <w:right w:val="nil"/>
            </w:tcBorders>
          </w:tcPr>
          <w:p w14:paraId="219FB1DD" w14:textId="4C1E5446" w:rsidR="00841E93" w:rsidRPr="00981D9A" w:rsidRDefault="00841E93" w:rsidP="001C6D39">
            <w:pPr>
              <w:contextualSpacing/>
            </w:pPr>
            <w:r w:rsidRPr="00981D9A">
              <w:t>-0.1</w:t>
            </w:r>
            <w:r w:rsidR="00C77AF4">
              <w:t>3</w:t>
            </w:r>
          </w:p>
        </w:tc>
        <w:tc>
          <w:tcPr>
            <w:tcW w:w="2113" w:type="dxa"/>
            <w:tcBorders>
              <w:top w:val="nil"/>
              <w:left w:val="nil"/>
              <w:right w:val="nil"/>
            </w:tcBorders>
          </w:tcPr>
          <w:p w14:paraId="0677316C" w14:textId="77777777" w:rsidR="00841E93" w:rsidRPr="00981D9A" w:rsidRDefault="00841E93" w:rsidP="001C6D39">
            <w:pPr>
              <w:contextualSpacing/>
            </w:pPr>
            <w:r w:rsidRPr="00981D9A">
              <w:t>-0.45***</w:t>
            </w:r>
          </w:p>
        </w:tc>
        <w:tc>
          <w:tcPr>
            <w:tcW w:w="1482" w:type="dxa"/>
            <w:tcBorders>
              <w:top w:val="nil"/>
              <w:left w:val="nil"/>
              <w:right w:val="nil"/>
            </w:tcBorders>
          </w:tcPr>
          <w:p w14:paraId="01516813" w14:textId="2F200D71" w:rsidR="00841E93" w:rsidRPr="00981D9A" w:rsidRDefault="00174882" w:rsidP="001C6D39">
            <w:pPr>
              <w:contextualSpacing/>
            </w:pPr>
            <w:r>
              <w:t>-0.0</w:t>
            </w:r>
            <w:r w:rsidR="008C725C">
              <w:t>6</w:t>
            </w:r>
          </w:p>
        </w:tc>
        <w:tc>
          <w:tcPr>
            <w:tcW w:w="1482" w:type="dxa"/>
            <w:tcBorders>
              <w:top w:val="nil"/>
              <w:left w:val="nil"/>
              <w:right w:val="nil"/>
            </w:tcBorders>
          </w:tcPr>
          <w:p w14:paraId="03105EAE" w14:textId="4293ECA7" w:rsidR="00841E93" w:rsidRPr="00981D9A" w:rsidRDefault="008C725C" w:rsidP="001C6D39">
            <w:pPr>
              <w:contextualSpacing/>
            </w:pPr>
            <w:r>
              <w:t>-0.1</w:t>
            </w:r>
            <w:r w:rsidR="004A45AC">
              <w:t>8</w:t>
            </w:r>
            <w:r w:rsidR="00174882">
              <w:t>*</w:t>
            </w:r>
          </w:p>
        </w:tc>
      </w:tr>
    </w:tbl>
    <w:p w14:paraId="600BA9C1" w14:textId="77777777" w:rsidR="009D4E5D" w:rsidRPr="00981D9A" w:rsidRDefault="009D4E5D" w:rsidP="009D4E5D">
      <w:pPr>
        <w:contextualSpacing/>
      </w:pPr>
      <w:r w:rsidRPr="00981D9A">
        <w:t>*</w:t>
      </w:r>
      <w:r w:rsidRPr="00981D9A">
        <w:rPr>
          <w:i/>
        </w:rPr>
        <w:t>p</w:t>
      </w:r>
      <w:r w:rsidRPr="00981D9A">
        <w:t xml:space="preserve">&lt;.05, </w:t>
      </w:r>
      <w:r w:rsidRPr="00981D9A">
        <w:rPr>
          <w:i/>
        </w:rPr>
        <w:t>**p</w:t>
      </w:r>
      <w:r w:rsidRPr="00981D9A">
        <w:t>&lt;.01, ***</w:t>
      </w:r>
      <w:r w:rsidRPr="00981D9A">
        <w:rPr>
          <w:i/>
        </w:rPr>
        <w:t>p</w:t>
      </w:r>
      <w:r w:rsidRPr="00981D9A">
        <w:t>&lt;.001</w:t>
      </w:r>
    </w:p>
    <w:p w14:paraId="3A7C2FE6" w14:textId="77777777" w:rsidR="009D4E5D" w:rsidRPr="00981D9A" w:rsidRDefault="009D4E5D" w:rsidP="009D4E5D">
      <w:pPr>
        <w:contextualSpacing/>
      </w:pPr>
    </w:p>
    <w:p w14:paraId="49465BC7" w14:textId="77777777" w:rsidR="009D4E5D" w:rsidRDefault="009D4E5D">
      <w:r>
        <w:br w:type="page"/>
      </w:r>
    </w:p>
    <w:p w14:paraId="2B3BB73D" w14:textId="62B4E80C" w:rsidR="0043070C" w:rsidRDefault="009D4E5D" w:rsidP="009D4E5D">
      <w:pPr>
        <w:contextualSpacing/>
      </w:pPr>
      <w:r w:rsidRPr="00981D9A">
        <w:t xml:space="preserve">Table </w:t>
      </w:r>
      <w:r w:rsidR="00C07773">
        <w:t>4</w:t>
      </w:r>
    </w:p>
    <w:p w14:paraId="2CF15FC0" w14:textId="77777777" w:rsidR="009D4E5D" w:rsidRPr="0043070C" w:rsidRDefault="009D4E5D" w:rsidP="009D4E5D">
      <w:pPr>
        <w:contextualSpacing/>
        <w:rPr>
          <w:i/>
        </w:rPr>
      </w:pPr>
      <w:r w:rsidRPr="0043070C">
        <w:rPr>
          <w:i/>
        </w:rPr>
        <w:t>Incremental validity</w:t>
      </w:r>
      <w:r w:rsidR="0043070C">
        <w:rPr>
          <w:i/>
        </w:rPr>
        <w:t xml:space="preserve"> of AAQH</w:t>
      </w:r>
    </w:p>
    <w:p w14:paraId="42F31241" w14:textId="77777777" w:rsidR="009D4E5D" w:rsidRPr="00981D9A" w:rsidRDefault="009D4E5D" w:rsidP="009D4E5D">
      <w:pPr>
        <w:contextual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1531"/>
        <w:gridCol w:w="1134"/>
        <w:gridCol w:w="1131"/>
        <w:gridCol w:w="1134"/>
        <w:gridCol w:w="1139"/>
        <w:gridCol w:w="1162"/>
        <w:gridCol w:w="1134"/>
      </w:tblGrid>
      <w:tr w:rsidR="009422F7" w:rsidRPr="00981D9A" w14:paraId="1195DCEB" w14:textId="77777777" w:rsidTr="00E03C9B">
        <w:tc>
          <w:tcPr>
            <w:tcW w:w="985" w:type="dxa"/>
            <w:tcBorders>
              <w:top w:val="single" w:sz="4" w:space="0" w:color="auto"/>
              <w:bottom w:val="single" w:sz="4" w:space="0" w:color="auto"/>
            </w:tcBorders>
          </w:tcPr>
          <w:p w14:paraId="021028B9" w14:textId="5136F158" w:rsidR="009D4E5D" w:rsidRPr="00E03C9B" w:rsidRDefault="00A67702" w:rsidP="001C6D39">
            <w:pPr>
              <w:contextualSpacing/>
            </w:pPr>
            <w:r>
              <w:t>Model</w:t>
            </w:r>
          </w:p>
        </w:tc>
        <w:tc>
          <w:tcPr>
            <w:tcW w:w="1531" w:type="dxa"/>
            <w:tcBorders>
              <w:top w:val="single" w:sz="4" w:space="0" w:color="auto"/>
              <w:bottom w:val="single" w:sz="4" w:space="0" w:color="auto"/>
            </w:tcBorders>
          </w:tcPr>
          <w:p w14:paraId="40F70445" w14:textId="77777777" w:rsidR="009D4E5D" w:rsidRPr="00E03C9B" w:rsidRDefault="009D4E5D" w:rsidP="001C6D39">
            <w:pPr>
              <w:contextualSpacing/>
            </w:pPr>
            <w:r w:rsidRPr="00E03C9B">
              <w:t>Variable</w:t>
            </w:r>
          </w:p>
        </w:tc>
        <w:tc>
          <w:tcPr>
            <w:tcW w:w="1134" w:type="dxa"/>
            <w:tcBorders>
              <w:top w:val="single" w:sz="4" w:space="0" w:color="auto"/>
              <w:bottom w:val="single" w:sz="4" w:space="0" w:color="auto"/>
            </w:tcBorders>
          </w:tcPr>
          <w:p w14:paraId="5F6B9459" w14:textId="77777777" w:rsidR="009D4E5D" w:rsidRPr="00E03C9B" w:rsidRDefault="009D4E5D" w:rsidP="001C6D39">
            <w:pPr>
              <w:contextualSpacing/>
              <w:rPr>
                <w:i/>
              </w:rPr>
            </w:pPr>
            <w:r w:rsidRPr="00E03C9B">
              <w:rPr>
                <w:i/>
              </w:rPr>
              <w:t>ß</w:t>
            </w:r>
          </w:p>
        </w:tc>
        <w:tc>
          <w:tcPr>
            <w:tcW w:w="1131" w:type="dxa"/>
            <w:tcBorders>
              <w:top w:val="single" w:sz="4" w:space="0" w:color="auto"/>
              <w:bottom w:val="single" w:sz="4" w:space="0" w:color="auto"/>
            </w:tcBorders>
          </w:tcPr>
          <w:p w14:paraId="3D26FD8A" w14:textId="77777777" w:rsidR="009D4E5D" w:rsidRPr="00E03C9B" w:rsidRDefault="009D4E5D" w:rsidP="001C6D39">
            <w:pPr>
              <w:contextualSpacing/>
              <w:rPr>
                <w:i/>
              </w:rPr>
            </w:pPr>
            <w:r w:rsidRPr="00E03C9B">
              <w:rPr>
                <w:i/>
              </w:rPr>
              <w:t>t</w:t>
            </w:r>
          </w:p>
        </w:tc>
        <w:tc>
          <w:tcPr>
            <w:tcW w:w="1134" w:type="dxa"/>
            <w:tcBorders>
              <w:top w:val="single" w:sz="4" w:space="0" w:color="auto"/>
              <w:bottom w:val="single" w:sz="4" w:space="0" w:color="auto"/>
            </w:tcBorders>
          </w:tcPr>
          <w:p w14:paraId="1BD95D7E" w14:textId="77777777" w:rsidR="009D4E5D" w:rsidRPr="00E03C9B" w:rsidRDefault="009D4E5D" w:rsidP="001C6D39">
            <w:pPr>
              <w:contextualSpacing/>
            </w:pPr>
            <w:r w:rsidRPr="00E03C9B">
              <w:rPr>
                <w:i/>
              </w:rPr>
              <w:t>p</w:t>
            </w:r>
          </w:p>
        </w:tc>
        <w:tc>
          <w:tcPr>
            <w:tcW w:w="1139" w:type="dxa"/>
            <w:tcBorders>
              <w:top w:val="single" w:sz="4" w:space="0" w:color="auto"/>
              <w:bottom w:val="single" w:sz="4" w:space="0" w:color="auto"/>
            </w:tcBorders>
          </w:tcPr>
          <w:p w14:paraId="7CE473C0" w14:textId="77777777" w:rsidR="009D4E5D" w:rsidRPr="00E03C9B" w:rsidRDefault="009D4E5D" w:rsidP="001C6D39">
            <w:pPr>
              <w:contextualSpacing/>
              <w:rPr>
                <w:vertAlign w:val="superscript"/>
              </w:rPr>
            </w:pPr>
            <w:r w:rsidRPr="00E03C9B">
              <w:t>R</w:t>
            </w:r>
            <w:r w:rsidRPr="00E03C9B">
              <w:rPr>
                <w:vertAlign w:val="superscript"/>
              </w:rPr>
              <w:t>2</w:t>
            </w:r>
          </w:p>
        </w:tc>
        <w:tc>
          <w:tcPr>
            <w:tcW w:w="1162" w:type="dxa"/>
            <w:tcBorders>
              <w:top w:val="single" w:sz="4" w:space="0" w:color="auto"/>
              <w:bottom w:val="single" w:sz="4" w:space="0" w:color="auto"/>
            </w:tcBorders>
          </w:tcPr>
          <w:p w14:paraId="633989CE" w14:textId="77777777" w:rsidR="009D4E5D" w:rsidRPr="00E03C9B" w:rsidRDefault="009D4E5D" w:rsidP="001C6D39">
            <w:pPr>
              <w:contextualSpacing/>
            </w:pPr>
            <w:r w:rsidRPr="00E03C9B">
              <w:t>R</w:t>
            </w:r>
            <w:r w:rsidRPr="00E03C9B">
              <w:rPr>
                <w:vertAlign w:val="superscript"/>
              </w:rPr>
              <w:t>2</w:t>
            </w:r>
            <w:r w:rsidRPr="00E03C9B">
              <w:t xml:space="preserve"> change</w:t>
            </w:r>
          </w:p>
        </w:tc>
        <w:tc>
          <w:tcPr>
            <w:tcW w:w="1134" w:type="dxa"/>
            <w:tcBorders>
              <w:top w:val="single" w:sz="4" w:space="0" w:color="auto"/>
              <w:bottom w:val="single" w:sz="4" w:space="0" w:color="auto"/>
            </w:tcBorders>
          </w:tcPr>
          <w:p w14:paraId="316883D2" w14:textId="77777777" w:rsidR="009D4E5D" w:rsidRPr="00E03C9B" w:rsidRDefault="009D4E5D" w:rsidP="001C6D39">
            <w:pPr>
              <w:contextualSpacing/>
            </w:pPr>
            <w:r w:rsidRPr="00E03C9B">
              <w:rPr>
                <w:i/>
              </w:rPr>
              <w:t>p</w:t>
            </w:r>
          </w:p>
        </w:tc>
      </w:tr>
      <w:tr w:rsidR="009D4E5D" w:rsidRPr="00981D9A" w14:paraId="2F6F889B" w14:textId="77777777" w:rsidTr="00E03C9B">
        <w:tc>
          <w:tcPr>
            <w:tcW w:w="9350" w:type="dxa"/>
            <w:gridSpan w:val="8"/>
            <w:tcBorders>
              <w:top w:val="single" w:sz="4" w:space="0" w:color="auto"/>
            </w:tcBorders>
          </w:tcPr>
          <w:p w14:paraId="3D48DDBE" w14:textId="77777777" w:rsidR="009D4E5D" w:rsidRPr="00E03C9B" w:rsidRDefault="009D4E5D" w:rsidP="001C6D39">
            <w:pPr>
              <w:contextualSpacing/>
              <w:rPr>
                <w:i/>
              </w:rPr>
            </w:pPr>
            <w:r w:rsidRPr="00E03C9B">
              <w:rPr>
                <w:i/>
              </w:rPr>
              <w:t>Prediction of overall hoarding symptoms (SI-R total score)</w:t>
            </w:r>
          </w:p>
        </w:tc>
      </w:tr>
      <w:tr w:rsidR="009422F7" w:rsidRPr="00981D9A" w14:paraId="77012722" w14:textId="77777777" w:rsidTr="00E03C9B">
        <w:tc>
          <w:tcPr>
            <w:tcW w:w="985" w:type="dxa"/>
          </w:tcPr>
          <w:p w14:paraId="64D88031" w14:textId="77777777" w:rsidR="009D4E5D" w:rsidRPr="00981D9A" w:rsidRDefault="009D4E5D" w:rsidP="001C6D39">
            <w:pPr>
              <w:contextualSpacing/>
            </w:pPr>
            <w:r w:rsidRPr="00981D9A">
              <w:t>1</w:t>
            </w:r>
          </w:p>
        </w:tc>
        <w:tc>
          <w:tcPr>
            <w:tcW w:w="1531" w:type="dxa"/>
          </w:tcPr>
          <w:p w14:paraId="60BAC87E" w14:textId="77777777" w:rsidR="009D4E5D" w:rsidRPr="00981D9A" w:rsidRDefault="009D4E5D" w:rsidP="001C6D39">
            <w:pPr>
              <w:contextualSpacing/>
            </w:pPr>
            <w:r w:rsidRPr="00981D9A">
              <w:t>AAQ-II</w:t>
            </w:r>
          </w:p>
        </w:tc>
        <w:tc>
          <w:tcPr>
            <w:tcW w:w="1134" w:type="dxa"/>
          </w:tcPr>
          <w:p w14:paraId="78AA6ACD" w14:textId="43D5A6C5" w:rsidR="009D4E5D" w:rsidRPr="00981D9A" w:rsidRDefault="009D4E5D" w:rsidP="001C6D39">
            <w:pPr>
              <w:contextualSpacing/>
            </w:pPr>
            <w:r w:rsidRPr="00981D9A">
              <w:t>.4</w:t>
            </w:r>
            <w:r w:rsidR="009B2D73">
              <w:t>2</w:t>
            </w:r>
          </w:p>
        </w:tc>
        <w:tc>
          <w:tcPr>
            <w:tcW w:w="1131" w:type="dxa"/>
          </w:tcPr>
          <w:p w14:paraId="3CD0434B" w14:textId="18E5E31D" w:rsidR="009D4E5D" w:rsidRPr="00981D9A" w:rsidRDefault="009D4E5D" w:rsidP="001C6D39">
            <w:pPr>
              <w:contextualSpacing/>
            </w:pPr>
            <w:r w:rsidRPr="00981D9A">
              <w:t>6.</w:t>
            </w:r>
            <w:r w:rsidR="009B2D73">
              <w:t>49</w:t>
            </w:r>
          </w:p>
        </w:tc>
        <w:tc>
          <w:tcPr>
            <w:tcW w:w="1134" w:type="dxa"/>
          </w:tcPr>
          <w:p w14:paraId="1CB261CD" w14:textId="77777777" w:rsidR="009D4E5D" w:rsidRPr="00981D9A" w:rsidRDefault="009D4E5D" w:rsidP="001C6D39">
            <w:pPr>
              <w:contextualSpacing/>
            </w:pPr>
            <w:r w:rsidRPr="00981D9A">
              <w:t>&lt;.001</w:t>
            </w:r>
          </w:p>
        </w:tc>
        <w:tc>
          <w:tcPr>
            <w:tcW w:w="1139" w:type="dxa"/>
          </w:tcPr>
          <w:p w14:paraId="025EA8E1" w14:textId="4646A0FB" w:rsidR="009D4E5D" w:rsidRPr="00981D9A" w:rsidRDefault="009D4E5D" w:rsidP="001C6D39">
            <w:pPr>
              <w:contextualSpacing/>
            </w:pPr>
            <w:r w:rsidRPr="00981D9A">
              <w:t>.1</w:t>
            </w:r>
            <w:r w:rsidR="009B2D73">
              <w:t>8</w:t>
            </w:r>
          </w:p>
        </w:tc>
        <w:tc>
          <w:tcPr>
            <w:tcW w:w="1162" w:type="dxa"/>
          </w:tcPr>
          <w:p w14:paraId="04816415" w14:textId="77777777" w:rsidR="009D4E5D" w:rsidRPr="00981D9A" w:rsidRDefault="009D4E5D" w:rsidP="001C6D39">
            <w:pPr>
              <w:contextualSpacing/>
            </w:pPr>
          </w:p>
        </w:tc>
        <w:tc>
          <w:tcPr>
            <w:tcW w:w="1134" w:type="dxa"/>
          </w:tcPr>
          <w:p w14:paraId="72E930C7" w14:textId="77777777" w:rsidR="009D4E5D" w:rsidRPr="00981D9A" w:rsidRDefault="009D4E5D" w:rsidP="001C6D39">
            <w:pPr>
              <w:contextualSpacing/>
            </w:pPr>
            <w:r w:rsidRPr="00981D9A">
              <w:t>&lt;.001</w:t>
            </w:r>
          </w:p>
        </w:tc>
      </w:tr>
      <w:tr w:rsidR="009422F7" w:rsidRPr="00981D9A" w14:paraId="62B4CE6B" w14:textId="77777777" w:rsidTr="00E03C9B">
        <w:tc>
          <w:tcPr>
            <w:tcW w:w="985" w:type="dxa"/>
          </w:tcPr>
          <w:p w14:paraId="02474728" w14:textId="77777777" w:rsidR="009D4E5D" w:rsidRPr="00981D9A" w:rsidRDefault="009D4E5D" w:rsidP="001C6D39">
            <w:pPr>
              <w:contextualSpacing/>
            </w:pPr>
            <w:r w:rsidRPr="00981D9A">
              <w:t>2</w:t>
            </w:r>
          </w:p>
        </w:tc>
        <w:tc>
          <w:tcPr>
            <w:tcW w:w="1531" w:type="dxa"/>
          </w:tcPr>
          <w:p w14:paraId="03816A21" w14:textId="77777777" w:rsidR="009D4E5D" w:rsidRPr="00981D9A" w:rsidRDefault="009D4E5D" w:rsidP="001C6D39">
            <w:pPr>
              <w:contextualSpacing/>
            </w:pPr>
            <w:r w:rsidRPr="00981D9A">
              <w:t>AAQ-II</w:t>
            </w:r>
          </w:p>
          <w:p w14:paraId="16D127FE" w14:textId="77777777" w:rsidR="009D4E5D" w:rsidRPr="00981D9A" w:rsidRDefault="009D4E5D" w:rsidP="001C6D39">
            <w:pPr>
              <w:contextualSpacing/>
            </w:pPr>
            <w:r w:rsidRPr="00981D9A">
              <w:t>AAQH</w:t>
            </w:r>
          </w:p>
        </w:tc>
        <w:tc>
          <w:tcPr>
            <w:tcW w:w="1134" w:type="dxa"/>
          </w:tcPr>
          <w:p w14:paraId="70F807FD" w14:textId="14E16F0E" w:rsidR="009D4E5D" w:rsidRPr="00981D9A" w:rsidRDefault="009D4E5D" w:rsidP="001C6D39">
            <w:pPr>
              <w:contextualSpacing/>
            </w:pPr>
            <w:r w:rsidRPr="00981D9A">
              <w:t>.1</w:t>
            </w:r>
            <w:r w:rsidR="004A45AC">
              <w:t>4</w:t>
            </w:r>
          </w:p>
          <w:p w14:paraId="765765DD" w14:textId="276E2675" w:rsidR="009D4E5D" w:rsidRPr="00981D9A" w:rsidRDefault="009D4E5D" w:rsidP="001C6D39">
            <w:pPr>
              <w:contextualSpacing/>
            </w:pPr>
            <w:r w:rsidRPr="00981D9A">
              <w:t>.5</w:t>
            </w:r>
            <w:r w:rsidR="004A45AC">
              <w:t>7</w:t>
            </w:r>
          </w:p>
        </w:tc>
        <w:tc>
          <w:tcPr>
            <w:tcW w:w="1131" w:type="dxa"/>
          </w:tcPr>
          <w:p w14:paraId="11EBB591" w14:textId="1656B2E1" w:rsidR="009D4E5D" w:rsidRPr="00981D9A" w:rsidRDefault="009422F7" w:rsidP="001C6D39">
            <w:pPr>
              <w:contextualSpacing/>
            </w:pPr>
            <w:r>
              <w:t>2.</w:t>
            </w:r>
            <w:r w:rsidR="004A45AC">
              <w:t>30</w:t>
            </w:r>
          </w:p>
          <w:p w14:paraId="1AA12CE8" w14:textId="3BBC6935" w:rsidR="009D4E5D" w:rsidRPr="00981D9A" w:rsidRDefault="009D4E5D" w:rsidP="001C6D39">
            <w:pPr>
              <w:contextualSpacing/>
            </w:pPr>
            <w:r w:rsidRPr="00981D9A">
              <w:t>9.</w:t>
            </w:r>
            <w:r w:rsidR="004A45AC">
              <w:t>15</w:t>
            </w:r>
          </w:p>
        </w:tc>
        <w:tc>
          <w:tcPr>
            <w:tcW w:w="1134" w:type="dxa"/>
          </w:tcPr>
          <w:p w14:paraId="344480B8" w14:textId="461CF8B6" w:rsidR="009D4E5D" w:rsidRPr="00981D9A" w:rsidRDefault="009D4E5D" w:rsidP="001C6D39">
            <w:pPr>
              <w:contextualSpacing/>
            </w:pPr>
            <w:r w:rsidRPr="00981D9A">
              <w:t>.0</w:t>
            </w:r>
            <w:r w:rsidR="004A45AC">
              <w:t>22</w:t>
            </w:r>
          </w:p>
          <w:p w14:paraId="430AF4C6" w14:textId="77777777" w:rsidR="009D4E5D" w:rsidRPr="00981D9A" w:rsidRDefault="009D4E5D" w:rsidP="001C6D39">
            <w:pPr>
              <w:contextualSpacing/>
            </w:pPr>
            <w:r w:rsidRPr="00981D9A">
              <w:t>&lt;.001</w:t>
            </w:r>
          </w:p>
        </w:tc>
        <w:tc>
          <w:tcPr>
            <w:tcW w:w="1139" w:type="dxa"/>
          </w:tcPr>
          <w:p w14:paraId="165D3948" w14:textId="607E2B84" w:rsidR="009D4E5D" w:rsidRPr="00981D9A" w:rsidRDefault="009D4E5D" w:rsidP="001C6D39">
            <w:pPr>
              <w:contextualSpacing/>
            </w:pPr>
            <w:r w:rsidRPr="00981D9A">
              <w:t>.4</w:t>
            </w:r>
            <w:r w:rsidR="004A45AC">
              <w:t>2</w:t>
            </w:r>
          </w:p>
        </w:tc>
        <w:tc>
          <w:tcPr>
            <w:tcW w:w="1162" w:type="dxa"/>
          </w:tcPr>
          <w:p w14:paraId="116B4179" w14:textId="77777777" w:rsidR="009D4E5D" w:rsidRPr="00981D9A" w:rsidRDefault="009D4E5D" w:rsidP="001C6D39">
            <w:pPr>
              <w:contextualSpacing/>
            </w:pPr>
            <w:r w:rsidRPr="00981D9A">
              <w:t>.25</w:t>
            </w:r>
          </w:p>
        </w:tc>
        <w:tc>
          <w:tcPr>
            <w:tcW w:w="1134" w:type="dxa"/>
          </w:tcPr>
          <w:p w14:paraId="5ABB68EA" w14:textId="77777777" w:rsidR="009D4E5D" w:rsidRPr="00981D9A" w:rsidRDefault="009D4E5D" w:rsidP="001C6D39">
            <w:pPr>
              <w:contextualSpacing/>
            </w:pPr>
            <w:r w:rsidRPr="00981D9A">
              <w:t>&lt;.001</w:t>
            </w:r>
          </w:p>
        </w:tc>
      </w:tr>
      <w:tr w:rsidR="009422F7" w:rsidRPr="00981D9A" w14:paraId="59936F95" w14:textId="77777777" w:rsidTr="00E03C9B">
        <w:tc>
          <w:tcPr>
            <w:tcW w:w="985" w:type="dxa"/>
          </w:tcPr>
          <w:p w14:paraId="4D5FD0E9" w14:textId="77777777" w:rsidR="009D4E5D" w:rsidRPr="00981D9A" w:rsidRDefault="009D4E5D" w:rsidP="001C6D39">
            <w:pPr>
              <w:contextualSpacing/>
            </w:pPr>
          </w:p>
        </w:tc>
        <w:tc>
          <w:tcPr>
            <w:tcW w:w="1531" w:type="dxa"/>
          </w:tcPr>
          <w:p w14:paraId="6FDE6604" w14:textId="77777777" w:rsidR="009D4E5D" w:rsidRPr="00981D9A" w:rsidRDefault="009D4E5D" w:rsidP="001C6D39">
            <w:pPr>
              <w:contextualSpacing/>
            </w:pPr>
          </w:p>
        </w:tc>
        <w:tc>
          <w:tcPr>
            <w:tcW w:w="1134" w:type="dxa"/>
          </w:tcPr>
          <w:p w14:paraId="41FC8C75" w14:textId="77777777" w:rsidR="009D4E5D" w:rsidRPr="00981D9A" w:rsidRDefault="009D4E5D" w:rsidP="001C6D39">
            <w:pPr>
              <w:contextualSpacing/>
            </w:pPr>
          </w:p>
        </w:tc>
        <w:tc>
          <w:tcPr>
            <w:tcW w:w="1131" w:type="dxa"/>
          </w:tcPr>
          <w:p w14:paraId="10A538A7" w14:textId="77777777" w:rsidR="009D4E5D" w:rsidRPr="00981D9A" w:rsidRDefault="009D4E5D" w:rsidP="001C6D39">
            <w:pPr>
              <w:contextualSpacing/>
            </w:pPr>
          </w:p>
        </w:tc>
        <w:tc>
          <w:tcPr>
            <w:tcW w:w="1134" w:type="dxa"/>
          </w:tcPr>
          <w:p w14:paraId="2D7B1179" w14:textId="77777777" w:rsidR="009D4E5D" w:rsidRPr="00981D9A" w:rsidRDefault="009D4E5D" w:rsidP="001C6D39">
            <w:pPr>
              <w:contextualSpacing/>
            </w:pPr>
          </w:p>
        </w:tc>
        <w:tc>
          <w:tcPr>
            <w:tcW w:w="1139" w:type="dxa"/>
          </w:tcPr>
          <w:p w14:paraId="655A0846" w14:textId="77777777" w:rsidR="009D4E5D" w:rsidRPr="00981D9A" w:rsidRDefault="009D4E5D" w:rsidP="001C6D39">
            <w:pPr>
              <w:contextualSpacing/>
            </w:pPr>
          </w:p>
        </w:tc>
        <w:tc>
          <w:tcPr>
            <w:tcW w:w="1162" w:type="dxa"/>
          </w:tcPr>
          <w:p w14:paraId="49FC63E9" w14:textId="77777777" w:rsidR="009D4E5D" w:rsidRPr="00981D9A" w:rsidRDefault="009D4E5D" w:rsidP="001C6D39">
            <w:pPr>
              <w:contextualSpacing/>
            </w:pPr>
          </w:p>
        </w:tc>
        <w:tc>
          <w:tcPr>
            <w:tcW w:w="1134" w:type="dxa"/>
          </w:tcPr>
          <w:p w14:paraId="7291AC7F" w14:textId="77777777" w:rsidR="009D4E5D" w:rsidRPr="00981D9A" w:rsidRDefault="009D4E5D" w:rsidP="001C6D39">
            <w:pPr>
              <w:contextualSpacing/>
            </w:pPr>
          </w:p>
        </w:tc>
      </w:tr>
      <w:tr w:rsidR="009D4E5D" w:rsidRPr="00981D9A" w14:paraId="3119DC36" w14:textId="77777777" w:rsidTr="00E03C9B">
        <w:tc>
          <w:tcPr>
            <w:tcW w:w="9350" w:type="dxa"/>
            <w:gridSpan w:val="8"/>
          </w:tcPr>
          <w:p w14:paraId="082C9341" w14:textId="77777777" w:rsidR="009D4E5D" w:rsidRPr="00E03C9B" w:rsidRDefault="009D4E5D" w:rsidP="001C6D39">
            <w:pPr>
              <w:contextualSpacing/>
              <w:rPr>
                <w:i/>
              </w:rPr>
            </w:pPr>
            <w:r w:rsidRPr="00E03C9B">
              <w:rPr>
                <w:i/>
              </w:rPr>
              <w:t>Prediction of difficulty discarding (SI-R difficulty discarding subscale)</w:t>
            </w:r>
          </w:p>
        </w:tc>
      </w:tr>
      <w:tr w:rsidR="009422F7" w:rsidRPr="00981D9A" w14:paraId="2D807C71" w14:textId="77777777" w:rsidTr="00E03C9B">
        <w:trPr>
          <w:trHeight w:val="305"/>
        </w:trPr>
        <w:tc>
          <w:tcPr>
            <w:tcW w:w="985" w:type="dxa"/>
          </w:tcPr>
          <w:p w14:paraId="4821D4EA" w14:textId="77777777" w:rsidR="009D4E5D" w:rsidRPr="00981D9A" w:rsidRDefault="009D4E5D" w:rsidP="001C6D39">
            <w:pPr>
              <w:contextualSpacing/>
            </w:pPr>
            <w:r w:rsidRPr="00981D9A">
              <w:t>1</w:t>
            </w:r>
          </w:p>
        </w:tc>
        <w:tc>
          <w:tcPr>
            <w:tcW w:w="1531" w:type="dxa"/>
          </w:tcPr>
          <w:p w14:paraId="54F1F1EB" w14:textId="77777777" w:rsidR="009D4E5D" w:rsidRPr="00981D9A" w:rsidRDefault="009D4E5D" w:rsidP="001C6D39">
            <w:pPr>
              <w:contextualSpacing/>
            </w:pPr>
            <w:r w:rsidRPr="00981D9A">
              <w:t>AAQ-II</w:t>
            </w:r>
          </w:p>
        </w:tc>
        <w:tc>
          <w:tcPr>
            <w:tcW w:w="1134" w:type="dxa"/>
          </w:tcPr>
          <w:p w14:paraId="60DAA733" w14:textId="77777777" w:rsidR="009D4E5D" w:rsidRPr="00981D9A" w:rsidRDefault="009D4E5D" w:rsidP="001C6D39">
            <w:pPr>
              <w:contextualSpacing/>
            </w:pPr>
            <w:r w:rsidRPr="00981D9A">
              <w:t>.32</w:t>
            </w:r>
          </w:p>
        </w:tc>
        <w:tc>
          <w:tcPr>
            <w:tcW w:w="1131" w:type="dxa"/>
          </w:tcPr>
          <w:p w14:paraId="3F4D3FC5" w14:textId="5F7DDAC4" w:rsidR="009D4E5D" w:rsidRPr="00981D9A" w:rsidRDefault="009D4E5D" w:rsidP="001C6D39">
            <w:pPr>
              <w:contextualSpacing/>
            </w:pPr>
            <w:r w:rsidRPr="00981D9A">
              <w:t>4.</w:t>
            </w:r>
            <w:r w:rsidR="00022AF7">
              <w:t>77</w:t>
            </w:r>
          </w:p>
        </w:tc>
        <w:tc>
          <w:tcPr>
            <w:tcW w:w="1134" w:type="dxa"/>
          </w:tcPr>
          <w:p w14:paraId="11944628" w14:textId="77777777" w:rsidR="009D4E5D" w:rsidRPr="00981D9A" w:rsidRDefault="009D4E5D" w:rsidP="001C6D39">
            <w:pPr>
              <w:contextualSpacing/>
            </w:pPr>
            <w:r w:rsidRPr="00981D9A">
              <w:t>&lt;.001</w:t>
            </w:r>
          </w:p>
        </w:tc>
        <w:tc>
          <w:tcPr>
            <w:tcW w:w="1139" w:type="dxa"/>
          </w:tcPr>
          <w:p w14:paraId="00541AFE" w14:textId="77777777" w:rsidR="009D4E5D" w:rsidRPr="00981D9A" w:rsidRDefault="009D4E5D" w:rsidP="001C6D39">
            <w:pPr>
              <w:contextualSpacing/>
            </w:pPr>
            <w:r w:rsidRPr="00981D9A">
              <w:t>.10</w:t>
            </w:r>
          </w:p>
        </w:tc>
        <w:tc>
          <w:tcPr>
            <w:tcW w:w="1162" w:type="dxa"/>
          </w:tcPr>
          <w:p w14:paraId="359C2710" w14:textId="77777777" w:rsidR="009D4E5D" w:rsidRPr="00981D9A" w:rsidRDefault="009D4E5D" w:rsidP="001C6D39">
            <w:pPr>
              <w:contextualSpacing/>
            </w:pPr>
          </w:p>
        </w:tc>
        <w:tc>
          <w:tcPr>
            <w:tcW w:w="1134" w:type="dxa"/>
          </w:tcPr>
          <w:p w14:paraId="429371C5" w14:textId="77777777" w:rsidR="009D4E5D" w:rsidRPr="00981D9A" w:rsidRDefault="009D4E5D" w:rsidP="001C6D39">
            <w:pPr>
              <w:contextualSpacing/>
            </w:pPr>
            <w:r w:rsidRPr="00981D9A">
              <w:t>&lt;.001</w:t>
            </w:r>
          </w:p>
        </w:tc>
      </w:tr>
      <w:tr w:rsidR="009422F7" w:rsidRPr="00981D9A" w14:paraId="1182A3CE" w14:textId="77777777" w:rsidTr="00E03C9B">
        <w:tc>
          <w:tcPr>
            <w:tcW w:w="985" w:type="dxa"/>
          </w:tcPr>
          <w:p w14:paraId="3532C7C7" w14:textId="77777777" w:rsidR="009D4E5D" w:rsidRPr="00981D9A" w:rsidRDefault="009D4E5D" w:rsidP="001C6D39">
            <w:pPr>
              <w:contextualSpacing/>
            </w:pPr>
            <w:r w:rsidRPr="00981D9A">
              <w:t>2</w:t>
            </w:r>
          </w:p>
        </w:tc>
        <w:tc>
          <w:tcPr>
            <w:tcW w:w="1531" w:type="dxa"/>
          </w:tcPr>
          <w:p w14:paraId="7826F721" w14:textId="77777777" w:rsidR="009D4E5D" w:rsidRPr="00981D9A" w:rsidRDefault="009D4E5D" w:rsidP="001C6D39">
            <w:pPr>
              <w:contextualSpacing/>
            </w:pPr>
            <w:r w:rsidRPr="00981D9A">
              <w:t>AAQ-II</w:t>
            </w:r>
          </w:p>
          <w:p w14:paraId="09E3A507" w14:textId="77777777" w:rsidR="009D4E5D" w:rsidRPr="00981D9A" w:rsidRDefault="009D4E5D" w:rsidP="001C6D39">
            <w:pPr>
              <w:contextualSpacing/>
            </w:pPr>
            <w:r w:rsidRPr="00981D9A">
              <w:t>AAQH</w:t>
            </w:r>
          </w:p>
        </w:tc>
        <w:tc>
          <w:tcPr>
            <w:tcW w:w="1134" w:type="dxa"/>
          </w:tcPr>
          <w:p w14:paraId="7D3EB0B7" w14:textId="4BCEB9BA" w:rsidR="009D4E5D" w:rsidRPr="00981D9A" w:rsidRDefault="009D4E5D" w:rsidP="001C6D39">
            <w:pPr>
              <w:contextualSpacing/>
            </w:pPr>
            <w:r w:rsidRPr="00981D9A">
              <w:t>.</w:t>
            </w:r>
            <w:r w:rsidR="004A45AC">
              <w:t>04</w:t>
            </w:r>
          </w:p>
          <w:p w14:paraId="690E5F01" w14:textId="2E844C5A" w:rsidR="009D4E5D" w:rsidRPr="00981D9A" w:rsidRDefault="009D4E5D" w:rsidP="001C6D39">
            <w:pPr>
              <w:contextualSpacing/>
            </w:pPr>
            <w:r w:rsidRPr="00981D9A">
              <w:t>.</w:t>
            </w:r>
            <w:r w:rsidR="004A45AC">
              <w:t>57</w:t>
            </w:r>
          </w:p>
        </w:tc>
        <w:tc>
          <w:tcPr>
            <w:tcW w:w="1131" w:type="dxa"/>
          </w:tcPr>
          <w:p w14:paraId="675F9362" w14:textId="42E53E45" w:rsidR="009D4E5D" w:rsidRPr="00981D9A" w:rsidRDefault="009D4E5D" w:rsidP="001C6D39">
            <w:pPr>
              <w:contextualSpacing/>
            </w:pPr>
            <w:r w:rsidRPr="00981D9A">
              <w:t>0.</w:t>
            </w:r>
            <w:r w:rsidR="004A45AC">
              <w:t>67</w:t>
            </w:r>
          </w:p>
          <w:p w14:paraId="58A617A0" w14:textId="68B98862" w:rsidR="009D4E5D" w:rsidRPr="00981D9A" w:rsidRDefault="009422F7" w:rsidP="001C6D39">
            <w:pPr>
              <w:contextualSpacing/>
            </w:pPr>
            <w:r>
              <w:t>8.</w:t>
            </w:r>
            <w:r w:rsidR="004A45AC">
              <w:t>68</w:t>
            </w:r>
          </w:p>
        </w:tc>
        <w:tc>
          <w:tcPr>
            <w:tcW w:w="1134" w:type="dxa"/>
          </w:tcPr>
          <w:p w14:paraId="76E54D15" w14:textId="3B0E8E18" w:rsidR="009D4E5D" w:rsidRPr="00981D9A" w:rsidRDefault="009D4E5D" w:rsidP="001C6D39">
            <w:pPr>
              <w:contextualSpacing/>
            </w:pPr>
            <w:r w:rsidRPr="00981D9A">
              <w:t>.</w:t>
            </w:r>
            <w:r w:rsidR="004A45AC">
              <w:t>505</w:t>
            </w:r>
          </w:p>
          <w:p w14:paraId="55CB176A" w14:textId="77777777" w:rsidR="009D4E5D" w:rsidRPr="00981D9A" w:rsidRDefault="009D4E5D" w:rsidP="001C6D39">
            <w:pPr>
              <w:contextualSpacing/>
            </w:pPr>
            <w:r w:rsidRPr="00981D9A">
              <w:t>&lt;.001</w:t>
            </w:r>
          </w:p>
        </w:tc>
        <w:tc>
          <w:tcPr>
            <w:tcW w:w="1139" w:type="dxa"/>
          </w:tcPr>
          <w:p w14:paraId="6B4E0FDA" w14:textId="386E0DCE" w:rsidR="009D4E5D" w:rsidRPr="00981D9A" w:rsidRDefault="009D4E5D" w:rsidP="001C6D39">
            <w:pPr>
              <w:contextualSpacing/>
            </w:pPr>
            <w:r w:rsidRPr="00981D9A">
              <w:t>.</w:t>
            </w:r>
            <w:r w:rsidR="009422F7">
              <w:t>3</w:t>
            </w:r>
            <w:r w:rsidR="004A45AC">
              <w:t>5</w:t>
            </w:r>
          </w:p>
        </w:tc>
        <w:tc>
          <w:tcPr>
            <w:tcW w:w="1162" w:type="dxa"/>
          </w:tcPr>
          <w:p w14:paraId="2CC30FF0" w14:textId="05B3F8B4" w:rsidR="009D4E5D" w:rsidRPr="00981D9A" w:rsidRDefault="009D4E5D" w:rsidP="001C6D39">
            <w:pPr>
              <w:contextualSpacing/>
            </w:pPr>
            <w:r w:rsidRPr="00981D9A">
              <w:t>.</w:t>
            </w:r>
            <w:r w:rsidR="009422F7">
              <w:t>25</w:t>
            </w:r>
          </w:p>
        </w:tc>
        <w:tc>
          <w:tcPr>
            <w:tcW w:w="1134" w:type="dxa"/>
          </w:tcPr>
          <w:p w14:paraId="524739D6" w14:textId="77777777" w:rsidR="009D4E5D" w:rsidRPr="00981D9A" w:rsidRDefault="009D4E5D" w:rsidP="001C6D39">
            <w:pPr>
              <w:contextualSpacing/>
            </w:pPr>
            <w:r w:rsidRPr="00981D9A">
              <w:t>&lt;.001</w:t>
            </w:r>
          </w:p>
        </w:tc>
      </w:tr>
      <w:tr w:rsidR="009422F7" w:rsidRPr="00981D9A" w14:paraId="569DDE13" w14:textId="77777777" w:rsidTr="00E03C9B">
        <w:tc>
          <w:tcPr>
            <w:tcW w:w="985" w:type="dxa"/>
          </w:tcPr>
          <w:p w14:paraId="5BD2E03D" w14:textId="77777777" w:rsidR="009D4E5D" w:rsidRPr="00981D9A" w:rsidRDefault="009D4E5D" w:rsidP="001C6D39">
            <w:pPr>
              <w:contextualSpacing/>
            </w:pPr>
          </w:p>
        </w:tc>
        <w:tc>
          <w:tcPr>
            <w:tcW w:w="1531" w:type="dxa"/>
          </w:tcPr>
          <w:p w14:paraId="43F16C29" w14:textId="77777777" w:rsidR="009D4E5D" w:rsidRPr="00981D9A" w:rsidRDefault="009D4E5D" w:rsidP="001C6D39">
            <w:pPr>
              <w:contextualSpacing/>
            </w:pPr>
          </w:p>
        </w:tc>
        <w:tc>
          <w:tcPr>
            <w:tcW w:w="1134" w:type="dxa"/>
          </w:tcPr>
          <w:p w14:paraId="1FCF3F3B" w14:textId="77777777" w:rsidR="009D4E5D" w:rsidRPr="00981D9A" w:rsidRDefault="009D4E5D" w:rsidP="001C6D39">
            <w:pPr>
              <w:contextualSpacing/>
            </w:pPr>
          </w:p>
        </w:tc>
        <w:tc>
          <w:tcPr>
            <w:tcW w:w="1131" w:type="dxa"/>
          </w:tcPr>
          <w:p w14:paraId="6CB98835" w14:textId="77777777" w:rsidR="009D4E5D" w:rsidRPr="00981D9A" w:rsidRDefault="009D4E5D" w:rsidP="001C6D39">
            <w:pPr>
              <w:contextualSpacing/>
            </w:pPr>
          </w:p>
        </w:tc>
        <w:tc>
          <w:tcPr>
            <w:tcW w:w="1134" w:type="dxa"/>
          </w:tcPr>
          <w:p w14:paraId="24AB47ED" w14:textId="77777777" w:rsidR="009D4E5D" w:rsidRPr="00981D9A" w:rsidRDefault="009D4E5D" w:rsidP="001C6D39">
            <w:pPr>
              <w:contextualSpacing/>
            </w:pPr>
          </w:p>
        </w:tc>
        <w:tc>
          <w:tcPr>
            <w:tcW w:w="1139" w:type="dxa"/>
          </w:tcPr>
          <w:p w14:paraId="59F30D83" w14:textId="77777777" w:rsidR="009D4E5D" w:rsidRPr="00981D9A" w:rsidRDefault="009D4E5D" w:rsidP="001C6D39">
            <w:pPr>
              <w:contextualSpacing/>
            </w:pPr>
          </w:p>
        </w:tc>
        <w:tc>
          <w:tcPr>
            <w:tcW w:w="1162" w:type="dxa"/>
          </w:tcPr>
          <w:p w14:paraId="5C5A4031" w14:textId="77777777" w:rsidR="009D4E5D" w:rsidRPr="00981D9A" w:rsidRDefault="009D4E5D" w:rsidP="001C6D39">
            <w:pPr>
              <w:contextualSpacing/>
            </w:pPr>
          </w:p>
        </w:tc>
        <w:tc>
          <w:tcPr>
            <w:tcW w:w="1134" w:type="dxa"/>
          </w:tcPr>
          <w:p w14:paraId="0D5D7D55" w14:textId="77777777" w:rsidR="009D4E5D" w:rsidRPr="00981D9A" w:rsidRDefault="009D4E5D" w:rsidP="001C6D39">
            <w:pPr>
              <w:contextualSpacing/>
            </w:pPr>
          </w:p>
        </w:tc>
      </w:tr>
      <w:tr w:rsidR="009D4E5D" w:rsidRPr="00981D9A" w14:paraId="7675736F" w14:textId="77777777" w:rsidTr="00E03C9B">
        <w:tc>
          <w:tcPr>
            <w:tcW w:w="9350" w:type="dxa"/>
            <w:gridSpan w:val="8"/>
          </w:tcPr>
          <w:p w14:paraId="015D6196" w14:textId="77777777" w:rsidR="009D4E5D" w:rsidRPr="00E03C9B" w:rsidRDefault="009D4E5D" w:rsidP="001C6D39">
            <w:pPr>
              <w:contextualSpacing/>
              <w:rPr>
                <w:i/>
              </w:rPr>
            </w:pPr>
            <w:r w:rsidRPr="00E03C9B">
              <w:rPr>
                <w:i/>
              </w:rPr>
              <w:t>Prediction of acquisition (SI-R acquisition subscale)</w:t>
            </w:r>
          </w:p>
        </w:tc>
      </w:tr>
      <w:tr w:rsidR="009422F7" w:rsidRPr="00981D9A" w14:paraId="0E21C4A6" w14:textId="77777777" w:rsidTr="00E03C9B">
        <w:tc>
          <w:tcPr>
            <w:tcW w:w="985" w:type="dxa"/>
          </w:tcPr>
          <w:p w14:paraId="12DA4F28" w14:textId="77777777" w:rsidR="009D4E5D" w:rsidRPr="00981D9A" w:rsidRDefault="009D4E5D" w:rsidP="001C6D39">
            <w:pPr>
              <w:contextualSpacing/>
            </w:pPr>
            <w:r w:rsidRPr="00981D9A">
              <w:t>1</w:t>
            </w:r>
          </w:p>
        </w:tc>
        <w:tc>
          <w:tcPr>
            <w:tcW w:w="1531" w:type="dxa"/>
          </w:tcPr>
          <w:p w14:paraId="5C1B6ADA" w14:textId="77777777" w:rsidR="009D4E5D" w:rsidRPr="00981D9A" w:rsidRDefault="009D4E5D" w:rsidP="001C6D39">
            <w:pPr>
              <w:contextualSpacing/>
            </w:pPr>
            <w:r w:rsidRPr="00981D9A">
              <w:t>AAQ-II</w:t>
            </w:r>
          </w:p>
        </w:tc>
        <w:tc>
          <w:tcPr>
            <w:tcW w:w="1134" w:type="dxa"/>
          </w:tcPr>
          <w:p w14:paraId="22DF0550" w14:textId="77777777" w:rsidR="009D4E5D" w:rsidRPr="00981D9A" w:rsidRDefault="009D4E5D" w:rsidP="001C6D39">
            <w:pPr>
              <w:contextualSpacing/>
            </w:pPr>
            <w:r w:rsidRPr="00981D9A">
              <w:t>.31</w:t>
            </w:r>
          </w:p>
        </w:tc>
        <w:tc>
          <w:tcPr>
            <w:tcW w:w="1131" w:type="dxa"/>
          </w:tcPr>
          <w:p w14:paraId="60DB98EA" w14:textId="6458C90F" w:rsidR="009D4E5D" w:rsidRPr="00981D9A" w:rsidRDefault="009D4E5D" w:rsidP="001C6D39">
            <w:pPr>
              <w:contextualSpacing/>
            </w:pPr>
            <w:r w:rsidRPr="00981D9A">
              <w:t>4.5</w:t>
            </w:r>
            <w:r w:rsidR="00022AF7">
              <w:t>1</w:t>
            </w:r>
          </w:p>
        </w:tc>
        <w:tc>
          <w:tcPr>
            <w:tcW w:w="1134" w:type="dxa"/>
          </w:tcPr>
          <w:p w14:paraId="63863474" w14:textId="77777777" w:rsidR="009D4E5D" w:rsidRPr="00981D9A" w:rsidRDefault="009D4E5D" w:rsidP="001C6D39">
            <w:pPr>
              <w:contextualSpacing/>
            </w:pPr>
            <w:r w:rsidRPr="00981D9A">
              <w:t>&lt;.001</w:t>
            </w:r>
          </w:p>
        </w:tc>
        <w:tc>
          <w:tcPr>
            <w:tcW w:w="1139" w:type="dxa"/>
          </w:tcPr>
          <w:p w14:paraId="2E97321D" w14:textId="77777777" w:rsidR="009D4E5D" w:rsidRPr="00981D9A" w:rsidRDefault="009D4E5D" w:rsidP="001C6D39">
            <w:pPr>
              <w:contextualSpacing/>
            </w:pPr>
            <w:r w:rsidRPr="00981D9A">
              <w:t>.09</w:t>
            </w:r>
          </w:p>
        </w:tc>
        <w:tc>
          <w:tcPr>
            <w:tcW w:w="1162" w:type="dxa"/>
          </w:tcPr>
          <w:p w14:paraId="796A528E" w14:textId="77777777" w:rsidR="009D4E5D" w:rsidRPr="00981D9A" w:rsidRDefault="009D4E5D" w:rsidP="001C6D39">
            <w:pPr>
              <w:contextualSpacing/>
            </w:pPr>
          </w:p>
        </w:tc>
        <w:tc>
          <w:tcPr>
            <w:tcW w:w="1134" w:type="dxa"/>
          </w:tcPr>
          <w:p w14:paraId="7EEE117C" w14:textId="77777777" w:rsidR="009D4E5D" w:rsidRPr="00981D9A" w:rsidRDefault="009D4E5D" w:rsidP="001C6D39">
            <w:pPr>
              <w:contextualSpacing/>
            </w:pPr>
            <w:r w:rsidRPr="00981D9A">
              <w:t>&lt;.001</w:t>
            </w:r>
          </w:p>
        </w:tc>
      </w:tr>
      <w:tr w:rsidR="009422F7" w:rsidRPr="00981D9A" w14:paraId="2CB7BDE2" w14:textId="77777777" w:rsidTr="00E03C9B">
        <w:tc>
          <w:tcPr>
            <w:tcW w:w="985" w:type="dxa"/>
          </w:tcPr>
          <w:p w14:paraId="4081DEDC" w14:textId="77777777" w:rsidR="009D4E5D" w:rsidRPr="00981D9A" w:rsidRDefault="009D4E5D" w:rsidP="001C6D39">
            <w:pPr>
              <w:contextualSpacing/>
            </w:pPr>
            <w:r w:rsidRPr="00981D9A">
              <w:t>2</w:t>
            </w:r>
          </w:p>
        </w:tc>
        <w:tc>
          <w:tcPr>
            <w:tcW w:w="1531" w:type="dxa"/>
          </w:tcPr>
          <w:p w14:paraId="514F6D7F" w14:textId="77777777" w:rsidR="009D4E5D" w:rsidRPr="00981D9A" w:rsidRDefault="009D4E5D" w:rsidP="001C6D39">
            <w:pPr>
              <w:contextualSpacing/>
            </w:pPr>
            <w:r w:rsidRPr="00981D9A">
              <w:t>AAQ-II</w:t>
            </w:r>
          </w:p>
          <w:p w14:paraId="6F28773A" w14:textId="77777777" w:rsidR="009D4E5D" w:rsidRPr="00981D9A" w:rsidRDefault="009D4E5D" w:rsidP="001C6D39">
            <w:pPr>
              <w:contextualSpacing/>
            </w:pPr>
            <w:r w:rsidRPr="00981D9A">
              <w:t>AAQH</w:t>
            </w:r>
          </w:p>
        </w:tc>
        <w:tc>
          <w:tcPr>
            <w:tcW w:w="1134" w:type="dxa"/>
          </w:tcPr>
          <w:p w14:paraId="7E72E0F4" w14:textId="71145E91" w:rsidR="009D4E5D" w:rsidRPr="00981D9A" w:rsidRDefault="009D4E5D" w:rsidP="001C6D39">
            <w:pPr>
              <w:contextualSpacing/>
            </w:pPr>
            <w:r w:rsidRPr="00981D9A">
              <w:t>.0</w:t>
            </w:r>
            <w:r w:rsidR="004A45AC">
              <w:t>9</w:t>
            </w:r>
          </w:p>
          <w:p w14:paraId="182CFEA2" w14:textId="357CCC80" w:rsidR="009D4E5D" w:rsidRPr="00981D9A" w:rsidRDefault="009D4E5D" w:rsidP="001C6D39">
            <w:pPr>
              <w:contextualSpacing/>
            </w:pPr>
            <w:r w:rsidRPr="00981D9A">
              <w:t>.4</w:t>
            </w:r>
            <w:r w:rsidR="004A45AC">
              <w:t>5</w:t>
            </w:r>
          </w:p>
        </w:tc>
        <w:tc>
          <w:tcPr>
            <w:tcW w:w="1131" w:type="dxa"/>
          </w:tcPr>
          <w:p w14:paraId="1131486C" w14:textId="08F89826" w:rsidR="009D4E5D" w:rsidRPr="00981D9A" w:rsidRDefault="009422F7" w:rsidP="001C6D39">
            <w:pPr>
              <w:contextualSpacing/>
            </w:pPr>
            <w:r>
              <w:t>1.</w:t>
            </w:r>
            <w:r w:rsidR="004A45AC">
              <w:t>25</w:t>
            </w:r>
          </w:p>
          <w:p w14:paraId="2AB41A39" w14:textId="26C9E93A" w:rsidR="009D4E5D" w:rsidRPr="00981D9A" w:rsidRDefault="009D4E5D" w:rsidP="001C6D39">
            <w:pPr>
              <w:contextualSpacing/>
            </w:pPr>
            <w:r w:rsidRPr="00981D9A">
              <w:t>6.</w:t>
            </w:r>
            <w:r w:rsidR="004A45AC">
              <w:t>28</w:t>
            </w:r>
          </w:p>
        </w:tc>
        <w:tc>
          <w:tcPr>
            <w:tcW w:w="1134" w:type="dxa"/>
          </w:tcPr>
          <w:p w14:paraId="5A5EBF04" w14:textId="2B052220" w:rsidR="009D4E5D" w:rsidRPr="00981D9A" w:rsidRDefault="009D4E5D" w:rsidP="001C6D39">
            <w:pPr>
              <w:contextualSpacing/>
            </w:pPr>
            <w:r w:rsidRPr="00981D9A">
              <w:t>.</w:t>
            </w:r>
            <w:r w:rsidR="009422F7">
              <w:t>2</w:t>
            </w:r>
            <w:r w:rsidR="004A45AC">
              <w:t>1</w:t>
            </w:r>
          </w:p>
          <w:p w14:paraId="7FD2F323" w14:textId="77777777" w:rsidR="009D4E5D" w:rsidRPr="00981D9A" w:rsidRDefault="009D4E5D" w:rsidP="001C6D39">
            <w:pPr>
              <w:contextualSpacing/>
            </w:pPr>
            <w:r w:rsidRPr="00981D9A">
              <w:t>&lt;.001</w:t>
            </w:r>
          </w:p>
        </w:tc>
        <w:tc>
          <w:tcPr>
            <w:tcW w:w="1139" w:type="dxa"/>
          </w:tcPr>
          <w:p w14:paraId="5AC67B20" w14:textId="7EFAE71C" w:rsidR="009D4E5D" w:rsidRPr="00981D9A" w:rsidRDefault="009D4E5D" w:rsidP="001C6D39">
            <w:pPr>
              <w:contextualSpacing/>
            </w:pPr>
            <w:r w:rsidRPr="00981D9A">
              <w:t>.2</w:t>
            </w:r>
            <w:r w:rsidR="004A45AC">
              <w:t>5</w:t>
            </w:r>
          </w:p>
        </w:tc>
        <w:tc>
          <w:tcPr>
            <w:tcW w:w="1162" w:type="dxa"/>
          </w:tcPr>
          <w:p w14:paraId="0B6E6CBF" w14:textId="39280BCF" w:rsidR="009D4E5D" w:rsidRPr="00981D9A" w:rsidRDefault="009D4E5D" w:rsidP="001C6D39">
            <w:pPr>
              <w:contextualSpacing/>
            </w:pPr>
            <w:r w:rsidRPr="00981D9A">
              <w:t>.1</w:t>
            </w:r>
            <w:r w:rsidR="009422F7">
              <w:t>5</w:t>
            </w:r>
          </w:p>
        </w:tc>
        <w:tc>
          <w:tcPr>
            <w:tcW w:w="1134" w:type="dxa"/>
          </w:tcPr>
          <w:p w14:paraId="264E8101" w14:textId="77777777" w:rsidR="009D4E5D" w:rsidRPr="00981D9A" w:rsidRDefault="009D4E5D" w:rsidP="001C6D39">
            <w:pPr>
              <w:contextualSpacing/>
            </w:pPr>
            <w:r w:rsidRPr="00981D9A">
              <w:t>&lt;.001</w:t>
            </w:r>
          </w:p>
        </w:tc>
      </w:tr>
      <w:tr w:rsidR="009422F7" w:rsidRPr="00981D9A" w14:paraId="1E945859" w14:textId="77777777" w:rsidTr="00E03C9B">
        <w:tc>
          <w:tcPr>
            <w:tcW w:w="985" w:type="dxa"/>
          </w:tcPr>
          <w:p w14:paraId="1FFC5B9F" w14:textId="77777777" w:rsidR="009D4E5D" w:rsidRPr="00981D9A" w:rsidRDefault="009D4E5D" w:rsidP="001C6D39">
            <w:pPr>
              <w:contextualSpacing/>
            </w:pPr>
          </w:p>
        </w:tc>
        <w:tc>
          <w:tcPr>
            <w:tcW w:w="1531" w:type="dxa"/>
          </w:tcPr>
          <w:p w14:paraId="2F53B868" w14:textId="77777777" w:rsidR="009D4E5D" w:rsidRPr="00981D9A" w:rsidRDefault="009D4E5D" w:rsidP="001C6D39">
            <w:pPr>
              <w:contextualSpacing/>
            </w:pPr>
          </w:p>
        </w:tc>
        <w:tc>
          <w:tcPr>
            <w:tcW w:w="1134" w:type="dxa"/>
          </w:tcPr>
          <w:p w14:paraId="39D638DC" w14:textId="77777777" w:rsidR="009D4E5D" w:rsidRPr="00981D9A" w:rsidRDefault="009D4E5D" w:rsidP="001C6D39">
            <w:pPr>
              <w:contextualSpacing/>
            </w:pPr>
          </w:p>
        </w:tc>
        <w:tc>
          <w:tcPr>
            <w:tcW w:w="1131" w:type="dxa"/>
          </w:tcPr>
          <w:p w14:paraId="6A5029E9" w14:textId="77777777" w:rsidR="009D4E5D" w:rsidRPr="00981D9A" w:rsidRDefault="009D4E5D" w:rsidP="001C6D39">
            <w:pPr>
              <w:contextualSpacing/>
            </w:pPr>
          </w:p>
        </w:tc>
        <w:tc>
          <w:tcPr>
            <w:tcW w:w="1134" w:type="dxa"/>
          </w:tcPr>
          <w:p w14:paraId="2064AF41" w14:textId="77777777" w:rsidR="009D4E5D" w:rsidRPr="00981D9A" w:rsidRDefault="009D4E5D" w:rsidP="001C6D39">
            <w:pPr>
              <w:contextualSpacing/>
            </w:pPr>
          </w:p>
        </w:tc>
        <w:tc>
          <w:tcPr>
            <w:tcW w:w="1139" w:type="dxa"/>
          </w:tcPr>
          <w:p w14:paraId="51A421C3" w14:textId="77777777" w:rsidR="009D4E5D" w:rsidRPr="00981D9A" w:rsidRDefault="009D4E5D" w:rsidP="001C6D39">
            <w:pPr>
              <w:contextualSpacing/>
            </w:pPr>
          </w:p>
        </w:tc>
        <w:tc>
          <w:tcPr>
            <w:tcW w:w="1162" w:type="dxa"/>
          </w:tcPr>
          <w:p w14:paraId="20B004D1" w14:textId="77777777" w:rsidR="009D4E5D" w:rsidRPr="00981D9A" w:rsidRDefault="009D4E5D" w:rsidP="001C6D39">
            <w:pPr>
              <w:contextualSpacing/>
            </w:pPr>
          </w:p>
        </w:tc>
        <w:tc>
          <w:tcPr>
            <w:tcW w:w="1134" w:type="dxa"/>
          </w:tcPr>
          <w:p w14:paraId="1BB58AA3" w14:textId="77777777" w:rsidR="009D4E5D" w:rsidRPr="00981D9A" w:rsidRDefault="009D4E5D" w:rsidP="001C6D39">
            <w:pPr>
              <w:contextualSpacing/>
            </w:pPr>
          </w:p>
        </w:tc>
      </w:tr>
      <w:tr w:rsidR="009D4E5D" w:rsidRPr="00981D9A" w14:paraId="02062141" w14:textId="77777777" w:rsidTr="00E03C9B">
        <w:tc>
          <w:tcPr>
            <w:tcW w:w="9350" w:type="dxa"/>
            <w:gridSpan w:val="8"/>
          </w:tcPr>
          <w:p w14:paraId="3C0E0C99" w14:textId="77777777" w:rsidR="009D4E5D" w:rsidRPr="00E03C9B" w:rsidRDefault="009D4E5D" w:rsidP="001C6D39">
            <w:pPr>
              <w:contextualSpacing/>
              <w:rPr>
                <w:i/>
              </w:rPr>
            </w:pPr>
            <w:r w:rsidRPr="00E03C9B">
              <w:rPr>
                <w:i/>
              </w:rPr>
              <w:t>Prediction of clutter (SI-R clutter subscale)</w:t>
            </w:r>
          </w:p>
        </w:tc>
      </w:tr>
      <w:tr w:rsidR="009422F7" w:rsidRPr="00981D9A" w14:paraId="54926B3F" w14:textId="77777777" w:rsidTr="00E03C9B">
        <w:tc>
          <w:tcPr>
            <w:tcW w:w="985" w:type="dxa"/>
          </w:tcPr>
          <w:p w14:paraId="40365BA8" w14:textId="77777777" w:rsidR="009D4E5D" w:rsidRPr="00981D9A" w:rsidRDefault="009D4E5D" w:rsidP="001C6D39">
            <w:pPr>
              <w:contextualSpacing/>
            </w:pPr>
            <w:r w:rsidRPr="00981D9A">
              <w:t>1</w:t>
            </w:r>
          </w:p>
        </w:tc>
        <w:tc>
          <w:tcPr>
            <w:tcW w:w="1531" w:type="dxa"/>
          </w:tcPr>
          <w:p w14:paraId="006719D9" w14:textId="77777777" w:rsidR="009D4E5D" w:rsidRPr="00981D9A" w:rsidRDefault="009D4E5D" w:rsidP="001C6D39">
            <w:pPr>
              <w:contextualSpacing/>
            </w:pPr>
            <w:r w:rsidRPr="00981D9A">
              <w:t>AAQ-II</w:t>
            </w:r>
          </w:p>
        </w:tc>
        <w:tc>
          <w:tcPr>
            <w:tcW w:w="1134" w:type="dxa"/>
          </w:tcPr>
          <w:p w14:paraId="0E574DD6" w14:textId="5059C5D6" w:rsidR="009D4E5D" w:rsidRPr="00981D9A" w:rsidRDefault="009D4E5D" w:rsidP="001C6D39">
            <w:pPr>
              <w:contextualSpacing/>
            </w:pPr>
            <w:r w:rsidRPr="00981D9A">
              <w:t>.2</w:t>
            </w:r>
            <w:r w:rsidR="00505634">
              <w:t>7</w:t>
            </w:r>
          </w:p>
        </w:tc>
        <w:tc>
          <w:tcPr>
            <w:tcW w:w="1131" w:type="dxa"/>
          </w:tcPr>
          <w:p w14:paraId="4651C078" w14:textId="7DEFAA0A" w:rsidR="009D4E5D" w:rsidRPr="00981D9A" w:rsidRDefault="009D4E5D" w:rsidP="001C6D39">
            <w:pPr>
              <w:contextualSpacing/>
            </w:pPr>
            <w:r w:rsidRPr="00981D9A">
              <w:t>3.</w:t>
            </w:r>
            <w:r w:rsidR="00505634">
              <w:t>87</w:t>
            </w:r>
          </w:p>
        </w:tc>
        <w:tc>
          <w:tcPr>
            <w:tcW w:w="1134" w:type="dxa"/>
          </w:tcPr>
          <w:p w14:paraId="49518681" w14:textId="77777777" w:rsidR="009D4E5D" w:rsidRPr="00981D9A" w:rsidRDefault="009D4E5D" w:rsidP="001C6D39">
            <w:pPr>
              <w:contextualSpacing/>
            </w:pPr>
            <w:r w:rsidRPr="00981D9A">
              <w:t>&lt;.001</w:t>
            </w:r>
          </w:p>
        </w:tc>
        <w:tc>
          <w:tcPr>
            <w:tcW w:w="1139" w:type="dxa"/>
          </w:tcPr>
          <w:p w14:paraId="57A1D6C8" w14:textId="77777777" w:rsidR="009D4E5D" w:rsidRPr="00981D9A" w:rsidRDefault="009D4E5D" w:rsidP="001C6D39">
            <w:pPr>
              <w:contextualSpacing/>
            </w:pPr>
            <w:r w:rsidRPr="00981D9A">
              <w:t>.07</w:t>
            </w:r>
          </w:p>
        </w:tc>
        <w:tc>
          <w:tcPr>
            <w:tcW w:w="1162" w:type="dxa"/>
          </w:tcPr>
          <w:p w14:paraId="76B9A147" w14:textId="77777777" w:rsidR="009D4E5D" w:rsidRPr="00981D9A" w:rsidRDefault="009D4E5D" w:rsidP="001C6D39">
            <w:pPr>
              <w:contextualSpacing/>
            </w:pPr>
          </w:p>
        </w:tc>
        <w:tc>
          <w:tcPr>
            <w:tcW w:w="1134" w:type="dxa"/>
          </w:tcPr>
          <w:p w14:paraId="4A6D0CD7" w14:textId="77777777" w:rsidR="009D4E5D" w:rsidRPr="00981D9A" w:rsidRDefault="009D4E5D" w:rsidP="001C6D39">
            <w:pPr>
              <w:contextualSpacing/>
            </w:pPr>
            <w:r w:rsidRPr="00981D9A">
              <w:t>&lt;.001</w:t>
            </w:r>
          </w:p>
        </w:tc>
      </w:tr>
      <w:tr w:rsidR="009422F7" w:rsidRPr="00981D9A" w14:paraId="13751735" w14:textId="77777777" w:rsidTr="00E03C9B">
        <w:tc>
          <w:tcPr>
            <w:tcW w:w="985" w:type="dxa"/>
            <w:tcBorders>
              <w:bottom w:val="single" w:sz="4" w:space="0" w:color="auto"/>
            </w:tcBorders>
          </w:tcPr>
          <w:p w14:paraId="1029333F" w14:textId="77777777" w:rsidR="009D4E5D" w:rsidRPr="00981D9A" w:rsidRDefault="009D4E5D" w:rsidP="001C6D39">
            <w:pPr>
              <w:contextualSpacing/>
            </w:pPr>
            <w:r w:rsidRPr="00981D9A">
              <w:t>2</w:t>
            </w:r>
          </w:p>
        </w:tc>
        <w:tc>
          <w:tcPr>
            <w:tcW w:w="1531" w:type="dxa"/>
            <w:tcBorders>
              <w:bottom w:val="single" w:sz="4" w:space="0" w:color="auto"/>
            </w:tcBorders>
          </w:tcPr>
          <w:p w14:paraId="179FA5D2" w14:textId="77777777" w:rsidR="009D4E5D" w:rsidRPr="00981D9A" w:rsidRDefault="009D4E5D" w:rsidP="001C6D39">
            <w:pPr>
              <w:contextualSpacing/>
            </w:pPr>
            <w:r w:rsidRPr="00981D9A">
              <w:t>AAQ-II</w:t>
            </w:r>
          </w:p>
          <w:p w14:paraId="62A92A06" w14:textId="77777777" w:rsidR="009D4E5D" w:rsidRPr="00981D9A" w:rsidRDefault="009D4E5D" w:rsidP="001C6D39">
            <w:pPr>
              <w:contextualSpacing/>
            </w:pPr>
            <w:r w:rsidRPr="00981D9A">
              <w:t>AAQH</w:t>
            </w:r>
          </w:p>
        </w:tc>
        <w:tc>
          <w:tcPr>
            <w:tcW w:w="1134" w:type="dxa"/>
            <w:tcBorders>
              <w:bottom w:val="single" w:sz="4" w:space="0" w:color="auto"/>
            </w:tcBorders>
          </w:tcPr>
          <w:p w14:paraId="0EBE25FD" w14:textId="7A8113EE" w:rsidR="009D4E5D" w:rsidRPr="00981D9A" w:rsidRDefault="009D4E5D" w:rsidP="001C6D39">
            <w:pPr>
              <w:contextualSpacing/>
            </w:pPr>
            <w:r w:rsidRPr="00981D9A">
              <w:t>.1</w:t>
            </w:r>
            <w:r w:rsidR="004A45AC">
              <w:t>5</w:t>
            </w:r>
          </w:p>
          <w:p w14:paraId="2FC40D6A" w14:textId="44E68DEB" w:rsidR="009D4E5D" w:rsidRPr="00981D9A" w:rsidRDefault="009D4E5D" w:rsidP="001C6D39">
            <w:pPr>
              <w:contextualSpacing/>
            </w:pPr>
            <w:r w:rsidRPr="00981D9A">
              <w:t>.2</w:t>
            </w:r>
            <w:r w:rsidR="004A45AC">
              <w:t>4</w:t>
            </w:r>
          </w:p>
        </w:tc>
        <w:tc>
          <w:tcPr>
            <w:tcW w:w="1131" w:type="dxa"/>
            <w:tcBorders>
              <w:bottom w:val="single" w:sz="4" w:space="0" w:color="auto"/>
            </w:tcBorders>
          </w:tcPr>
          <w:p w14:paraId="0F435F52" w14:textId="1E7F9EB1" w:rsidR="009D4E5D" w:rsidRPr="00981D9A" w:rsidRDefault="009D4E5D" w:rsidP="001C6D39">
            <w:pPr>
              <w:contextualSpacing/>
            </w:pPr>
            <w:r w:rsidRPr="00981D9A">
              <w:t>1.</w:t>
            </w:r>
            <w:r w:rsidR="004A45AC">
              <w:t>95</w:t>
            </w:r>
          </w:p>
          <w:p w14:paraId="26AC8F07" w14:textId="574EE03D" w:rsidR="009D4E5D" w:rsidRPr="00981D9A" w:rsidRDefault="009D4E5D" w:rsidP="001C6D39">
            <w:pPr>
              <w:contextualSpacing/>
            </w:pPr>
            <w:r w:rsidRPr="00981D9A">
              <w:t>3.</w:t>
            </w:r>
            <w:r w:rsidR="004A45AC">
              <w:t>08</w:t>
            </w:r>
          </w:p>
        </w:tc>
        <w:tc>
          <w:tcPr>
            <w:tcW w:w="1134" w:type="dxa"/>
            <w:tcBorders>
              <w:bottom w:val="single" w:sz="4" w:space="0" w:color="auto"/>
            </w:tcBorders>
          </w:tcPr>
          <w:p w14:paraId="44F7C8E6" w14:textId="07FD6D70" w:rsidR="009D4E5D" w:rsidRPr="00981D9A" w:rsidRDefault="009D4E5D" w:rsidP="001C6D39">
            <w:pPr>
              <w:contextualSpacing/>
            </w:pPr>
            <w:r w:rsidRPr="00981D9A">
              <w:t>.</w:t>
            </w:r>
            <w:r w:rsidR="00022AF7">
              <w:t>0</w:t>
            </w:r>
            <w:r w:rsidR="004A45AC">
              <w:t>53</w:t>
            </w:r>
          </w:p>
          <w:p w14:paraId="70E2F2B9" w14:textId="205C1D08" w:rsidR="009D4E5D" w:rsidRPr="00981D9A" w:rsidRDefault="009D4E5D" w:rsidP="001C6D39">
            <w:pPr>
              <w:contextualSpacing/>
            </w:pPr>
            <w:r w:rsidRPr="00981D9A">
              <w:t>.00</w:t>
            </w:r>
            <w:r w:rsidR="004A45AC">
              <w:t>2</w:t>
            </w:r>
          </w:p>
        </w:tc>
        <w:tc>
          <w:tcPr>
            <w:tcW w:w="1139" w:type="dxa"/>
            <w:tcBorders>
              <w:bottom w:val="single" w:sz="4" w:space="0" w:color="auto"/>
            </w:tcBorders>
          </w:tcPr>
          <w:p w14:paraId="4D8694DF" w14:textId="08D2905B" w:rsidR="009D4E5D" w:rsidRPr="00981D9A" w:rsidRDefault="009D4E5D" w:rsidP="001C6D39">
            <w:pPr>
              <w:contextualSpacing/>
            </w:pPr>
            <w:r w:rsidRPr="00981D9A">
              <w:t>.1</w:t>
            </w:r>
            <w:r w:rsidR="004A45AC">
              <w:t>1</w:t>
            </w:r>
          </w:p>
        </w:tc>
        <w:tc>
          <w:tcPr>
            <w:tcW w:w="1162" w:type="dxa"/>
            <w:tcBorders>
              <w:bottom w:val="single" w:sz="4" w:space="0" w:color="auto"/>
            </w:tcBorders>
          </w:tcPr>
          <w:p w14:paraId="3F0A1DFB" w14:textId="10F89B60" w:rsidR="009D4E5D" w:rsidRPr="00981D9A" w:rsidRDefault="009D4E5D" w:rsidP="001C6D39">
            <w:pPr>
              <w:contextualSpacing/>
            </w:pPr>
            <w:r w:rsidRPr="00981D9A">
              <w:t>.0</w:t>
            </w:r>
            <w:r w:rsidR="004A45AC">
              <w:t>4</w:t>
            </w:r>
          </w:p>
        </w:tc>
        <w:tc>
          <w:tcPr>
            <w:tcW w:w="1134" w:type="dxa"/>
            <w:tcBorders>
              <w:bottom w:val="single" w:sz="4" w:space="0" w:color="auto"/>
            </w:tcBorders>
          </w:tcPr>
          <w:p w14:paraId="022D0067" w14:textId="2C6D5AB6" w:rsidR="009D4E5D" w:rsidRPr="00981D9A" w:rsidRDefault="009D4E5D" w:rsidP="001C6D39">
            <w:pPr>
              <w:contextualSpacing/>
            </w:pPr>
            <w:r w:rsidRPr="00981D9A">
              <w:t>.00</w:t>
            </w:r>
            <w:r w:rsidR="004A45AC">
              <w:t>2</w:t>
            </w:r>
          </w:p>
        </w:tc>
      </w:tr>
    </w:tbl>
    <w:p w14:paraId="28D21C85" w14:textId="77777777" w:rsidR="00AB0399" w:rsidRPr="000B6F7D" w:rsidRDefault="00AB0399" w:rsidP="00AB0399">
      <w:pPr>
        <w:contextualSpacing/>
        <w:rPr>
          <w:i/>
        </w:rPr>
      </w:pPr>
      <w:r>
        <w:rPr>
          <w:i/>
        </w:rPr>
        <w:t xml:space="preserve">Note: Model 1 includes only the AAQ-II as a predictor of hoarding symptoms, Model 2 includes both the AAQ-II and AAQ-H as concurrent predictors of hoarding symptoms. </w:t>
      </w:r>
    </w:p>
    <w:p w14:paraId="0E08110B" w14:textId="77777777" w:rsidR="005F02E8" w:rsidRPr="00981D9A" w:rsidRDefault="005F02E8" w:rsidP="00467D55">
      <w:pPr>
        <w:spacing w:line="480" w:lineRule="auto"/>
        <w:contextualSpacing/>
      </w:pPr>
    </w:p>
    <w:p w14:paraId="668293BB" w14:textId="77777777" w:rsidR="00467D55" w:rsidRPr="00981D9A" w:rsidRDefault="00467D55"/>
    <w:p w14:paraId="3A6A6ABD" w14:textId="77777777" w:rsidR="00E041B7" w:rsidRDefault="00E041B7">
      <w:r>
        <w:br w:type="page"/>
      </w:r>
    </w:p>
    <w:p w14:paraId="7C6ABF8D" w14:textId="77777777" w:rsidR="00D33B95" w:rsidRDefault="00D33B95" w:rsidP="00493C21">
      <w:pPr>
        <w:pStyle w:val="EndNoteBibliography"/>
        <w:ind w:left="720" w:hanging="720"/>
        <w:rPr>
          <w:rFonts w:ascii="Times New Roman" w:hAnsi="Times New Roman" w:cs="Times New Roman"/>
        </w:rPr>
      </w:pPr>
    </w:p>
    <w:p w14:paraId="358099C1" w14:textId="77777777" w:rsidR="00DE7AFC" w:rsidRDefault="002538EB">
      <w:r>
        <w:rPr>
          <w:noProof/>
          <w:lang w:eastAsia="en-US"/>
        </w:rPr>
        <w:drawing>
          <wp:inline distT="0" distB="0" distL="0" distR="0" wp14:anchorId="3C3773A8" wp14:editId="13106A53">
            <wp:extent cx="5943600" cy="3458942"/>
            <wp:effectExtent l="0" t="0" r="0" b="0"/>
            <wp:docPr id="2" name="Chart 2">
              <a:extLst xmlns:a="http://schemas.openxmlformats.org/drawingml/2006/main">
                <a:ext uri="{FF2B5EF4-FFF2-40B4-BE49-F238E27FC236}">
                  <a16:creationId xmlns:a16="http://schemas.microsoft.com/office/drawing/2014/main" id="{2C0BF557-021D-3040-B0D8-8DD9AB315C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A87967D" w14:textId="77777777" w:rsidR="00DE7AFC" w:rsidRDefault="00DE7AFC"/>
    <w:p w14:paraId="03DD08E2" w14:textId="65F24380" w:rsidR="00D33B95" w:rsidRDefault="00DE7AFC">
      <w:r>
        <w:rPr>
          <w:i/>
        </w:rPr>
        <w:t xml:space="preserve">Figure 1. </w:t>
      </w:r>
      <w:r>
        <w:t>Scree plot</w:t>
      </w:r>
      <w:r w:rsidR="00D33B95">
        <w:br w:type="page"/>
      </w:r>
    </w:p>
    <w:p w14:paraId="738E3389" w14:textId="5858782B" w:rsidR="00042E83" w:rsidRDefault="00042E83" w:rsidP="0065265C">
      <w:pPr>
        <w:pStyle w:val="EndNoteBibliography"/>
        <w:ind w:left="720" w:hanging="720"/>
        <w:rPr>
          <w:rFonts w:ascii="Times New Roman" w:hAnsi="Times New Roman" w:cs="Times New Roman"/>
        </w:rPr>
      </w:pPr>
    </w:p>
    <w:p w14:paraId="175047F5" w14:textId="35790171" w:rsidR="00042E83" w:rsidRDefault="00042E83" w:rsidP="00042E83">
      <w:pPr>
        <w:pStyle w:val="EndNoteBibliography"/>
        <w:ind w:left="720" w:hanging="720"/>
        <w:rPr>
          <w:noProof/>
        </w:rPr>
      </w:pPr>
    </w:p>
    <w:p w14:paraId="6B44DD0F" w14:textId="77777777" w:rsidR="00DE7AFC" w:rsidRDefault="00037BE6">
      <w:r w:rsidRPr="00037BE6">
        <w:rPr>
          <w:noProof/>
          <w:lang w:eastAsia="en-US"/>
        </w:rPr>
        <w:drawing>
          <wp:inline distT="0" distB="0" distL="0" distR="0" wp14:anchorId="3CFFC022" wp14:editId="3A7AAF1F">
            <wp:extent cx="5524500" cy="18161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24500" cy="1816100"/>
                    </a:xfrm>
                    <a:prstGeom prst="rect">
                      <a:avLst/>
                    </a:prstGeom>
                  </pic:spPr>
                </pic:pic>
              </a:graphicData>
            </a:graphic>
          </wp:inline>
        </w:drawing>
      </w:r>
    </w:p>
    <w:p w14:paraId="22EE86E7" w14:textId="77777777" w:rsidR="00DE7AFC" w:rsidRDefault="00DE7AFC"/>
    <w:p w14:paraId="4FDF8D7E" w14:textId="1769483A" w:rsidR="00042E83" w:rsidRDefault="00DE7AFC">
      <w:r>
        <w:rPr>
          <w:i/>
        </w:rPr>
        <w:t xml:space="preserve">Figure 2. </w:t>
      </w:r>
      <w:r w:rsidR="00416D1A">
        <w:t>Mediation model</w:t>
      </w:r>
      <w:r w:rsidR="00042E83">
        <w:br w:type="page"/>
      </w:r>
    </w:p>
    <w:p w14:paraId="31852287" w14:textId="627C268B" w:rsidR="00042E83" w:rsidRDefault="00042E83" w:rsidP="00042E83">
      <w:pPr>
        <w:contextualSpacing/>
        <w:jc w:val="center"/>
      </w:pPr>
      <w:r w:rsidRPr="00981D9A">
        <w:t>Appendix</w:t>
      </w:r>
    </w:p>
    <w:p w14:paraId="5B8A6D75" w14:textId="77777777" w:rsidR="00042E83" w:rsidRPr="00981D9A" w:rsidRDefault="00042E83" w:rsidP="00042E83">
      <w:pPr>
        <w:contextualSpacing/>
        <w:jc w:val="center"/>
      </w:pPr>
      <w:r w:rsidRPr="00981D9A">
        <w:t>Acceptance and Action Questionnaire for Hoarding</w:t>
      </w:r>
      <w:r>
        <w:t xml:space="preserve"> (AAQH)</w:t>
      </w:r>
    </w:p>
    <w:p w14:paraId="6896083A" w14:textId="77777777" w:rsidR="00042E83" w:rsidRPr="00981D9A" w:rsidRDefault="00042E83" w:rsidP="00042E83">
      <w:pPr>
        <w:contextualSpacing/>
      </w:pPr>
    </w:p>
    <w:p w14:paraId="5EC69A65" w14:textId="77777777" w:rsidR="00042E83" w:rsidRPr="00981D9A" w:rsidRDefault="00042E83" w:rsidP="00042E83">
      <w:pPr>
        <w:contextualSpacing/>
        <w:rPr>
          <w:rFonts w:eastAsia="Times New Roman"/>
          <w:i/>
          <w:color w:val="404040"/>
          <w:shd w:val="clear" w:color="auto" w:fill="FFFFFF"/>
        </w:rPr>
      </w:pPr>
      <w:r w:rsidRPr="00981D9A">
        <w:rPr>
          <w:rFonts w:eastAsia="Times New Roman"/>
          <w:i/>
          <w:color w:val="404040"/>
          <w:shd w:val="clear" w:color="auto" w:fill="FFFFFF"/>
        </w:rPr>
        <w:t>Below you will find a list of statements that have to do with how you feel about the things you own. Some of the statements have to do with acquiring new things (e.g., buying, getting free things) and some of them have to do with discarding or letting go of your things (e.g., throwing them out, giving them away, donating, etc.). Please rate how true each statement is for you within the past week by selecting an option next to it. Use the scale below to make your choice. </w:t>
      </w:r>
    </w:p>
    <w:p w14:paraId="041E022A" w14:textId="77777777" w:rsidR="00042E83" w:rsidRPr="00981D9A" w:rsidRDefault="00042E83" w:rsidP="00042E83">
      <w:pPr>
        <w:contextualSpacing/>
        <w:rPr>
          <w:rFonts w:eastAsia="Times New Roman"/>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4"/>
        <w:gridCol w:w="1304"/>
        <w:gridCol w:w="1303"/>
        <w:gridCol w:w="1434"/>
        <w:gridCol w:w="1404"/>
        <w:gridCol w:w="1303"/>
        <w:gridCol w:w="1303"/>
      </w:tblGrid>
      <w:tr w:rsidR="00042E83" w:rsidRPr="00981D9A" w14:paraId="1A7BB6FD" w14:textId="77777777" w:rsidTr="0012776E">
        <w:tc>
          <w:tcPr>
            <w:tcW w:w="1166" w:type="dxa"/>
            <w:tcBorders>
              <w:bottom w:val="single" w:sz="4" w:space="0" w:color="auto"/>
            </w:tcBorders>
          </w:tcPr>
          <w:p w14:paraId="0E45C733" w14:textId="77777777" w:rsidR="00042E83" w:rsidRPr="00981D9A" w:rsidRDefault="00042E83" w:rsidP="0012776E">
            <w:pPr>
              <w:contextualSpacing/>
              <w:jc w:val="center"/>
            </w:pPr>
            <w:r w:rsidRPr="00981D9A">
              <w:t>1</w:t>
            </w:r>
          </w:p>
        </w:tc>
        <w:tc>
          <w:tcPr>
            <w:tcW w:w="1166" w:type="dxa"/>
            <w:tcBorders>
              <w:bottom w:val="single" w:sz="4" w:space="0" w:color="auto"/>
            </w:tcBorders>
          </w:tcPr>
          <w:p w14:paraId="25F79D03" w14:textId="77777777" w:rsidR="00042E83" w:rsidRPr="00981D9A" w:rsidRDefault="00042E83" w:rsidP="0012776E">
            <w:pPr>
              <w:contextualSpacing/>
              <w:jc w:val="center"/>
            </w:pPr>
            <w:r w:rsidRPr="00981D9A">
              <w:t>2</w:t>
            </w:r>
          </w:p>
        </w:tc>
        <w:tc>
          <w:tcPr>
            <w:tcW w:w="1166" w:type="dxa"/>
            <w:tcBorders>
              <w:bottom w:val="single" w:sz="4" w:space="0" w:color="auto"/>
            </w:tcBorders>
          </w:tcPr>
          <w:p w14:paraId="274F3962" w14:textId="77777777" w:rsidR="00042E83" w:rsidRPr="00981D9A" w:rsidRDefault="00042E83" w:rsidP="0012776E">
            <w:pPr>
              <w:contextualSpacing/>
              <w:jc w:val="center"/>
            </w:pPr>
            <w:r w:rsidRPr="00981D9A">
              <w:t>3</w:t>
            </w:r>
          </w:p>
        </w:tc>
        <w:tc>
          <w:tcPr>
            <w:tcW w:w="1166" w:type="dxa"/>
            <w:tcBorders>
              <w:bottom w:val="single" w:sz="4" w:space="0" w:color="auto"/>
            </w:tcBorders>
          </w:tcPr>
          <w:p w14:paraId="25592E68" w14:textId="77777777" w:rsidR="00042E83" w:rsidRPr="00981D9A" w:rsidRDefault="00042E83" w:rsidP="0012776E">
            <w:pPr>
              <w:contextualSpacing/>
              <w:jc w:val="center"/>
            </w:pPr>
            <w:r w:rsidRPr="00981D9A">
              <w:t>4</w:t>
            </w:r>
          </w:p>
        </w:tc>
        <w:tc>
          <w:tcPr>
            <w:tcW w:w="1166" w:type="dxa"/>
            <w:tcBorders>
              <w:bottom w:val="single" w:sz="4" w:space="0" w:color="auto"/>
            </w:tcBorders>
          </w:tcPr>
          <w:p w14:paraId="69562265" w14:textId="77777777" w:rsidR="00042E83" w:rsidRPr="00981D9A" w:rsidRDefault="00042E83" w:rsidP="0012776E">
            <w:pPr>
              <w:contextualSpacing/>
              <w:jc w:val="center"/>
            </w:pPr>
            <w:r w:rsidRPr="00981D9A">
              <w:t>5</w:t>
            </w:r>
          </w:p>
        </w:tc>
        <w:tc>
          <w:tcPr>
            <w:tcW w:w="1166" w:type="dxa"/>
            <w:tcBorders>
              <w:bottom w:val="single" w:sz="4" w:space="0" w:color="auto"/>
            </w:tcBorders>
          </w:tcPr>
          <w:p w14:paraId="28727BFF" w14:textId="77777777" w:rsidR="00042E83" w:rsidRPr="00981D9A" w:rsidRDefault="00042E83" w:rsidP="0012776E">
            <w:pPr>
              <w:contextualSpacing/>
              <w:jc w:val="center"/>
            </w:pPr>
            <w:r w:rsidRPr="00981D9A">
              <w:t>6</w:t>
            </w:r>
          </w:p>
        </w:tc>
        <w:tc>
          <w:tcPr>
            <w:tcW w:w="1166" w:type="dxa"/>
            <w:tcBorders>
              <w:bottom w:val="single" w:sz="4" w:space="0" w:color="auto"/>
            </w:tcBorders>
          </w:tcPr>
          <w:p w14:paraId="4B0BB06A" w14:textId="77777777" w:rsidR="00042E83" w:rsidRPr="00981D9A" w:rsidRDefault="00042E83" w:rsidP="0012776E">
            <w:pPr>
              <w:contextualSpacing/>
              <w:jc w:val="center"/>
            </w:pPr>
            <w:r w:rsidRPr="00981D9A">
              <w:t>7</w:t>
            </w:r>
          </w:p>
        </w:tc>
      </w:tr>
      <w:tr w:rsidR="00042E83" w:rsidRPr="00981D9A" w14:paraId="31F7666E" w14:textId="77777777" w:rsidTr="0012776E">
        <w:tc>
          <w:tcPr>
            <w:tcW w:w="1166" w:type="dxa"/>
            <w:tcBorders>
              <w:top w:val="single" w:sz="4" w:space="0" w:color="auto"/>
            </w:tcBorders>
          </w:tcPr>
          <w:p w14:paraId="1727D1A4" w14:textId="77777777" w:rsidR="00042E83" w:rsidRPr="00981D9A" w:rsidRDefault="00042E83" w:rsidP="0012776E">
            <w:pPr>
              <w:contextualSpacing/>
              <w:jc w:val="center"/>
            </w:pPr>
            <w:r w:rsidRPr="00981D9A">
              <w:t>Never true</w:t>
            </w:r>
          </w:p>
        </w:tc>
        <w:tc>
          <w:tcPr>
            <w:tcW w:w="1166" w:type="dxa"/>
            <w:tcBorders>
              <w:top w:val="single" w:sz="4" w:space="0" w:color="auto"/>
            </w:tcBorders>
          </w:tcPr>
          <w:p w14:paraId="6DA25039" w14:textId="77777777" w:rsidR="00042E83" w:rsidRPr="00981D9A" w:rsidRDefault="00042E83" w:rsidP="0012776E">
            <w:pPr>
              <w:contextualSpacing/>
              <w:jc w:val="center"/>
            </w:pPr>
            <w:r w:rsidRPr="00981D9A">
              <w:t>Very seldom true</w:t>
            </w:r>
          </w:p>
        </w:tc>
        <w:tc>
          <w:tcPr>
            <w:tcW w:w="1166" w:type="dxa"/>
            <w:tcBorders>
              <w:top w:val="single" w:sz="4" w:space="0" w:color="auto"/>
            </w:tcBorders>
          </w:tcPr>
          <w:p w14:paraId="06EC9E23" w14:textId="77777777" w:rsidR="00042E83" w:rsidRPr="00981D9A" w:rsidRDefault="00042E83" w:rsidP="0012776E">
            <w:pPr>
              <w:contextualSpacing/>
              <w:jc w:val="center"/>
            </w:pPr>
            <w:r w:rsidRPr="00981D9A">
              <w:t>Seldom true</w:t>
            </w:r>
          </w:p>
        </w:tc>
        <w:tc>
          <w:tcPr>
            <w:tcW w:w="1166" w:type="dxa"/>
            <w:tcBorders>
              <w:top w:val="single" w:sz="4" w:space="0" w:color="auto"/>
            </w:tcBorders>
          </w:tcPr>
          <w:p w14:paraId="3E7B48E8" w14:textId="77777777" w:rsidR="00042E83" w:rsidRPr="00981D9A" w:rsidRDefault="00042E83" w:rsidP="0012776E">
            <w:pPr>
              <w:contextualSpacing/>
              <w:jc w:val="center"/>
            </w:pPr>
            <w:r w:rsidRPr="00981D9A">
              <w:t>Sometimes true</w:t>
            </w:r>
          </w:p>
        </w:tc>
        <w:tc>
          <w:tcPr>
            <w:tcW w:w="1166" w:type="dxa"/>
            <w:tcBorders>
              <w:top w:val="single" w:sz="4" w:space="0" w:color="auto"/>
            </w:tcBorders>
          </w:tcPr>
          <w:p w14:paraId="1AA8BBDC" w14:textId="77777777" w:rsidR="00042E83" w:rsidRPr="00981D9A" w:rsidRDefault="00042E83" w:rsidP="0012776E">
            <w:pPr>
              <w:contextualSpacing/>
              <w:jc w:val="center"/>
            </w:pPr>
            <w:r w:rsidRPr="00981D9A">
              <w:t>Frequently true</w:t>
            </w:r>
          </w:p>
        </w:tc>
        <w:tc>
          <w:tcPr>
            <w:tcW w:w="1166" w:type="dxa"/>
            <w:tcBorders>
              <w:top w:val="single" w:sz="4" w:space="0" w:color="auto"/>
            </w:tcBorders>
          </w:tcPr>
          <w:p w14:paraId="563B96A6" w14:textId="77777777" w:rsidR="00042E83" w:rsidRPr="00981D9A" w:rsidRDefault="00042E83" w:rsidP="0012776E">
            <w:pPr>
              <w:contextualSpacing/>
              <w:jc w:val="center"/>
            </w:pPr>
            <w:r w:rsidRPr="00981D9A">
              <w:t>Almost always true</w:t>
            </w:r>
          </w:p>
        </w:tc>
        <w:tc>
          <w:tcPr>
            <w:tcW w:w="1166" w:type="dxa"/>
            <w:tcBorders>
              <w:top w:val="single" w:sz="4" w:space="0" w:color="auto"/>
            </w:tcBorders>
          </w:tcPr>
          <w:p w14:paraId="470F5331" w14:textId="77777777" w:rsidR="00042E83" w:rsidRPr="00981D9A" w:rsidRDefault="00042E83" w:rsidP="0012776E">
            <w:pPr>
              <w:contextualSpacing/>
              <w:jc w:val="center"/>
            </w:pPr>
            <w:r w:rsidRPr="00981D9A">
              <w:t>Always true</w:t>
            </w:r>
          </w:p>
        </w:tc>
      </w:tr>
    </w:tbl>
    <w:p w14:paraId="7B214573" w14:textId="77777777" w:rsidR="00042E83" w:rsidRPr="00981D9A" w:rsidRDefault="00042E83" w:rsidP="00042E83">
      <w:pPr>
        <w:contextualSpacing/>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gridCol w:w="2150"/>
      </w:tblGrid>
      <w:tr w:rsidR="00042E83" w:rsidRPr="00981D9A" w14:paraId="7A0B545A" w14:textId="77777777" w:rsidTr="0012776E">
        <w:trPr>
          <w:trHeight w:val="232"/>
        </w:trPr>
        <w:tc>
          <w:tcPr>
            <w:tcW w:w="7200" w:type="dxa"/>
          </w:tcPr>
          <w:p w14:paraId="46725585" w14:textId="77777777" w:rsidR="00042E83" w:rsidRPr="00981D9A" w:rsidRDefault="00042E83" w:rsidP="0012776E">
            <w:pPr>
              <w:pStyle w:val="ListParagraph"/>
              <w:numPr>
                <w:ilvl w:val="0"/>
                <w:numId w:val="15"/>
              </w:numPr>
              <w:rPr>
                <w:rFonts w:ascii="Times New Roman" w:hAnsi="Times New Roman" w:cs="Times New Roman"/>
              </w:rPr>
            </w:pPr>
            <w:r>
              <w:rPr>
                <w:rFonts w:ascii="Times New Roman" w:hAnsi="Times New Roman" w:cs="Times New Roman"/>
              </w:rPr>
              <w:t>I need to stop feeling so attached to my things.</w:t>
            </w:r>
          </w:p>
        </w:tc>
        <w:tc>
          <w:tcPr>
            <w:tcW w:w="2150" w:type="dxa"/>
          </w:tcPr>
          <w:p w14:paraId="2B47BC30" w14:textId="77777777" w:rsidR="00042E83" w:rsidRPr="00981D9A" w:rsidRDefault="00042E83" w:rsidP="0012776E">
            <w:pPr>
              <w:contextualSpacing/>
            </w:pPr>
            <w:r w:rsidRPr="00981D9A">
              <w:t>1   2   3   4   5   6   7</w:t>
            </w:r>
          </w:p>
        </w:tc>
      </w:tr>
      <w:tr w:rsidR="00042E83" w:rsidRPr="00981D9A" w14:paraId="577D0FF3" w14:textId="77777777" w:rsidTr="0012776E">
        <w:trPr>
          <w:trHeight w:val="232"/>
        </w:trPr>
        <w:tc>
          <w:tcPr>
            <w:tcW w:w="7200" w:type="dxa"/>
          </w:tcPr>
          <w:p w14:paraId="1FAFF583" w14:textId="77777777" w:rsidR="00042E83" w:rsidRPr="00981D9A" w:rsidRDefault="00042E83" w:rsidP="0012776E">
            <w:pPr>
              <w:pStyle w:val="ListParagraph"/>
              <w:numPr>
                <w:ilvl w:val="0"/>
                <w:numId w:val="15"/>
              </w:numPr>
              <w:rPr>
                <w:rFonts w:ascii="Times New Roman" w:hAnsi="Times New Roman" w:cs="Times New Roman"/>
              </w:rPr>
            </w:pPr>
            <w:r w:rsidRPr="00886A7A">
              <w:rPr>
                <w:rFonts w:ascii="Times New Roman" w:hAnsi="Times New Roman" w:cs="Times New Roman"/>
              </w:rPr>
              <w:t>I get lost in my thoughts about buying or finding something I really want.</w:t>
            </w:r>
          </w:p>
        </w:tc>
        <w:tc>
          <w:tcPr>
            <w:tcW w:w="2150" w:type="dxa"/>
          </w:tcPr>
          <w:p w14:paraId="3C6A5CF6" w14:textId="77777777" w:rsidR="00042E83" w:rsidRPr="00981D9A" w:rsidRDefault="00042E83" w:rsidP="0012776E">
            <w:pPr>
              <w:contextualSpacing/>
            </w:pPr>
            <w:r w:rsidRPr="00981D9A">
              <w:t>1   2   3   4   5   6   7</w:t>
            </w:r>
          </w:p>
        </w:tc>
      </w:tr>
      <w:tr w:rsidR="00042E83" w:rsidRPr="004908C5" w14:paraId="0032CF87" w14:textId="77777777" w:rsidTr="0012776E">
        <w:trPr>
          <w:trHeight w:val="232"/>
        </w:trPr>
        <w:tc>
          <w:tcPr>
            <w:tcW w:w="7200" w:type="dxa"/>
          </w:tcPr>
          <w:p w14:paraId="73D9BB29" w14:textId="77777777" w:rsidR="00042E83" w:rsidRPr="004908C5" w:rsidRDefault="00042E83" w:rsidP="0012776E">
            <w:pPr>
              <w:pStyle w:val="ListParagraph"/>
              <w:numPr>
                <w:ilvl w:val="0"/>
                <w:numId w:val="15"/>
              </w:numPr>
              <w:rPr>
                <w:rFonts w:ascii="Times New Roman" w:hAnsi="Times New Roman" w:cs="Times New Roman"/>
              </w:rPr>
            </w:pPr>
            <w:r w:rsidRPr="004908C5">
              <w:rPr>
                <w:rFonts w:ascii="Times New Roman" w:hAnsi="Times New Roman" w:cs="Times New Roman"/>
              </w:rPr>
              <w:t>I can’t stand feeling like I might make a mistake if I get rid of something.</w:t>
            </w:r>
          </w:p>
        </w:tc>
        <w:tc>
          <w:tcPr>
            <w:tcW w:w="2150" w:type="dxa"/>
          </w:tcPr>
          <w:p w14:paraId="02EE0497" w14:textId="77777777" w:rsidR="00042E83" w:rsidRPr="004908C5" w:rsidRDefault="00042E83" w:rsidP="0012776E">
            <w:pPr>
              <w:contextualSpacing/>
            </w:pPr>
            <w:r w:rsidRPr="004908C5">
              <w:t>1   2   3   4   5   6   7</w:t>
            </w:r>
          </w:p>
        </w:tc>
      </w:tr>
      <w:tr w:rsidR="00042E83" w:rsidRPr="004908C5" w14:paraId="5DCCE266" w14:textId="77777777" w:rsidTr="0012776E">
        <w:trPr>
          <w:trHeight w:val="324"/>
        </w:trPr>
        <w:tc>
          <w:tcPr>
            <w:tcW w:w="7200" w:type="dxa"/>
          </w:tcPr>
          <w:p w14:paraId="38502A23" w14:textId="77777777" w:rsidR="00042E83" w:rsidRPr="004908C5" w:rsidRDefault="00042E83" w:rsidP="0012776E">
            <w:pPr>
              <w:pStyle w:val="ListParagraph"/>
              <w:numPr>
                <w:ilvl w:val="0"/>
                <w:numId w:val="15"/>
              </w:numPr>
              <w:rPr>
                <w:rFonts w:ascii="Times New Roman" w:hAnsi="Times New Roman" w:cs="Times New Roman"/>
              </w:rPr>
            </w:pPr>
            <w:r w:rsidRPr="004908C5">
              <w:rPr>
                <w:rFonts w:ascii="Times New Roman" w:hAnsi="Times New Roman" w:cs="Times New Roman"/>
              </w:rPr>
              <w:t>My thoughts or feelings about my things control my actions.</w:t>
            </w:r>
          </w:p>
        </w:tc>
        <w:tc>
          <w:tcPr>
            <w:tcW w:w="2150" w:type="dxa"/>
          </w:tcPr>
          <w:p w14:paraId="766D651C" w14:textId="77777777" w:rsidR="00042E83" w:rsidRPr="004908C5" w:rsidRDefault="00042E83" w:rsidP="0012776E">
            <w:pPr>
              <w:contextualSpacing/>
            </w:pPr>
            <w:r w:rsidRPr="004908C5">
              <w:t>1   2   3   4   5   6   7</w:t>
            </w:r>
          </w:p>
        </w:tc>
      </w:tr>
      <w:tr w:rsidR="00042E83" w:rsidRPr="004908C5" w14:paraId="569D6D9F" w14:textId="77777777" w:rsidTr="0012776E">
        <w:trPr>
          <w:trHeight w:val="232"/>
        </w:trPr>
        <w:tc>
          <w:tcPr>
            <w:tcW w:w="7200" w:type="dxa"/>
          </w:tcPr>
          <w:p w14:paraId="18164D61" w14:textId="77777777" w:rsidR="00042E83" w:rsidRPr="004908C5" w:rsidRDefault="00042E83" w:rsidP="0012776E">
            <w:pPr>
              <w:pStyle w:val="ListParagraph"/>
              <w:numPr>
                <w:ilvl w:val="0"/>
                <w:numId w:val="15"/>
              </w:numPr>
              <w:rPr>
                <w:rFonts w:ascii="Times New Roman" w:hAnsi="Times New Roman" w:cs="Times New Roman"/>
              </w:rPr>
            </w:pPr>
            <w:r w:rsidRPr="004908C5">
              <w:rPr>
                <w:rFonts w:ascii="Times New Roman" w:hAnsi="Times New Roman" w:cs="Times New Roman"/>
              </w:rPr>
              <w:t>I have a hard time getting rid of things even when I know I should.</w:t>
            </w:r>
          </w:p>
        </w:tc>
        <w:tc>
          <w:tcPr>
            <w:tcW w:w="2150" w:type="dxa"/>
          </w:tcPr>
          <w:p w14:paraId="2AA3526A" w14:textId="77777777" w:rsidR="00042E83" w:rsidRPr="004908C5" w:rsidRDefault="00042E83" w:rsidP="0012776E">
            <w:pPr>
              <w:contextualSpacing/>
            </w:pPr>
            <w:r w:rsidRPr="004908C5">
              <w:t>1   2   3   4   5   6   7</w:t>
            </w:r>
          </w:p>
        </w:tc>
      </w:tr>
      <w:tr w:rsidR="00042E83" w:rsidRPr="004908C5" w14:paraId="3F320080" w14:textId="77777777" w:rsidTr="0012776E">
        <w:trPr>
          <w:trHeight w:val="232"/>
        </w:trPr>
        <w:tc>
          <w:tcPr>
            <w:tcW w:w="7200" w:type="dxa"/>
          </w:tcPr>
          <w:p w14:paraId="708340AE" w14:textId="77777777" w:rsidR="00042E83" w:rsidRPr="004908C5" w:rsidRDefault="00042E83" w:rsidP="0012776E">
            <w:pPr>
              <w:pStyle w:val="ListParagraph"/>
              <w:numPr>
                <w:ilvl w:val="0"/>
                <w:numId w:val="15"/>
              </w:numPr>
              <w:rPr>
                <w:rFonts w:ascii="Times New Roman" w:hAnsi="Times New Roman" w:cs="Times New Roman"/>
              </w:rPr>
            </w:pPr>
            <w:r w:rsidRPr="004908C5">
              <w:rPr>
                <w:rFonts w:ascii="Times New Roman" w:hAnsi="Times New Roman" w:cs="Times New Roman"/>
              </w:rPr>
              <w:t>My things are a central part of who I am.</w:t>
            </w:r>
          </w:p>
        </w:tc>
        <w:tc>
          <w:tcPr>
            <w:tcW w:w="2150" w:type="dxa"/>
          </w:tcPr>
          <w:p w14:paraId="76553DD5" w14:textId="77777777" w:rsidR="00042E83" w:rsidRPr="004908C5" w:rsidRDefault="00042E83" w:rsidP="0012776E">
            <w:pPr>
              <w:contextualSpacing/>
            </w:pPr>
            <w:r w:rsidRPr="004908C5">
              <w:t>1   2   3   4   5   6   7</w:t>
            </w:r>
          </w:p>
        </w:tc>
      </w:tr>
      <w:tr w:rsidR="00042E83" w:rsidRPr="004908C5" w14:paraId="49610FFF" w14:textId="77777777" w:rsidTr="0012776E">
        <w:trPr>
          <w:trHeight w:val="232"/>
        </w:trPr>
        <w:tc>
          <w:tcPr>
            <w:tcW w:w="7200" w:type="dxa"/>
          </w:tcPr>
          <w:p w14:paraId="18D34022" w14:textId="77777777" w:rsidR="00042E83" w:rsidRPr="004908C5" w:rsidRDefault="00042E83" w:rsidP="0012776E">
            <w:pPr>
              <w:pStyle w:val="ListParagraph"/>
              <w:numPr>
                <w:ilvl w:val="0"/>
                <w:numId w:val="15"/>
              </w:numPr>
              <w:rPr>
                <w:rFonts w:ascii="Times New Roman" w:hAnsi="Times New Roman" w:cs="Times New Roman"/>
              </w:rPr>
            </w:pPr>
            <w:r w:rsidRPr="004908C5">
              <w:rPr>
                <w:rFonts w:ascii="Times New Roman" w:hAnsi="Times New Roman" w:cs="Times New Roman"/>
              </w:rPr>
              <w:t>My thoughts or feelings make it hard for me to get rid of my things.</w:t>
            </w:r>
          </w:p>
        </w:tc>
        <w:tc>
          <w:tcPr>
            <w:tcW w:w="2150" w:type="dxa"/>
          </w:tcPr>
          <w:p w14:paraId="7B500F1F" w14:textId="77777777" w:rsidR="00042E83" w:rsidRPr="004908C5" w:rsidRDefault="00042E83" w:rsidP="0012776E">
            <w:pPr>
              <w:contextualSpacing/>
            </w:pPr>
            <w:r w:rsidRPr="004908C5">
              <w:t>1   2   3   4   5   6   7</w:t>
            </w:r>
          </w:p>
        </w:tc>
      </w:tr>
      <w:tr w:rsidR="00042E83" w:rsidRPr="004908C5" w14:paraId="46221ACB" w14:textId="77777777" w:rsidTr="0012776E">
        <w:trPr>
          <w:trHeight w:val="232"/>
        </w:trPr>
        <w:tc>
          <w:tcPr>
            <w:tcW w:w="7200" w:type="dxa"/>
            <w:vAlign w:val="bottom"/>
          </w:tcPr>
          <w:p w14:paraId="2BAF8DAB" w14:textId="42CB6D28" w:rsidR="00042E83" w:rsidRPr="004908C5" w:rsidRDefault="00D416DD" w:rsidP="0012776E">
            <w:pPr>
              <w:pStyle w:val="ListParagraph"/>
              <w:numPr>
                <w:ilvl w:val="0"/>
                <w:numId w:val="15"/>
              </w:numPr>
              <w:rPr>
                <w:rFonts w:ascii="Times New Roman" w:hAnsi="Times New Roman" w:cs="Times New Roman"/>
              </w:rPr>
            </w:pPr>
            <w:r w:rsidRPr="00D416DD">
              <w:rPr>
                <w:rFonts w:ascii="Times New Roman" w:hAnsi="Times New Roman" w:cs="Times New Roman"/>
              </w:rPr>
              <w:t>I need to get rid of my urges to acquire new things.</w:t>
            </w:r>
          </w:p>
        </w:tc>
        <w:tc>
          <w:tcPr>
            <w:tcW w:w="2150" w:type="dxa"/>
          </w:tcPr>
          <w:p w14:paraId="08DA9F68" w14:textId="77777777" w:rsidR="00042E83" w:rsidRPr="004908C5" w:rsidRDefault="00042E83" w:rsidP="0012776E">
            <w:pPr>
              <w:contextualSpacing/>
            </w:pPr>
            <w:r w:rsidRPr="004908C5">
              <w:t>1   2   3   4   5   6   7</w:t>
            </w:r>
          </w:p>
        </w:tc>
      </w:tr>
      <w:tr w:rsidR="00042E83" w:rsidRPr="004908C5" w14:paraId="00A5D03B" w14:textId="77777777" w:rsidTr="00D416DD">
        <w:trPr>
          <w:trHeight w:val="315"/>
        </w:trPr>
        <w:tc>
          <w:tcPr>
            <w:tcW w:w="7200" w:type="dxa"/>
            <w:vAlign w:val="bottom"/>
          </w:tcPr>
          <w:p w14:paraId="256AB890" w14:textId="77777777" w:rsidR="00042E83" w:rsidRPr="004908C5" w:rsidRDefault="00042E83" w:rsidP="0012776E">
            <w:pPr>
              <w:pStyle w:val="ListParagraph"/>
              <w:numPr>
                <w:ilvl w:val="0"/>
                <w:numId w:val="15"/>
              </w:numPr>
              <w:rPr>
                <w:rFonts w:ascii="Times New Roman" w:hAnsi="Times New Roman" w:cs="Times New Roman"/>
              </w:rPr>
            </w:pPr>
            <w:r w:rsidRPr="004908C5">
              <w:rPr>
                <w:rFonts w:ascii="Times New Roman" w:hAnsi="Times New Roman" w:cs="Times New Roman"/>
              </w:rPr>
              <w:t>I struggle to get rid of items that feel important to me.</w:t>
            </w:r>
          </w:p>
        </w:tc>
        <w:tc>
          <w:tcPr>
            <w:tcW w:w="2150" w:type="dxa"/>
          </w:tcPr>
          <w:p w14:paraId="0A37257D" w14:textId="77777777" w:rsidR="00042E83" w:rsidRPr="004908C5" w:rsidRDefault="00042E83" w:rsidP="0012776E">
            <w:pPr>
              <w:contextualSpacing/>
            </w:pPr>
            <w:r w:rsidRPr="004908C5">
              <w:t>1   2   3   4   5   6   7</w:t>
            </w:r>
          </w:p>
        </w:tc>
      </w:tr>
      <w:tr w:rsidR="00042E83" w:rsidRPr="004908C5" w14:paraId="6B1F8431" w14:textId="77777777" w:rsidTr="0012776E">
        <w:trPr>
          <w:trHeight w:val="232"/>
        </w:trPr>
        <w:tc>
          <w:tcPr>
            <w:tcW w:w="7200" w:type="dxa"/>
            <w:vAlign w:val="bottom"/>
          </w:tcPr>
          <w:p w14:paraId="7432142A" w14:textId="1127793E" w:rsidR="00042E83" w:rsidRPr="004908C5" w:rsidRDefault="00D416DD" w:rsidP="0012776E">
            <w:pPr>
              <w:pStyle w:val="ListParagraph"/>
              <w:numPr>
                <w:ilvl w:val="0"/>
                <w:numId w:val="15"/>
              </w:numPr>
              <w:rPr>
                <w:rFonts w:ascii="Times New Roman" w:hAnsi="Times New Roman" w:cs="Times New Roman"/>
              </w:rPr>
            </w:pPr>
            <w:r w:rsidRPr="00D416DD">
              <w:rPr>
                <w:rFonts w:ascii="Times New Roman" w:hAnsi="Times New Roman" w:cs="Times New Roman"/>
              </w:rPr>
              <w:t>I am always thinking about my things.</w:t>
            </w:r>
          </w:p>
        </w:tc>
        <w:tc>
          <w:tcPr>
            <w:tcW w:w="2150" w:type="dxa"/>
          </w:tcPr>
          <w:p w14:paraId="403C79F5" w14:textId="77777777" w:rsidR="00042E83" w:rsidRPr="004908C5" w:rsidRDefault="00042E83" w:rsidP="0012776E">
            <w:pPr>
              <w:contextualSpacing/>
            </w:pPr>
            <w:r w:rsidRPr="004908C5">
              <w:t>1   2   3   4   5   6   7</w:t>
            </w:r>
          </w:p>
        </w:tc>
      </w:tr>
      <w:tr w:rsidR="00042E83" w:rsidRPr="004908C5" w14:paraId="36D4B45C" w14:textId="77777777" w:rsidTr="0012776E">
        <w:trPr>
          <w:trHeight w:val="232"/>
        </w:trPr>
        <w:tc>
          <w:tcPr>
            <w:tcW w:w="7200" w:type="dxa"/>
            <w:vAlign w:val="bottom"/>
          </w:tcPr>
          <w:p w14:paraId="331F43FD" w14:textId="77777777" w:rsidR="00042E83" w:rsidRPr="004908C5" w:rsidRDefault="00042E83" w:rsidP="0012776E">
            <w:pPr>
              <w:pStyle w:val="ListParagraph"/>
              <w:numPr>
                <w:ilvl w:val="0"/>
                <w:numId w:val="15"/>
              </w:numPr>
              <w:rPr>
                <w:rFonts w:ascii="Times New Roman" w:hAnsi="Times New Roman" w:cs="Times New Roman"/>
              </w:rPr>
            </w:pPr>
            <w:r w:rsidRPr="004908C5">
              <w:rPr>
                <w:rFonts w:ascii="Times New Roman" w:hAnsi="Times New Roman" w:cs="Times New Roman"/>
              </w:rPr>
              <w:t>If I am worried I might need something in the future, I keep it.</w:t>
            </w:r>
          </w:p>
        </w:tc>
        <w:tc>
          <w:tcPr>
            <w:tcW w:w="2150" w:type="dxa"/>
          </w:tcPr>
          <w:p w14:paraId="518001DF" w14:textId="77777777" w:rsidR="00042E83" w:rsidRPr="004908C5" w:rsidRDefault="00042E83" w:rsidP="0012776E">
            <w:pPr>
              <w:contextualSpacing/>
            </w:pPr>
            <w:r w:rsidRPr="004908C5">
              <w:t>1   2   3   4   5   6   7</w:t>
            </w:r>
          </w:p>
        </w:tc>
      </w:tr>
      <w:tr w:rsidR="00042E83" w:rsidRPr="004908C5" w14:paraId="541616F1" w14:textId="77777777" w:rsidTr="0012776E">
        <w:trPr>
          <w:trHeight w:val="232"/>
        </w:trPr>
        <w:tc>
          <w:tcPr>
            <w:tcW w:w="7200" w:type="dxa"/>
            <w:vAlign w:val="bottom"/>
          </w:tcPr>
          <w:p w14:paraId="1917F9ED" w14:textId="3C1E8FBF" w:rsidR="00042E83" w:rsidRPr="004908C5" w:rsidRDefault="00D416DD" w:rsidP="0012776E">
            <w:pPr>
              <w:pStyle w:val="ListParagraph"/>
              <w:numPr>
                <w:ilvl w:val="0"/>
                <w:numId w:val="15"/>
              </w:numPr>
              <w:rPr>
                <w:rFonts w:ascii="Times New Roman" w:hAnsi="Times New Roman" w:cs="Times New Roman"/>
              </w:rPr>
            </w:pPr>
            <w:r w:rsidRPr="00D416DD">
              <w:rPr>
                <w:rFonts w:ascii="Times New Roman" w:hAnsi="Times New Roman" w:cs="Times New Roman"/>
              </w:rPr>
              <w:t>I continue to collect items, even when they cause problems for me.</w:t>
            </w:r>
          </w:p>
        </w:tc>
        <w:tc>
          <w:tcPr>
            <w:tcW w:w="2150" w:type="dxa"/>
          </w:tcPr>
          <w:p w14:paraId="47DBBE08" w14:textId="77777777" w:rsidR="00042E83" w:rsidRPr="004908C5" w:rsidRDefault="00042E83" w:rsidP="0012776E">
            <w:pPr>
              <w:contextualSpacing/>
            </w:pPr>
            <w:r w:rsidRPr="004908C5">
              <w:t>1   2   3   4   5   6   7</w:t>
            </w:r>
          </w:p>
        </w:tc>
      </w:tr>
      <w:tr w:rsidR="00042E83" w:rsidRPr="004908C5" w14:paraId="595F5CC2" w14:textId="77777777" w:rsidTr="0012776E">
        <w:trPr>
          <w:trHeight w:val="232"/>
        </w:trPr>
        <w:tc>
          <w:tcPr>
            <w:tcW w:w="7200" w:type="dxa"/>
          </w:tcPr>
          <w:p w14:paraId="6E7AF3D0" w14:textId="77777777" w:rsidR="00042E83" w:rsidRPr="004908C5" w:rsidRDefault="00042E83" w:rsidP="0012776E">
            <w:pPr>
              <w:pStyle w:val="ListParagraph"/>
              <w:numPr>
                <w:ilvl w:val="0"/>
                <w:numId w:val="15"/>
              </w:numPr>
              <w:rPr>
                <w:rFonts w:ascii="Times New Roman" w:eastAsia="Times New Roman" w:hAnsi="Times New Roman" w:cs="Times New Roman"/>
                <w:color w:val="000000"/>
              </w:rPr>
            </w:pPr>
            <w:r w:rsidRPr="004908C5">
              <w:rPr>
                <w:rFonts w:ascii="Times New Roman" w:hAnsi="Times New Roman" w:cs="Times New Roman"/>
              </w:rPr>
              <w:t>I keep my things because I am attached to them.</w:t>
            </w:r>
          </w:p>
        </w:tc>
        <w:tc>
          <w:tcPr>
            <w:tcW w:w="2150" w:type="dxa"/>
          </w:tcPr>
          <w:p w14:paraId="7DE871B6" w14:textId="77777777" w:rsidR="00042E83" w:rsidRPr="004908C5" w:rsidRDefault="00042E83" w:rsidP="0012776E">
            <w:pPr>
              <w:contextualSpacing/>
            </w:pPr>
            <w:r w:rsidRPr="004908C5">
              <w:t>1   2   3   4   5   6   7</w:t>
            </w:r>
          </w:p>
        </w:tc>
      </w:tr>
      <w:tr w:rsidR="00042E83" w:rsidRPr="004908C5" w14:paraId="208DCFA5" w14:textId="77777777" w:rsidTr="0012776E">
        <w:trPr>
          <w:trHeight w:val="232"/>
        </w:trPr>
        <w:tc>
          <w:tcPr>
            <w:tcW w:w="7200" w:type="dxa"/>
            <w:vAlign w:val="center"/>
          </w:tcPr>
          <w:p w14:paraId="3A76723E" w14:textId="77777777" w:rsidR="00042E83" w:rsidRPr="004908C5" w:rsidRDefault="00042E83" w:rsidP="0012776E">
            <w:pPr>
              <w:pStyle w:val="ListParagraph"/>
              <w:numPr>
                <w:ilvl w:val="0"/>
                <w:numId w:val="15"/>
              </w:numPr>
              <w:rPr>
                <w:rFonts w:ascii="Times New Roman" w:eastAsia="Times New Roman" w:hAnsi="Times New Roman" w:cs="Times New Roman"/>
                <w:color w:val="000000"/>
              </w:rPr>
            </w:pPr>
            <w:r w:rsidRPr="004908C5">
              <w:rPr>
                <w:rFonts w:ascii="Times New Roman" w:hAnsi="Times New Roman" w:cs="Times New Roman"/>
              </w:rPr>
              <w:t>I collect or buy objects when I feel distressed.</w:t>
            </w:r>
          </w:p>
        </w:tc>
        <w:tc>
          <w:tcPr>
            <w:tcW w:w="2150" w:type="dxa"/>
          </w:tcPr>
          <w:p w14:paraId="6D098059" w14:textId="77777777" w:rsidR="00042E83" w:rsidRPr="004908C5" w:rsidRDefault="00042E83" w:rsidP="0012776E">
            <w:pPr>
              <w:contextualSpacing/>
            </w:pPr>
            <w:r w:rsidRPr="004908C5">
              <w:t>1   2   3   4   5   6   7</w:t>
            </w:r>
          </w:p>
        </w:tc>
      </w:tr>
    </w:tbl>
    <w:p w14:paraId="7B63A369" w14:textId="77777777" w:rsidR="00042E83" w:rsidRPr="004908C5" w:rsidRDefault="00042E83" w:rsidP="00042E83">
      <w:pPr>
        <w:contextualSpacing/>
      </w:pPr>
    </w:p>
    <w:p w14:paraId="3880F55F" w14:textId="15A51F22" w:rsidR="00042E83" w:rsidRDefault="00042E83" w:rsidP="00042E83">
      <w:pPr>
        <w:pStyle w:val="EndNoteBibliography"/>
        <w:ind w:left="720" w:hanging="720"/>
        <w:rPr>
          <w:rFonts w:ascii="Times New Roman" w:hAnsi="Times New Roman" w:cs="Times New Roman"/>
        </w:rPr>
      </w:pPr>
      <w:r>
        <w:rPr>
          <w:rFonts w:ascii="Times New Roman" w:hAnsi="Times New Roman" w:cs="Times New Roman"/>
        </w:rPr>
        <w:t xml:space="preserve">AAQH-Saving: 1, 3, 5, 7, </w:t>
      </w:r>
      <w:r w:rsidR="00D416DD">
        <w:rPr>
          <w:rFonts w:ascii="Times New Roman" w:hAnsi="Times New Roman" w:cs="Times New Roman"/>
        </w:rPr>
        <w:t>9</w:t>
      </w:r>
      <w:r>
        <w:rPr>
          <w:rFonts w:ascii="Times New Roman" w:hAnsi="Times New Roman" w:cs="Times New Roman"/>
        </w:rPr>
        <w:t>, 11, 13</w:t>
      </w:r>
    </w:p>
    <w:p w14:paraId="5BA2E8E8" w14:textId="7AA81AD0" w:rsidR="002538EB" w:rsidRDefault="00042E83" w:rsidP="00C12017">
      <w:pPr>
        <w:pStyle w:val="EndNoteBibliography"/>
        <w:ind w:left="720" w:hanging="720"/>
        <w:rPr>
          <w:rFonts w:ascii="Times New Roman" w:hAnsi="Times New Roman" w:cs="Times New Roman"/>
        </w:rPr>
      </w:pPr>
      <w:r>
        <w:rPr>
          <w:rFonts w:ascii="Times New Roman" w:hAnsi="Times New Roman" w:cs="Times New Roman"/>
        </w:rPr>
        <w:t>AAQH-Acquisition: 2, 4, 6, 8, 10, 12, 14</w:t>
      </w:r>
    </w:p>
    <w:p w14:paraId="54963D8B" w14:textId="0BAC24FC" w:rsidR="00042E83" w:rsidRPr="004908C5" w:rsidRDefault="00042E83" w:rsidP="00F5279C"/>
    <w:p w14:paraId="3E27E8CA" w14:textId="3C461730" w:rsidR="00D33B95" w:rsidRPr="0065265C" w:rsidRDefault="00D33B95" w:rsidP="00042E83"/>
    <w:sectPr w:rsidR="00D33B95" w:rsidRPr="0065265C" w:rsidSect="00921940">
      <w:headerReference w:type="even" r:id="rId11"/>
      <w:headerReference w:type="default" r:id="rId12"/>
      <w:headerReference w:type="first" r:id="rId13"/>
      <w:pgSz w:w="12240" w:h="15840"/>
      <w:pgMar w:top="1440" w:right="1440" w:bottom="1440" w:left="1440" w:header="720" w:footer="720" w:gutter="0"/>
      <w:pgNumType w:start="2"/>
      <w:cols w:space="720"/>
      <w:titlePg/>
      <w:docGrid w:linePitch="40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B333EB" w16cid:durableId="1E9A9DFF"/>
  <w16cid:commentId w16cid:paraId="02A0DCFB" w16cid:durableId="1E9A9EA0"/>
  <w16cid:commentId w16cid:paraId="223D86A0" w16cid:durableId="1E9A9E00"/>
  <w16cid:commentId w16cid:paraId="016F5FBC" w16cid:durableId="1E9A9F90"/>
  <w16cid:commentId w16cid:paraId="105FB765" w16cid:durableId="1E9A9E01"/>
  <w16cid:commentId w16cid:paraId="1CF94C51" w16cid:durableId="1E9A9E02"/>
  <w16cid:commentId w16cid:paraId="5A70D4D9" w16cid:durableId="1E9C10A1"/>
  <w16cid:commentId w16cid:paraId="210E7E52" w16cid:durableId="1E9C1A63"/>
  <w16cid:commentId w16cid:paraId="3B1822E6" w16cid:durableId="1E9C108D"/>
  <w16cid:commentId w16cid:paraId="236C1869" w16cid:durableId="1E9A9E04"/>
  <w16cid:commentId w16cid:paraId="1A13058A" w16cid:durableId="1E9A9E05"/>
  <w16cid:commentId w16cid:paraId="36B1460D" w16cid:durableId="1E9A9E06"/>
  <w16cid:commentId w16cid:paraId="20602C46" w16cid:durableId="1E9C114A"/>
  <w16cid:commentId w16cid:paraId="6EC8F42C" w16cid:durableId="1E9A9E07"/>
  <w16cid:commentId w16cid:paraId="3B462D18" w16cid:durableId="1E9A9E08"/>
  <w16cid:commentId w16cid:paraId="26873C2E" w16cid:durableId="1E9C2168"/>
  <w16cid:commentId w16cid:paraId="24A3790F" w16cid:durableId="1E9C2185"/>
  <w16cid:commentId w16cid:paraId="28A16AD6" w16cid:durableId="1E9A9E0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78F28" w14:textId="77777777" w:rsidR="00E27A3E" w:rsidRDefault="00E27A3E" w:rsidP="000E54AA">
      <w:r>
        <w:separator/>
      </w:r>
    </w:p>
  </w:endnote>
  <w:endnote w:type="continuationSeparator" w:id="0">
    <w:p w14:paraId="285C204F" w14:textId="77777777" w:rsidR="00E27A3E" w:rsidRDefault="00E27A3E" w:rsidP="000E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charset w:val="80"/>
    <w:family w:val="auto"/>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03FFC" w14:textId="77777777" w:rsidR="00E27A3E" w:rsidRDefault="00E27A3E" w:rsidP="000E54AA">
      <w:r>
        <w:separator/>
      </w:r>
    </w:p>
  </w:footnote>
  <w:footnote w:type="continuationSeparator" w:id="0">
    <w:p w14:paraId="52F7AE79" w14:textId="77777777" w:rsidR="00E27A3E" w:rsidRDefault="00E27A3E" w:rsidP="000E5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FA006" w14:textId="77777777" w:rsidR="000377C0" w:rsidRPr="00A22004" w:rsidRDefault="000377C0" w:rsidP="00921940">
    <w:pPr>
      <w:pStyle w:val="Header"/>
      <w:framePr w:wrap="none" w:vAnchor="text" w:hAnchor="margin" w:xAlign="right" w:y="1"/>
      <w:rPr>
        <w:rStyle w:val="PageNumber"/>
        <w:rFonts w:ascii="Times New Roman" w:hAnsi="Times New Roman" w:cs="Times New Roman"/>
      </w:rPr>
    </w:pPr>
    <w:r>
      <w:rPr>
        <w:rStyle w:val="PageNumber"/>
        <w:rFonts w:ascii="Times New Roman" w:hAnsi="Times New Roman" w:cs="Times New Roman"/>
      </w:rPr>
      <w:t>1</w:t>
    </w:r>
  </w:p>
  <w:p w14:paraId="07FACC9E" w14:textId="77777777" w:rsidR="000377C0" w:rsidRPr="000E54AA" w:rsidRDefault="000377C0" w:rsidP="00921940">
    <w:pPr>
      <w:pStyle w:val="Header"/>
      <w:ind w:right="360"/>
      <w:rPr>
        <w:rFonts w:ascii="Times New Roman" w:hAnsi="Times New Roman" w:cs="Times New Roman"/>
      </w:rPr>
    </w:pPr>
    <w:r w:rsidRPr="000E54AA">
      <w:rPr>
        <w:rFonts w:ascii="Times New Roman" w:hAnsi="Times New Roman" w:cs="Times New Roman"/>
      </w:rPr>
      <w:t>Running head: ACCEPTANCE AN</w:t>
    </w:r>
    <w:r>
      <w:rPr>
        <w:rFonts w:ascii="Times New Roman" w:hAnsi="Times New Roman" w:cs="Times New Roman"/>
      </w:rPr>
      <w:t>D ACTION</w:t>
    </w:r>
    <w:r w:rsidRPr="000E54AA">
      <w:rPr>
        <w:rFonts w:ascii="Times New Roman" w:hAnsi="Times New Roman" w:cs="Times New Roman"/>
      </w:rPr>
      <w:t xml:space="preserve"> QUESTIONNAIRE FOR HOARDING</w:t>
    </w:r>
  </w:p>
  <w:p w14:paraId="3B8872FC" w14:textId="77777777" w:rsidR="000377C0" w:rsidRDefault="000377C0" w:rsidP="005604D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15F2F" w14:textId="77777777" w:rsidR="000377C0" w:rsidRDefault="000377C0" w:rsidP="005604D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AD5149" w14:textId="77777777" w:rsidR="000377C0" w:rsidRDefault="000377C0" w:rsidP="00A22004">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7FAA0" w14:textId="1605A4A2" w:rsidR="000377C0" w:rsidRPr="00A22004" w:rsidRDefault="000377C0" w:rsidP="005604D9">
    <w:pPr>
      <w:pStyle w:val="Header"/>
      <w:framePr w:wrap="none" w:vAnchor="text" w:hAnchor="margin" w:xAlign="right" w:y="1"/>
      <w:rPr>
        <w:rStyle w:val="PageNumber"/>
        <w:rFonts w:ascii="Times New Roman" w:hAnsi="Times New Roman" w:cs="Times New Roman"/>
      </w:rPr>
    </w:pPr>
    <w:r w:rsidRPr="00A22004">
      <w:rPr>
        <w:rStyle w:val="PageNumber"/>
        <w:rFonts w:ascii="Times New Roman" w:hAnsi="Times New Roman" w:cs="Times New Roman"/>
      </w:rPr>
      <w:fldChar w:fldCharType="begin"/>
    </w:r>
    <w:r w:rsidRPr="00A22004">
      <w:rPr>
        <w:rStyle w:val="PageNumber"/>
        <w:rFonts w:ascii="Times New Roman" w:hAnsi="Times New Roman" w:cs="Times New Roman"/>
      </w:rPr>
      <w:instrText xml:space="preserve">PAGE  </w:instrText>
    </w:r>
    <w:r w:rsidRPr="00A22004">
      <w:rPr>
        <w:rStyle w:val="PageNumber"/>
        <w:rFonts w:ascii="Times New Roman" w:hAnsi="Times New Roman" w:cs="Times New Roman"/>
      </w:rPr>
      <w:fldChar w:fldCharType="separate"/>
    </w:r>
    <w:r w:rsidR="00232385">
      <w:rPr>
        <w:rStyle w:val="PageNumber"/>
        <w:rFonts w:ascii="Times New Roman" w:hAnsi="Times New Roman" w:cs="Times New Roman"/>
        <w:noProof/>
      </w:rPr>
      <w:t>5</w:t>
    </w:r>
    <w:r w:rsidRPr="00A22004">
      <w:rPr>
        <w:rStyle w:val="PageNumber"/>
        <w:rFonts w:ascii="Times New Roman" w:hAnsi="Times New Roman" w:cs="Times New Roman"/>
      </w:rPr>
      <w:fldChar w:fldCharType="end"/>
    </w:r>
  </w:p>
  <w:p w14:paraId="4E9675EF" w14:textId="77777777" w:rsidR="000377C0" w:rsidRPr="000E54AA" w:rsidRDefault="000377C0" w:rsidP="00A22004">
    <w:pPr>
      <w:pStyle w:val="Header"/>
      <w:ind w:right="360"/>
      <w:rPr>
        <w:rFonts w:ascii="Times New Roman" w:hAnsi="Times New Roman" w:cs="Times New Roman"/>
      </w:rPr>
    </w:pPr>
    <w:r>
      <w:rPr>
        <w:rFonts w:ascii="Times New Roman" w:hAnsi="Times New Roman" w:cs="Times New Roman"/>
      </w:rPr>
      <w:t>ACCEPTANCE AND ACTION QUESTIONNAIRE FOR HOARDING</w:t>
    </w:r>
    <w:r>
      <w:rPr>
        <w:rFonts w:ascii="Times New Roman" w:hAnsi="Times New Roman" w:cs="Times New Roman"/>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E12E4" w14:textId="62521A15" w:rsidR="000377C0" w:rsidRPr="00921940" w:rsidRDefault="000377C0" w:rsidP="005604D9">
    <w:pPr>
      <w:pStyle w:val="Header"/>
      <w:framePr w:wrap="none" w:vAnchor="text" w:hAnchor="margin" w:xAlign="right" w:y="1"/>
      <w:rPr>
        <w:rStyle w:val="PageNumber"/>
        <w:rFonts w:ascii="Times New Roman" w:hAnsi="Times New Roman" w:cs="Times New Roman"/>
      </w:rPr>
    </w:pPr>
    <w:r w:rsidRPr="00921940">
      <w:rPr>
        <w:rStyle w:val="PageNumber"/>
        <w:rFonts w:ascii="Times New Roman" w:hAnsi="Times New Roman" w:cs="Times New Roman"/>
      </w:rPr>
      <w:fldChar w:fldCharType="begin"/>
    </w:r>
    <w:r w:rsidRPr="00921940">
      <w:rPr>
        <w:rStyle w:val="PageNumber"/>
        <w:rFonts w:ascii="Times New Roman" w:hAnsi="Times New Roman" w:cs="Times New Roman"/>
      </w:rPr>
      <w:instrText xml:space="preserve">PAGE  </w:instrText>
    </w:r>
    <w:r w:rsidRPr="00921940">
      <w:rPr>
        <w:rStyle w:val="PageNumber"/>
        <w:rFonts w:ascii="Times New Roman" w:hAnsi="Times New Roman" w:cs="Times New Roman"/>
      </w:rPr>
      <w:fldChar w:fldCharType="separate"/>
    </w:r>
    <w:r w:rsidR="00232385">
      <w:rPr>
        <w:rStyle w:val="PageNumber"/>
        <w:rFonts w:ascii="Times New Roman" w:hAnsi="Times New Roman" w:cs="Times New Roman"/>
        <w:noProof/>
      </w:rPr>
      <w:t>2</w:t>
    </w:r>
    <w:r w:rsidRPr="00921940">
      <w:rPr>
        <w:rStyle w:val="PageNumber"/>
        <w:rFonts w:ascii="Times New Roman" w:hAnsi="Times New Roman" w:cs="Times New Roman"/>
      </w:rPr>
      <w:fldChar w:fldCharType="end"/>
    </w:r>
  </w:p>
  <w:p w14:paraId="2D479F74" w14:textId="77777777" w:rsidR="000377C0" w:rsidRPr="000E54AA" w:rsidRDefault="000377C0" w:rsidP="00921940">
    <w:pPr>
      <w:pStyle w:val="Header"/>
      <w:ind w:right="360"/>
      <w:rPr>
        <w:rFonts w:ascii="Times New Roman" w:hAnsi="Times New Roman" w:cs="Times New Roman"/>
      </w:rPr>
    </w:pPr>
    <w:r>
      <w:rPr>
        <w:rFonts w:ascii="Times New Roman" w:hAnsi="Times New Roman" w:cs="Times New Roman"/>
      </w:rPr>
      <w:t>ACCEPTANCE AND ACTION QUESTIONNAIRE FOR HOARDING</w:t>
    </w:r>
    <w:r>
      <w:rPr>
        <w:rFonts w:ascii="Times New Roman" w:hAnsi="Times New Roman" w:cs="Times New Roman"/>
      </w:rPr>
      <w:tab/>
    </w:r>
  </w:p>
  <w:p w14:paraId="2FBCEAD3" w14:textId="77777777" w:rsidR="000377C0" w:rsidRPr="000E54AA" w:rsidRDefault="000377C0" w:rsidP="00921940">
    <w:pPr>
      <w:pStyle w:val="Header"/>
      <w:ind w:right="360"/>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3E80"/>
    <w:multiLevelType w:val="hybridMultilevel"/>
    <w:tmpl w:val="30E04F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C78C2"/>
    <w:multiLevelType w:val="hybridMultilevel"/>
    <w:tmpl w:val="89422D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4435A"/>
    <w:multiLevelType w:val="hybridMultilevel"/>
    <w:tmpl w:val="4A0AF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D0257"/>
    <w:multiLevelType w:val="multilevel"/>
    <w:tmpl w:val="DD441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3B0BE4"/>
    <w:multiLevelType w:val="hybridMultilevel"/>
    <w:tmpl w:val="91C826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6F03BB"/>
    <w:multiLevelType w:val="hybridMultilevel"/>
    <w:tmpl w:val="14EC2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261C4F"/>
    <w:multiLevelType w:val="multilevel"/>
    <w:tmpl w:val="65EC6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012B42"/>
    <w:multiLevelType w:val="hybridMultilevel"/>
    <w:tmpl w:val="7334F994"/>
    <w:lvl w:ilvl="0" w:tplc="6BBEB7D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42C78"/>
    <w:multiLevelType w:val="hybridMultilevel"/>
    <w:tmpl w:val="5C606564"/>
    <w:lvl w:ilvl="0" w:tplc="FD4845C8">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141544"/>
    <w:multiLevelType w:val="hybridMultilevel"/>
    <w:tmpl w:val="E6C26468"/>
    <w:lvl w:ilvl="0" w:tplc="FF88BB4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C15875"/>
    <w:multiLevelType w:val="hybridMultilevel"/>
    <w:tmpl w:val="37D8C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1E32EC"/>
    <w:multiLevelType w:val="multilevel"/>
    <w:tmpl w:val="8458C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D44E35"/>
    <w:multiLevelType w:val="hybridMultilevel"/>
    <w:tmpl w:val="BE1CC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575764"/>
    <w:multiLevelType w:val="hybridMultilevel"/>
    <w:tmpl w:val="7BC83CD6"/>
    <w:lvl w:ilvl="0" w:tplc="1FE879B4">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F54D1E"/>
    <w:multiLevelType w:val="multilevel"/>
    <w:tmpl w:val="6AF82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7716F1"/>
    <w:multiLevelType w:val="multilevel"/>
    <w:tmpl w:val="BA144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F142AEA"/>
    <w:multiLevelType w:val="hybridMultilevel"/>
    <w:tmpl w:val="F92486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382171"/>
    <w:multiLevelType w:val="multilevel"/>
    <w:tmpl w:val="6AC80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26B4572"/>
    <w:multiLevelType w:val="hybridMultilevel"/>
    <w:tmpl w:val="15EE8A3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1"/>
  </w:num>
  <w:num w:numId="4">
    <w:abstractNumId w:val="17"/>
  </w:num>
  <w:num w:numId="5">
    <w:abstractNumId w:val="15"/>
  </w:num>
  <w:num w:numId="6">
    <w:abstractNumId w:val="6"/>
  </w:num>
  <w:num w:numId="7">
    <w:abstractNumId w:val="14"/>
  </w:num>
  <w:num w:numId="8">
    <w:abstractNumId w:val="10"/>
  </w:num>
  <w:num w:numId="9">
    <w:abstractNumId w:val="13"/>
  </w:num>
  <w:num w:numId="10">
    <w:abstractNumId w:val="8"/>
  </w:num>
  <w:num w:numId="11">
    <w:abstractNumId w:val="16"/>
  </w:num>
  <w:num w:numId="12">
    <w:abstractNumId w:val="4"/>
  </w:num>
  <w:num w:numId="13">
    <w:abstractNumId w:val="18"/>
  </w:num>
  <w:num w:numId="14">
    <w:abstractNumId w:val="9"/>
  </w:num>
  <w:num w:numId="15">
    <w:abstractNumId w:val="12"/>
  </w:num>
  <w:num w:numId="16">
    <w:abstractNumId w:val="2"/>
  </w:num>
  <w:num w:numId="17">
    <w:abstractNumId w:val="1"/>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20"/>
  <w:drawingGridVerticalSpacing w:val="2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ftfe0ewbpe5txea5e0x00d3v0pwz2rfw90s&quot;&gt;My EndNote Library&lt;record-ids&gt;&lt;item&gt;118&lt;/item&gt;&lt;item&gt;172&lt;/item&gt;&lt;item&gt;173&lt;/item&gt;&lt;item&gt;176&lt;/item&gt;&lt;item&gt;203&lt;/item&gt;&lt;item&gt;266&lt;/item&gt;&lt;item&gt;370&lt;/item&gt;&lt;item&gt;732&lt;/item&gt;&lt;/record-ids&gt;&lt;/item&gt;&lt;/Libraries&gt;"/>
  </w:docVars>
  <w:rsids>
    <w:rsidRoot w:val="00EF7F9F"/>
    <w:rsid w:val="00004698"/>
    <w:rsid w:val="00004B29"/>
    <w:rsid w:val="00006CEF"/>
    <w:rsid w:val="00007590"/>
    <w:rsid w:val="0001301F"/>
    <w:rsid w:val="00017B34"/>
    <w:rsid w:val="00022AF7"/>
    <w:rsid w:val="0002443D"/>
    <w:rsid w:val="00032773"/>
    <w:rsid w:val="00032C8F"/>
    <w:rsid w:val="00033ECD"/>
    <w:rsid w:val="000369B1"/>
    <w:rsid w:val="000377C0"/>
    <w:rsid w:val="00037BE6"/>
    <w:rsid w:val="00042E83"/>
    <w:rsid w:val="00044930"/>
    <w:rsid w:val="000452BF"/>
    <w:rsid w:val="0004733E"/>
    <w:rsid w:val="0004768B"/>
    <w:rsid w:val="00053701"/>
    <w:rsid w:val="00060961"/>
    <w:rsid w:val="00061175"/>
    <w:rsid w:val="0006448E"/>
    <w:rsid w:val="00065FE6"/>
    <w:rsid w:val="00066118"/>
    <w:rsid w:val="00081C57"/>
    <w:rsid w:val="000900F2"/>
    <w:rsid w:val="000951B2"/>
    <w:rsid w:val="000A4B8E"/>
    <w:rsid w:val="000A5FD7"/>
    <w:rsid w:val="000B3DD1"/>
    <w:rsid w:val="000C092B"/>
    <w:rsid w:val="000C261A"/>
    <w:rsid w:val="000C2E0A"/>
    <w:rsid w:val="000D5265"/>
    <w:rsid w:val="000D5AA2"/>
    <w:rsid w:val="000D6833"/>
    <w:rsid w:val="000E281F"/>
    <w:rsid w:val="000E54AA"/>
    <w:rsid w:val="000F069F"/>
    <w:rsid w:val="000F0AF6"/>
    <w:rsid w:val="000F7026"/>
    <w:rsid w:val="000F7454"/>
    <w:rsid w:val="00103A7D"/>
    <w:rsid w:val="00105CBF"/>
    <w:rsid w:val="0010616C"/>
    <w:rsid w:val="00106D12"/>
    <w:rsid w:val="00111FD5"/>
    <w:rsid w:val="001142C6"/>
    <w:rsid w:val="00116DF9"/>
    <w:rsid w:val="00117E8C"/>
    <w:rsid w:val="00123045"/>
    <w:rsid w:val="0012776E"/>
    <w:rsid w:val="001279CD"/>
    <w:rsid w:val="001334D5"/>
    <w:rsid w:val="00140D57"/>
    <w:rsid w:val="00144C58"/>
    <w:rsid w:val="00150FC9"/>
    <w:rsid w:val="001551AE"/>
    <w:rsid w:val="00160DE6"/>
    <w:rsid w:val="00162A20"/>
    <w:rsid w:val="00163346"/>
    <w:rsid w:val="001646D4"/>
    <w:rsid w:val="00164D7E"/>
    <w:rsid w:val="0017000A"/>
    <w:rsid w:val="00173F65"/>
    <w:rsid w:val="0017409E"/>
    <w:rsid w:val="00174882"/>
    <w:rsid w:val="0018041E"/>
    <w:rsid w:val="001817DB"/>
    <w:rsid w:val="001828E8"/>
    <w:rsid w:val="001837F5"/>
    <w:rsid w:val="00191602"/>
    <w:rsid w:val="00194ED1"/>
    <w:rsid w:val="0019522E"/>
    <w:rsid w:val="001A0778"/>
    <w:rsid w:val="001A0A1C"/>
    <w:rsid w:val="001A1C51"/>
    <w:rsid w:val="001A37D1"/>
    <w:rsid w:val="001A3811"/>
    <w:rsid w:val="001A61D2"/>
    <w:rsid w:val="001C6D39"/>
    <w:rsid w:val="001D35B5"/>
    <w:rsid w:val="001D3620"/>
    <w:rsid w:val="001D567D"/>
    <w:rsid w:val="001E178F"/>
    <w:rsid w:val="001E335D"/>
    <w:rsid w:val="001E4746"/>
    <w:rsid w:val="001E518C"/>
    <w:rsid w:val="001E53E6"/>
    <w:rsid w:val="001E64CC"/>
    <w:rsid w:val="001F0C20"/>
    <w:rsid w:val="001F0F36"/>
    <w:rsid w:val="001F15C2"/>
    <w:rsid w:val="00204967"/>
    <w:rsid w:val="00206A4C"/>
    <w:rsid w:val="00210C71"/>
    <w:rsid w:val="00210F81"/>
    <w:rsid w:val="00224CD5"/>
    <w:rsid w:val="002303D4"/>
    <w:rsid w:val="00230435"/>
    <w:rsid w:val="00232385"/>
    <w:rsid w:val="00233072"/>
    <w:rsid w:val="00233429"/>
    <w:rsid w:val="00234C9A"/>
    <w:rsid w:val="00235ECB"/>
    <w:rsid w:val="0023785B"/>
    <w:rsid w:val="00243782"/>
    <w:rsid w:val="00245B3B"/>
    <w:rsid w:val="00246886"/>
    <w:rsid w:val="002521CE"/>
    <w:rsid w:val="002538EB"/>
    <w:rsid w:val="00253C8D"/>
    <w:rsid w:val="002562FD"/>
    <w:rsid w:val="0026310D"/>
    <w:rsid w:val="0026388C"/>
    <w:rsid w:val="002665D8"/>
    <w:rsid w:val="00271654"/>
    <w:rsid w:val="00276AEE"/>
    <w:rsid w:val="00277D2E"/>
    <w:rsid w:val="00293E01"/>
    <w:rsid w:val="002944B9"/>
    <w:rsid w:val="002979E1"/>
    <w:rsid w:val="002A3D5F"/>
    <w:rsid w:val="002B1232"/>
    <w:rsid w:val="002B150A"/>
    <w:rsid w:val="002B1A53"/>
    <w:rsid w:val="002C5810"/>
    <w:rsid w:val="002C6A6D"/>
    <w:rsid w:val="002E16EE"/>
    <w:rsid w:val="002E5CB3"/>
    <w:rsid w:val="002E5E27"/>
    <w:rsid w:val="002E6298"/>
    <w:rsid w:val="002F0E3E"/>
    <w:rsid w:val="002F6BE2"/>
    <w:rsid w:val="00301B46"/>
    <w:rsid w:val="00302F7F"/>
    <w:rsid w:val="0030511E"/>
    <w:rsid w:val="003052DB"/>
    <w:rsid w:val="00310EC8"/>
    <w:rsid w:val="003123F2"/>
    <w:rsid w:val="00315EFD"/>
    <w:rsid w:val="003169FD"/>
    <w:rsid w:val="00320721"/>
    <w:rsid w:val="00320E2A"/>
    <w:rsid w:val="0033107C"/>
    <w:rsid w:val="0033382C"/>
    <w:rsid w:val="00335BA9"/>
    <w:rsid w:val="00335D78"/>
    <w:rsid w:val="003409BD"/>
    <w:rsid w:val="00342194"/>
    <w:rsid w:val="00352315"/>
    <w:rsid w:val="003536A4"/>
    <w:rsid w:val="003542B4"/>
    <w:rsid w:val="00356661"/>
    <w:rsid w:val="00361948"/>
    <w:rsid w:val="00371416"/>
    <w:rsid w:val="003723FB"/>
    <w:rsid w:val="003727A7"/>
    <w:rsid w:val="00374F47"/>
    <w:rsid w:val="00383B95"/>
    <w:rsid w:val="003928E4"/>
    <w:rsid w:val="00394489"/>
    <w:rsid w:val="003A501C"/>
    <w:rsid w:val="003A5BE4"/>
    <w:rsid w:val="003C2C8B"/>
    <w:rsid w:val="003C7740"/>
    <w:rsid w:val="003D07AD"/>
    <w:rsid w:val="003D7C3C"/>
    <w:rsid w:val="003F0286"/>
    <w:rsid w:val="003F461C"/>
    <w:rsid w:val="00400B7C"/>
    <w:rsid w:val="00400D06"/>
    <w:rsid w:val="004054D9"/>
    <w:rsid w:val="0041088C"/>
    <w:rsid w:val="0041605B"/>
    <w:rsid w:val="00416D1A"/>
    <w:rsid w:val="004259C2"/>
    <w:rsid w:val="00425F98"/>
    <w:rsid w:val="004270BF"/>
    <w:rsid w:val="004277D7"/>
    <w:rsid w:val="0043070C"/>
    <w:rsid w:val="0043764D"/>
    <w:rsid w:val="00441D59"/>
    <w:rsid w:val="00441DAF"/>
    <w:rsid w:val="00452A4F"/>
    <w:rsid w:val="00455254"/>
    <w:rsid w:val="004557B7"/>
    <w:rsid w:val="00457DB0"/>
    <w:rsid w:val="004605D5"/>
    <w:rsid w:val="00463149"/>
    <w:rsid w:val="0046339D"/>
    <w:rsid w:val="00463E38"/>
    <w:rsid w:val="004672A1"/>
    <w:rsid w:val="00467D55"/>
    <w:rsid w:val="00472FE5"/>
    <w:rsid w:val="00475749"/>
    <w:rsid w:val="00477B1C"/>
    <w:rsid w:val="0048134F"/>
    <w:rsid w:val="00482C3C"/>
    <w:rsid w:val="00484CC2"/>
    <w:rsid w:val="0048680C"/>
    <w:rsid w:val="004908C5"/>
    <w:rsid w:val="00493C21"/>
    <w:rsid w:val="00496CBE"/>
    <w:rsid w:val="00497560"/>
    <w:rsid w:val="004A45AC"/>
    <w:rsid w:val="004A53BB"/>
    <w:rsid w:val="004A5D63"/>
    <w:rsid w:val="004A6D4A"/>
    <w:rsid w:val="004C6F16"/>
    <w:rsid w:val="004D1816"/>
    <w:rsid w:val="004D195A"/>
    <w:rsid w:val="004D28FA"/>
    <w:rsid w:val="004D4046"/>
    <w:rsid w:val="004D524C"/>
    <w:rsid w:val="004F18A1"/>
    <w:rsid w:val="004F5859"/>
    <w:rsid w:val="004F5E0A"/>
    <w:rsid w:val="004F7325"/>
    <w:rsid w:val="004F7EEB"/>
    <w:rsid w:val="0050273F"/>
    <w:rsid w:val="00505634"/>
    <w:rsid w:val="005067C6"/>
    <w:rsid w:val="0050796F"/>
    <w:rsid w:val="00511095"/>
    <w:rsid w:val="00520DEB"/>
    <w:rsid w:val="00522B9B"/>
    <w:rsid w:val="00523DF8"/>
    <w:rsid w:val="00526110"/>
    <w:rsid w:val="00531AE3"/>
    <w:rsid w:val="00532848"/>
    <w:rsid w:val="00532E1F"/>
    <w:rsid w:val="00541A12"/>
    <w:rsid w:val="00543ED4"/>
    <w:rsid w:val="00547D18"/>
    <w:rsid w:val="005557E3"/>
    <w:rsid w:val="00557252"/>
    <w:rsid w:val="005604D9"/>
    <w:rsid w:val="00561398"/>
    <w:rsid w:val="00563F37"/>
    <w:rsid w:val="00573A34"/>
    <w:rsid w:val="00580CF5"/>
    <w:rsid w:val="0058134E"/>
    <w:rsid w:val="0058629D"/>
    <w:rsid w:val="00592BEC"/>
    <w:rsid w:val="005960C4"/>
    <w:rsid w:val="005A1168"/>
    <w:rsid w:val="005A713D"/>
    <w:rsid w:val="005B13B8"/>
    <w:rsid w:val="005B18A8"/>
    <w:rsid w:val="005B483F"/>
    <w:rsid w:val="005B512B"/>
    <w:rsid w:val="005B7AD6"/>
    <w:rsid w:val="005C06AA"/>
    <w:rsid w:val="005C41B1"/>
    <w:rsid w:val="005D5523"/>
    <w:rsid w:val="005D57A6"/>
    <w:rsid w:val="005D7A9F"/>
    <w:rsid w:val="005E23B3"/>
    <w:rsid w:val="005E49A3"/>
    <w:rsid w:val="005E502F"/>
    <w:rsid w:val="005F02E8"/>
    <w:rsid w:val="005F0DA7"/>
    <w:rsid w:val="005F5655"/>
    <w:rsid w:val="005F5CAF"/>
    <w:rsid w:val="00602B10"/>
    <w:rsid w:val="0060632D"/>
    <w:rsid w:val="006068FF"/>
    <w:rsid w:val="00610963"/>
    <w:rsid w:val="0061579D"/>
    <w:rsid w:val="00623B18"/>
    <w:rsid w:val="00623D6F"/>
    <w:rsid w:val="0062463B"/>
    <w:rsid w:val="00625CD5"/>
    <w:rsid w:val="006270D6"/>
    <w:rsid w:val="00627F06"/>
    <w:rsid w:val="006308FA"/>
    <w:rsid w:val="00632091"/>
    <w:rsid w:val="0064114E"/>
    <w:rsid w:val="00641C4D"/>
    <w:rsid w:val="0064695D"/>
    <w:rsid w:val="006502F6"/>
    <w:rsid w:val="00650B88"/>
    <w:rsid w:val="0065265C"/>
    <w:rsid w:val="00653870"/>
    <w:rsid w:val="00654BB9"/>
    <w:rsid w:val="0066098E"/>
    <w:rsid w:val="00660AF3"/>
    <w:rsid w:val="00661D21"/>
    <w:rsid w:val="00666CE0"/>
    <w:rsid w:val="00667C9F"/>
    <w:rsid w:val="00671191"/>
    <w:rsid w:val="0068078A"/>
    <w:rsid w:val="00685EF5"/>
    <w:rsid w:val="00690498"/>
    <w:rsid w:val="006963DC"/>
    <w:rsid w:val="00697B27"/>
    <w:rsid w:val="006A1B4E"/>
    <w:rsid w:val="006A4E81"/>
    <w:rsid w:val="006B0FB5"/>
    <w:rsid w:val="006B4DF4"/>
    <w:rsid w:val="006C0073"/>
    <w:rsid w:val="006C27FC"/>
    <w:rsid w:val="006C5139"/>
    <w:rsid w:val="006D0AEC"/>
    <w:rsid w:val="006D1E0F"/>
    <w:rsid w:val="006E0B84"/>
    <w:rsid w:val="006E292F"/>
    <w:rsid w:val="006F0E71"/>
    <w:rsid w:val="006F2BE7"/>
    <w:rsid w:val="006F3B99"/>
    <w:rsid w:val="006F7EB5"/>
    <w:rsid w:val="00700B2C"/>
    <w:rsid w:val="00704E2A"/>
    <w:rsid w:val="00705091"/>
    <w:rsid w:val="007236E1"/>
    <w:rsid w:val="00723BAE"/>
    <w:rsid w:val="007248EC"/>
    <w:rsid w:val="00732400"/>
    <w:rsid w:val="007332BE"/>
    <w:rsid w:val="00734844"/>
    <w:rsid w:val="007442B8"/>
    <w:rsid w:val="007443EA"/>
    <w:rsid w:val="007463C0"/>
    <w:rsid w:val="00746A1E"/>
    <w:rsid w:val="0075041E"/>
    <w:rsid w:val="00751A9A"/>
    <w:rsid w:val="00753658"/>
    <w:rsid w:val="007564D1"/>
    <w:rsid w:val="00756EBA"/>
    <w:rsid w:val="00757CEE"/>
    <w:rsid w:val="00765EE3"/>
    <w:rsid w:val="007665D6"/>
    <w:rsid w:val="0076682D"/>
    <w:rsid w:val="00772802"/>
    <w:rsid w:val="00775A8C"/>
    <w:rsid w:val="00777EDA"/>
    <w:rsid w:val="00781512"/>
    <w:rsid w:val="00781D2E"/>
    <w:rsid w:val="007824CA"/>
    <w:rsid w:val="00784C8B"/>
    <w:rsid w:val="00792611"/>
    <w:rsid w:val="00793F83"/>
    <w:rsid w:val="00796958"/>
    <w:rsid w:val="00797BDA"/>
    <w:rsid w:val="007A3FBB"/>
    <w:rsid w:val="007A44BB"/>
    <w:rsid w:val="007A6CA2"/>
    <w:rsid w:val="007B4397"/>
    <w:rsid w:val="007B5A40"/>
    <w:rsid w:val="007C6A03"/>
    <w:rsid w:val="007D0E30"/>
    <w:rsid w:val="007D3D8D"/>
    <w:rsid w:val="007E1B39"/>
    <w:rsid w:val="007E5C4B"/>
    <w:rsid w:val="007E7E15"/>
    <w:rsid w:val="007F212C"/>
    <w:rsid w:val="007F22FE"/>
    <w:rsid w:val="007F5668"/>
    <w:rsid w:val="007F6A6F"/>
    <w:rsid w:val="007F72AE"/>
    <w:rsid w:val="0080195C"/>
    <w:rsid w:val="0080271D"/>
    <w:rsid w:val="008034BB"/>
    <w:rsid w:val="00810E8C"/>
    <w:rsid w:val="00823641"/>
    <w:rsid w:val="00824BE1"/>
    <w:rsid w:val="00830358"/>
    <w:rsid w:val="0083061E"/>
    <w:rsid w:val="008379E6"/>
    <w:rsid w:val="00841E93"/>
    <w:rsid w:val="00843BD8"/>
    <w:rsid w:val="00847478"/>
    <w:rsid w:val="00852070"/>
    <w:rsid w:val="0085462D"/>
    <w:rsid w:val="00856654"/>
    <w:rsid w:val="00860811"/>
    <w:rsid w:val="00863D58"/>
    <w:rsid w:val="0087062F"/>
    <w:rsid w:val="00871202"/>
    <w:rsid w:val="0087444E"/>
    <w:rsid w:val="0087592E"/>
    <w:rsid w:val="00880FFE"/>
    <w:rsid w:val="008849AF"/>
    <w:rsid w:val="00886A7A"/>
    <w:rsid w:val="008924F4"/>
    <w:rsid w:val="00893FEA"/>
    <w:rsid w:val="00894739"/>
    <w:rsid w:val="0089589E"/>
    <w:rsid w:val="008972A5"/>
    <w:rsid w:val="008A132D"/>
    <w:rsid w:val="008A471E"/>
    <w:rsid w:val="008B225E"/>
    <w:rsid w:val="008B30A4"/>
    <w:rsid w:val="008C0997"/>
    <w:rsid w:val="008C09A6"/>
    <w:rsid w:val="008C28DE"/>
    <w:rsid w:val="008C589B"/>
    <w:rsid w:val="008C663F"/>
    <w:rsid w:val="008C725C"/>
    <w:rsid w:val="008D1960"/>
    <w:rsid w:val="008D19C7"/>
    <w:rsid w:val="008D3384"/>
    <w:rsid w:val="008D45C7"/>
    <w:rsid w:val="008D7B6E"/>
    <w:rsid w:val="008E0FCD"/>
    <w:rsid w:val="008E110B"/>
    <w:rsid w:val="008E2248"/>
    <w:rsid w:val="008E3E28"/>
    <w:rsid w:val="008E45C8"/>
    <w:rsid w:val="008E677A"/>
    <w:rsid w:val="008E6C34"/>
    <w:rsid w:val="008F1F3B"/>
    <w:rsid w:val="008F47EE"/>
    <w:rsid w:val="008F5665"/>
    <w:rsid w:val="00904913"/>
    <w:rsid w:val="009070E4"/>
    <w:rsid w:val="00912550"/>
    <w:rsid w:val="00913654"/>
    <w:rsid w:val="00914A8C"/>
    <w:rsid w:val="00921940"/>
    <w:rsid w:val="00922B57"/>
    <w:rsid w:val="00926AF4"/>
    <w:rsid w:val="0093011D"/>
    <w:rsid w:val="00936DF6"/>
    <w:rsid w:val="009412D5"/>
    <w:rsid w:val="009417BD"/>
    <w:rsid w:val="009422F7"/>
    <w:rsid w:val="00945879"/>
    <w:rsid w:val="0095007C"/>
    <w:rsid w:val="0095083E"/>
    <w:rsid w:val="00960233"/>
    <w:rsid w:val="00961959"/>
    <w:rsid w:val="009628A7"/>
    <w:rsid w:val="00962C22"/>
    <w:rsid w:val="00963C86"/>
    <w:rsid w:val="009654BD"/>
    <w:rsid w:val="009670C8"/>
    <w:rsid w:val="00981D9A"/>
    <w:rsid w:val="0098273A"/>
    <w:rsid w:val="00983D57"/>
    <w:rsid w:val="0098499A"/>
    <w:rsid w:val="00986FCD"/>
    <w:rsid w:val="00987ADC"/>
    <w:rsid w:val="00992215"/>
    <w:rsid w:val="00996FAC"/>
    <w:rsid w:val="009A66CB"/>
    <w:rsid w:val="009A7730"/>
    <w:rsid w:val="009A7883"/>
    <w:rsid w:val="009B2D73"/>
    <w:rsid w:val="009B4396"/>
    <w:rsid w:val="009C0FC9"/>
    <w:rsid w:val="009C53EE"/>
    <w:rsid w:val="009D28F5"/>
    <w:rsid w:val="009D4E5D"/>
    <w:rsid w:val="009D54B9"/>
    <w:rsid w:val="009D726A"/>
    <w:rsid w:val="009D7388"/>
    <w:rsid w:val="009E45A0"/>
    <w:rsid w:val="009F00FC"/>
    <w:rsid w:val="009F06BD"/>
    <w:rsid w:val="009F157E"/>
    <w:rsid w:val="00A025F1"/>
    <w:rsid w:val="00A02E4E"/>
    <w:rsid w:val="00A04EE1"/>
    <w:rsid w:val="00A12B9F"/>
    <w:rsid w:val="00A1516A"/>
    <w:rsid w:val="00A177A7"/>
    <w:rsid w:val="00A17A0A"/>
    <w:rsid w:val="00A22004"/>
    <w:rsid w:val="00A228B3"/>
    <w:rsid w:val="00A241BE"/>
    <w:rsid w:val="00A27215"/>
    <w:rsid w:val="00A30BA2"/>
    <w:rsid w:val="00A33726"/>
    <w:rsid w:val="00A43EC9"/>
    <w:rsid w:val="00A44E26"/>
    <w:rsid w:val="00A45867"/>
    <w:rsid w:val="00A46D61"/>
    <w:rsid w:val="00A504AF"/>
    <w:rsid w:val="00A60025"/>
    <w:rsid w:val="00A672C3"/>
    <w:rsid w:val="00A67702"/>
    <w:rsid w:val="00A7050C"/>
    <w:rsid w:val="00A71689"/>
    <w:rsid w:val="00A8236A"/>
    <w:rsid w:val="00A86439"/>
    <w:rsid w:val="00A8669C"/>
    <w:rsid w:val="00A87CA2"/>
    <w:rsid w:val="00A929D3"/>
    <w:rsid w:val="00A9449A"/>
    <w:rsid w:val="00A97FE0"/>
    <w:rsid w:val="00AA08D6"/>
    <w:rsid w:val="00AA604B"/>
    <w:rsid w:val="00AB0399"/>
    <w:rsid w:val="00AB18BB"/>
    <w:rsid w:val="00AC0A8B"/>
    <w:rsid w:val="00AC4736"/>
    <w:rsid w:val="00AD02F6"/>
    <w:rsid w:val="00AD11E3"/>
    <w:rsid w:val="00AD32E9"/>
    <w:rsid w:val="00AE665A"/>
    <w:rsid w:val="00AE6EF7"/>
    <w:rsid w:val="00AF0FB3"/>
    <w:rsid w:val="00B0505D"/>
    <w:rsid w:val="00B209E7"/>
    <w:rsid w:val="00B2141A"/>
    <w:rsid w:val="00B22395"/>
    <w:rsid w:val="00B22CC0"/>
    <w:rsid w:val="00B23EED"/>
    <w:rsid w:val="00B451FB"/>
    <w:rsid w:val="00B46FC0"/>
    <w:rsid w:val="00B519BD"/>
    <w:rsid w:val="00B53D6E"/>
    <w:rsid w:val="00B55F1D"/>
    <w:rsid w:val="00B55FCF"/>
    <w:rsid w:val="00B634B1"/>
    <w:rsid w:val="00B76768"/>
    <w:rsid w:val="00B83614"/>
    <w:rsid w:val="00B83A1D"/>
    <w:rsid w:val="00B91A45"/>
    <w:rsid w:val="00B92257"/>
    <w:rsid w:val="00B9389C"/>
    <w:rsid w:val="00B94B8C"/>
    <w:rsid w:val="00BA2213"/>
    <w:rsid w:val="00BA3797"/>
    <w:rsid w:val="00BA5584"/>
    <w:rsid w:val="00BA7503"/>
    <w:rsid w:val="00BB04FC"/>
    <w:rsid w:val="00BB0A5A"/>
    <w:rsid w:val="00BB1701"/>
    <w:rsid w:val="00BC14BD"/>
    <w:rsid w:val="00BC76EA"/>
    <w:rsid w:val="00BC78F2"/>
    <w:rsid w:val="00BD6442"/>
    <w:rsid w:val="00BD7C89"/>
    <w:rsid w:val="00BE23D2"/>
    <w:rsid w:val="00BE4E94"/>
    <w:rsid w:val="00BE57BC"/>
    <w:rsid w:val="00BE6AAB"/>
    <w:rsid w:val="00BE7685"/>
    <w:rsid w:val="00BE7893"/>
    <w:rsid w:val="00BF0047"/>
    <w:rsid w:val="00BF0172"/>
    <w:rsid w:val="00C03CED"/>
    <w:rsid w:val="00C0428E"/>
    <w:rsid w:val="00C04893"/>
    <w:rsid w:val="00C07773"/>
    <w:rsid w:val="00C07C01"/>
    <w:rsid w:val="00C12017"/>
    <w:rsid w:val="00C15820"/>
    <w:rsid w:val="00C25D0E"/>
    <w:rsid w:val="00C31CBD"/>
    <w:rsid w:val="00C33446"/>
    <w:rsid w:val="00C33DD5"/>
    <w:rsid w:val="00C402A3"/>
    <w:rsid w:val="00C45FE1"/>
    <w:rsid w:val="00C531F2"/>
    <w:rsid w:val="00C542FA"/>
    <w:rsid w:val="00C56AD2"/>
    <w:rsid w:val="00C56C3C"/>
    <w:rsid w:val="00C601C6"/>
    <w:rsid w:val="00C6071D"/>
    <w:rsid w:val="00C61CCD"/>
    <w:rsid w:val="00C61F1A"/>
    <w:rsid w:val="00C66138"/>
    <w:rsid w:val="00C66A67"/>
    <w:rsid w:val="00C703BC"/>
    <w:rsid w:val="00C76E40"/>
    <w:rsid w:val="00C76EE5"/>
    <w:rsid w:val="00C77AF4"/>
    <w:rsid w:val="00C84B80"/>
    <w:rsid w:val="00C85AE9"/>
    <w:rsid w:val="00C87413"/>
    <w:rsid w:val="00C87B6D"/>
    <w:rsid w:val="00C90266"/>
    <w:rsid w:val="00C9514A"/>
    <w:rsid w:val="00C95827"/>
    <w:rsid w:val="00C97F26"/>
    <w:rsid w:val="00CA106D"/>
    <w:rsid w:val="00CA6365"/>
    <w:rsid w:val="00CB2F1C"/>
    <w:rsid w:val="00CC0EA8"/>
    <w:rsid w:val="00CC1396"/>
    <w:rsid w:val="00CC6AD7"/>
    <w:rsid w:val="00CC6DD0"/>
    <w:rsid w:val="00CD3C66"/>
    <w:rsid w:val="00CD6175"/>
    <w:rsid w:val="00CE3DE0"/>
    <w:rsid w:val="00CF5D47"/>
    <w:rsid w:val="00CF7C3C"/>
    <w:rsid w:val="00D06763"/>
    <w:rsid w:val="00D13147"/>
    <w:rsid w:val="00D20006"/>
    <w:rsid w:val="00D20D47"/>
    <w:rsid w:val="00D22400"/>
    <w:rsid w:val="00D24692"/>
    <w:rsid w:val="00D32749"/>
    <w:rsid w:val="00D33B95"/>
    <w:rsid w:val="00D34089"/>
    <w:rsid w:val="00D34DA9"/>
    <w:rsid w:val="00D35473"/>
    <w:rsid w:val="00D35F12"/>
    <w:rsid w:val="00D4004E"/>
    <w:rsid w:val="00D416DD"/>
    <w:rsid w:val="00D43EEE"/>
    <w:rsid w:val="00D4561A"/>
    <w:rsid w:val="00D46836"/>
    <w:rsid w:val="00D55DC6"/>
    <w:rsid w:val="00D55EBF"/>
    <w:rsid w:val="00D55F48"/>
    <w:rsid w:val="00D60A4B"/>
    <w:rsid w:val="00D627F6"/>
    <w:rsid w:val="00D70AA6"/>
    <w:rsid w:val="00D73668"/>
    <w:rsid w:val="00D77AD5"/>
    <w:rsid w:val="00D8273B"/>
    <w:rsid w:val="00D94E16"/>
    <w:rsid w:val="00DA3485"/>
    <w:rsid w:val="00DA35A0"/>
    <w:rsid w:val="00DA500B"/>
    <w:rsid w:val="00DA7C96"/>
    <w:rsid w:val="00DB0EC8"/>
    <w:rsid w:val="00DB46BD"/>
    <w:rsid w:val="00DC442F"/>
    <w:rsid w:val="00DC5CCA"/>
    <w:rsid w:val="00DD04A3"/>
    <w:rsid w:val="00DD1CCE"/>
    <w:rsid w:val="00DE60D6"/>
    <w:rsid w:val="00DE7AFC"/>
    <w:rsid w:val="00DF3F4F"/>
    <w:rsid w:val="00DF4C15"/>
    <w:rsid w:val="00DF713C"/>
    <w:rsid w:val="00E00EB0"/>
    <w:rsid w:val="00E03C9B"/>
    <w:rsid w:val="00E041B7"/>
    <w:rsid w:val="00E052F7"/>
    <w:rsid w:val="00E11479"/>
    <w:rsid w:val="00E249B6"/>
    <w:rsid w:val="00E27A3E"/>
    <w:rsid w:val="00E3143C"/>
    <w:rsid w:val="00E321EE"/>
    <w:rsid w:val="00E3453C"/>
    <w:rsid w:val="00E55991"/>
    <w:rsid w:val="00E568D5"/>
    <w:rsid w:val="00E578A4"/>
    <w:rsid w:val="00E65E38"/>
    <w:rsid w:val="00E66F85"/>
    <w:rsid w:val="00E706BA"/>
    <w:rsid w:val="00E76EE8"/>
    <w:rsid w:val="00E87188"/>
    <w:rsid w:val="00E87BE8"/>
    <w:rsid w:val="00E9269A"/>
    <w:rsid w:val="00E94E0C"/>
    <w:rsid w:val="00E97AD8"/>
    <w:rsid w:val="00EA1887"/>
    <w:rsid w:val="00EB4069"/>
    <w:rsid w:val="00EB6C38"/>
    <w:rsid w:val="00EC1308"/>
    <w:rsid w:val="00EC130C"/>
    <w:rsid w:val="00EC4CBD"/>
    <w:rsid w:val="00EC6A0C"/>
    <w:rsid w:val="00EC7E00"/>
    <w:rsid w:val="00ED6DB3"/>
    <w:rsid w:val="00EE0D67"/>
    <w:rsid w:val="00EE2A30"/>
    <w:rsid w:val="00EE5301"/>
    <w:rsid w:val="00EE6C44"/>
    <w:rsid w:val="00EE7C62"/>
    <w:rsid w:val="00EF2E27"/>
    <w:rsid w:val="00EF3B4B"/>
    <w:rsid w:val="00EF7F9F"/>
    <w:rsid w:val="00F02C84"/>
    <w:rsid w:val="00F03221"/>
    <w:rsid w:val="00F053D9"/>
    <w:rsid w:val="00F10A37"/>
    <w:rsid w:val="00F17636"/>
    <w:rsid w:val="00F228B2"/>
    <w:rsid w:val="00F23E6F"/>
    <w:rsid w:val="00F26B02"/>
    <w:rsid w:val="00F26EF9"/>
    <w:rsid w:val="00F32431"/>
    <w:rsid w:val="00F32FA5"/>
    <w:rsid w:val="00F36069"/>
    <w:rsid w:val="00F4008E"/>
    <w:rsid w:val="00F431B1"/>
    <w:rsid w:val="00F45A07"/>
    <w:rsid w:val="00F5279C"/>
    <w:rsid w:val="00F52A75"/>
    <w:rsid w:val="00F52CFF"/>
    <w:rsid w:val="00F53914"/>
    <w:rsid w:val="00F565AF"/>
    <w:rsid w:val="00F5668C"/>
    <w:rsid w:val="00F57A0C"/>
    <w:rsid w:val="00F6241B"/>
    <w:rsid w:val="00F624F6"/>
    <w:rsid w:val="00F63DE3"/>
    <w:rsid w:val="00F666B8"/>
    <w:rsid w:val="00F77601"/>
    <w:rsid w:val="00F91613"/>
    <w:rsid w:val="00F9270F"/>
    <w:rsid w:val="00F94FE3"/>
    <w:rsid w:val="00FA7180"/>
    <w:rsid w:val="00FA71D7"/>
    <w:rsid w:val="00FB36FF"/>
    <w:rsid w:val="00FB6637"/>
    <w:rsid w:val="00FC2943"/>
    <w:rsid w:val="00FC6EFD"/>
    <w:rsid w:val="00FD0648"/>
    <w:rsid w:val="00FD1338"/>
    <w:rsid w:val="00FD3456"/>
    <w:rsid w:val="00FD4F02"/>
    <w:rsid w:val="00FD5294"/>
    <w:rsid w:val="00FE3BC4"/>
    <w:rsid w:val="00FE64CD"/>
    <w:rsid w:val="00FE7137"/>
    <w:rsid w:val="00FF11E5"/>
    <w:rsid w:val="00FF4A00"/>
    <w:rsid w:val="00FF53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70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2FE"/>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7F9F"/>
    <w:pPr>
      <w:spacing w:before="100" w:beforeAutospacing="1" w:after="100" w:afterAutospacing="1"/>
    </w:pPr>
  </w:style>
  <w:style w:type="paragraph" w:styleId="ListParagraph">
    <w:name w:val="List Paragraph"/>
    <w:basedOn w:val="Normal"/>
    <w:uiPriority w:val="34"/>
    <w:qFormat/>
    <w:rsid w:val="006A1B4E"/>
    <w:pPr>
      <w:ind w:left="720"/>
      <w:contextualSpacing/>
    </w:pPr>
    <w:rPr>
      <w:rFonts w:asciiTheme="minorHAnsi" w:hAnsiTheme="minorHAnsi" w:cstheme="minorBidi"/>
    </w:rPr>
  </w:style>
  <w:style w:type="paragraph" w:styleId="DocumentMap">
    <w:name w:val="Document Map"/>
    <w:basedOn w:val="Normal"/>
    <w:link w:val="DocumentMapChar"/>
    <w:uiPriority w:val="99"/>
    <w:semiHidden/>
    <w:unhideWhenUsed/>
    <w:rsid w:val="009070E4"/>
  </w:style>
  <w:style w:type="character" w:customStyle="1" w:styleId="DocumentMapChar">
    <w:name w:val="Document Map Char"/>
    <w:basedOn w:val="DefaultParagraphFont"/>
    <w:link w:val="DocumentMap"/>
    <w:uiPriority w:val="99"/>
    <w:semiHidden/>
    <w:rsid w:val="009070E4"/>
    <w:rPr>
      <w:rFonts w:ascii="Times New Roman" w:hAnsi="Times New Roman" w:cs="Times New Roman"/>
    </w:rPr>
  </w:style>
  <w:style w:type="character" w:styleId="CommentReference">
    <w:name w:val="annotation reference"/>
    <w:basedOn w:val="DefaultParagraphFont"/>
    <w:uiPriority w:val="99"/>
    <w:semiHidden/>
    <w:unhideWhenUsed/>
    <w:rsid w:val="00B0505D"/>
    <w:rPr>
      <w:sz w:val="18"/>
      <w:szCs w:val="18"/>
    </w:rPr>
  </w:style>
  <w:style w:type="paragraph" w:styleId="CommentText">
    <w:name w:val="annotation text"/>
    <w:basedOn w:val="Normal"/>
    <w:link w:val="CommentTextChar"/>
    <w:uiPriority w:val="99"/>
    <w:semiHidden/>
    <w:unhideWhenUsed/>
    <w:rsid w:val="00B0505D"/>
    <w:rPr>
      <w:rFonts w:asciiTheme="minorHAnsi" w:hAnsiTheme="minorHAnsi" w:cstheme="minorBidi"/>
    </w:rPr>
  </w:style>
  <w:style w:type="character" w:customStyle="1" w:styleId="CommentTextChar">
    <w:name w:val="Comment Text Char"/>
    <w:basedOn w:val="DefaultParagraphFont"/>
    <w:link w:val="CommentText"/>
    <w:uiPriority w:val="99"/>
    <w:semiHidden/>
    <w:rsid w:val="00B0505D"/>
  </w:style>
  <w:style w:type="paragraph" w:styleId="CommentSubject">
    <w:name w:val="annotation subject"/>
    <w:basedOn w:val="CommentText"/>
    <w:next w:val="CommentText"/>
    <w:link w:val="CommentSubjectChar"/>
    <w:uiPriority w:val="99"/>
    <w:semiHidden/>
    <w:unhideWhenUsed/>
    <w:rsid w:val="00B0505D"/>
    <w:rPr>
      <w:b/>
      <w:bCs/>
      <w:sz w:val="20"/>
      <w:szCs w:val="20"/>
    </w:rPr>
  </w:style>
  <w:style w:type="character" w:customStyle="1" w:styleId="CommentSubjectChar">
    <w:name w:val="Comment Subject Char"/>
    <w:basedOn w:val="CommentTextChar"/>
    <w:link w:val="CommentSubject"/>
    <w:uiPriority w:val="99"/>
    <w:semiHidden/>
    <w:rsid w:val="00B0505D"/>
    <w:rPr>
      <w:b/>
      <w:bCs/>
      <w:sz w:val="20"/>
      <w:szCs w:val="20"/>
    </w:rPr>
  </w:style>
  <w:style w:type="paragraph" w:styleId="BalloonText">
    <w:name w:val="Balloon Text"/>
    <w:basedOn w:val="Normal"/>
    <w:link w:val="BalloonTextChar"/>
    <w:uiPriority w:val="99"/>
    <w:semiHidden/>
    <w:unhideWhenUsed/>
    <w:rsid w:val="00B0505D"/>
    <w:rPr>
      <w:sz w:val="18"/>
      <w:szCs w:val="18"/>
    </w:rPr>
  </w:style>
  <w:style w:type="character" w:customStyle="1" w:styleId="BalloonTextChar">
    <w:name w:val="Balloon Text Char"/>
    <w:basedOn w:val="DefaultParagraphFont"/>
    <w:link w:val="BalloonText"/>
    <w:uiPriority w:val="99"/>
    <w:semiHidden/>
    <w:rsid w:val="00B0505D"/>
    <w:rPr>
      <w:rFonts w:ascii="Times New Roman" w:hAnsi="Times New Roman" w:cs="Times New Roman"/>
      <w:sz w:val="18"/>
      <w:szCs w:val="18"/>
    </w:rPr>
  </w:style>
  <w:style w:type="table" w:styleId="TableGrid">
    <w:name w:val="Table Grid"/>
    <w:basedOn w:val="TableNormal"/>
    <w:uiPriority w:val="39"/>
    <w:rsid w:val="00F52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rsid w:val="005F02E8"/>
    <w:rPr>
      <w:rFonts w:ascii="Calibri" w:hAnsi="Calibri" w:cs="Calibri"/>
    </w:rPr>
  </w:style>
  <w:style w:type="character" w:styleId="Hyperlink">
    <w:name w:val="Hyperlink"/>
    <w:basedOn w:val="DefaultParagraphFont"/>
    <w:uiPriority w:val="99"/>
    <w:unhideWhenUsed/>
    <w:rsid w:val="007463C0"/>
    <w:rPr>
      <w:color w:val="0563C1" w:themeColor="hyperlink"/>
      <w:u w:val="single"/>
    </w:rPr>
  </w:style>
  <w:style w:type="paragraph" w:styleId="Header">
    <w:name w:val="header"/>
    <w:basedOn w:val="Normal"/>
    <w:link w:val="HeaderChar"/>
    <w:uiPriority w:val="99"/>
    <w:unhideWhenUsed/>
    <w:rsid w:val="000E54AA"/>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0E54AA"/>
  </w:style>
  <w:style w:type="paragraph" w:styleId="Footer">
    <w:name w:val="footer"/>
    <w:basedOn w:val="Normal"/>
    <w:link w:val="FooterChar"/>
    <w:uiPriority w:val="99"/>
    <w:unhideWhenUsed/>
    <w:rsid w:val="000E54AA"/>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0E54AA"/>
  </w:style>
  <w:style w:type="character" w:styleId="PageNumber">
    <w:name w:val="page number"/>
    <w:basedOn w:val="DefaultParagraphFont"/>
    <w:uiPriority w:val="99"/>
    <w:semiHidden/>
    <w:unhideWhenUsed/>
    <w:rsid w:val="000E54AA"/>
  </w:style>
  <w:style w:type="paragraph" w:styleId="Revision">
    <w:name w:val="Revision"/>
    <w:hidden/>
    <w:uiPriority w:val="99"/>
    <w:semiHidden/>
    <w:rsid w:val="0026388C"/>
  </w:style>
  <w:style w:type="paragraph" w:customStyle="1" w:styleId="EndNoteBibliographyTitle">
    <w:name w:val="EndNote Bibliography Title"/>
    <w:basedOn w:val="Normal"/>
    <w:link w:val="EndNoteBibliographyTitleChar"/>
    <w:rsid w:val="00A9449A"/>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A9449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3540">
      <w:bodyDiv w:val="1"/>
      <w:marLeft w:val="0"/>
      <w:marRight w:val="0"/>
      <w:marTop w:val="0"/>
      <w:marBottom w:val="0"/>
      <w:divBdr>
        <w:top w:val="none" w:sz="0" w:space="0" w:color="auto"/>
        <w:left w:val="none" w:sz="0" w:space="0" w:color="auto"/>
        <w:bottom w:val="none" w:sz="0" w:space="0" w:color="auto"/>
        <w:right w:val="none" w:sz="0" w:space="0" w:color="auto"/>
      </w:divBdr>
    </w:div>
    <w:div w:id="56052396">
      <w:bodyDiv w:val="1"/>
      <w:marLeft w:val="0"/>
      <w:marRight w:val="0"/>
      <w:marTop w:val="0"/>
      <w:marBottom w:val="0"/>
      <w:divBdr>
        <w:top w:val="none" w:sz="0" w:space="0" w:color="auto"/>
        <w:left w:val="none" w:sz="0" w:space="0" w:color="auto"/>
        <w:bottom w:val="none" w:sz="0" w:space="0" w:color="auto"/>
        <w:right w:val="none" w:sz="0" w:space="0" w:color="auto"/>
      </w:divBdr>
    </w:div>
    <w:div w:id="153225589">
      <w:bodyDiv w:val="1"/>
      <w:marLeft w:val="0"/>
      <w:marRight w:val="0"/>
      <w:marTop w:val="0"/>
      <w:marBottom w:val="0"/>
      <w:divBdr>
        <w:top w:val="none" w:sz="0" w:space="0" w:color="auto"/>
        <w:left w:val="none" w:sz="0" w:space="0" w:color="auto"/>
        <w:bottom w:val="none" w:sz="0" w:space="0" w:color="auto"/>
        <w:right w:val="none" w:sz="0" w:space="0" w:color="auto"/>
      </w:divBdr>
    </w:div>
    <w:div w:id="318578263">
      <w:bodyDiv w:val="1"/>
      <w:marLeft w:val="0"/>
      <w:marRight w:val="0"/>
      <w:marTop w:val="0"/>
      <w:marBottom w:val="0"/>
      <w:divBdr>
        <w:top w:val="none" w:sz="0" w:space="0" w:color="auto"/>
        <w:left w:val="none" w:sz="0" w:space="0" w:color="auto"/>
        <w:bottom w:val="none" w:sz="0" w:space="0" w:color="auto"/>
        <w:right w:val="none" w:sz="0" w:space="0" w:color="auto"/>
      </w:divBdr>
    </w:div>
    <w:div w:id="360396167">
      <w:bodyDiv w:val="1"/>
      <w:marLeft w:val="0"/>
      <w:marRight w:val="0"/>
      <w:marTop w:val="0"/>
      <w:marBottom w:val="0"/>
      <w:divBdr>
        <w:top w:val="none" w:sz="0" w:space="0" w:color="auto"/>
        <w:left w:val="none" w:sz="0" w:space="0" w:color="auto"/>
        <w:bottom w:val="none" w:sz="0" w:space="0" w:color="auto"/>
        <w:right w:val="none" w:sz="0" w:space="0" w:color="auto"/>
      </w:divBdr>
    </w:div>
    <w:div w:id="447704938">
      <w:bodyDiv w:val="1"/>
      <w:marLeft w:val="0"/>
      <w:marRight w:val="0"/>
      <w:marTop w:val="0"/>
      <w:marBottom w:val="0"/>
      <w:divBdr>
        <w:top w:val="none" w:sz="0" w:space="0" w:color="auto"/>
        <w:left w:val="none" w:sz="0" w:space="0" w:color="auto"/>
        <w:bottom w:val="none" w:sz="0" w:space="0" w:color="auto"/>
        <w:right w:val="none" w:sz="0" w:space="0" w:color="auto"/>
      </w:divBdr>
    </w:div>
    <w:div w:id="459959337">
      <w:bodyDiv w:val="1"/>
      <w:marLeft w:val="0"/>
      <w:marRight w:val="0"/>
      <w:marTop w:val="0"/>
      <w:marBottom w:val="0"/>
      <w:divBdr>
        <w:top w:val="none" w:sz="0" w:space="0" w:color="auto"/>
        <w:left w:val="none" w:sz="0" w:space="0" w:color="auto"/>
        <w:bottom w:val="none" w:sz="0" w:space="0" w:color="auto"/>
        <w:right w:val="none" w:sz="0" w:space="0" w:color="auto"/>
      </w:divBdr>
    </w:div>
    <w:div w:id="463276149">
      <w:bodyDiv w:val="1"/>
      <w:marLeft w:val="0"/>
      <w:marRight w:val="0"/>
      <w:marTop w:val="0"/>
      <w:marBottom w:val="0"/>
      <w:divBdr>
        <w:top w:val="none" w:sz="0" w:space="0" w:color="auto"/>
        <w:left w:val="none" w:sz="0" w:space="0" w:color="auto"/>
        <w:bottom w:val="none" w:sz="0" w:space="0" w:color="auto"/>
        <w:right w:val="none" w:sz="0" w:space="0" w:color="auto"/>
      </w:divBdr>
    </w:div>
    <w:div w:id="472985407">
      <w:bodyDiv w:val="1"/>
      <w:marLeft w:val="0"/>
      <w:marRight w:val="0"/>
      <w:marTop w:val="0"/>
      <w:marBottom w:val="0"/>
      <w:divBdr>
        <w:top w:val="none" w:sz="0" w:space="0" w:color="auto"/>
        <w:left w:val="none" w:sz="0" w:space="0" w:color="auto"/>
        <w:bottom w:val="none" w:sz="0" w:space="0" w:color="auto"/>
        <w:right w:val="none" w:sz="0" w:space="0" w:color="auto"/>
      </w:divBdr>
    </w:div>
    <w:div w:id="535772492">
      <w:bodyDiv w:val="1"/>
      <w:marLeft w:val="0"/>
      <w:marRight w:val="0"/>
      <w:marTop w:val="0"/>
      <w:marBottom w:val="0"/>
      <w:divBdr>
        <w:top w:val="none" w:sz="0" w:space="0" w:color="auto"/>
        <w:left w:val="none" w:sz="0" w:space="0" w:color="auto"/>
        <w:bottom w:val="none" w:sz="0" w:space="0" w:color="auto"/>
        <w:right w:val="none" w:sz="0" w:space="0" w:color="auto"/>
      </w:divBdr>
    </w:div>
    <w:div w:id="544296704">
      <w:bodyDiv w:val="1"/>
      <w:marLeft w:val="0"/>
      <w:marRight w:val="0"/>
      <w:marTop w:val="0"/>
      <w:marBottom w:val="0"/>
      <w:divBdr>
        <w:top w:val="none" w:sz="0" w:space="0" w:color="auto"/>
        <w:left w:val="none" w:sz="0" w:space="0" w:color="auto"/>
        <w:bottom w:val="none" w:sz="0" w:space="0" w:color="auto"/>
        <w:right w:val="none" w:sz="0" w:space="0" w:color="auto"/>
      </w:divBdr>
    </w:div>
    <w:div w:id="843939450">
      <w:bodyDiv w:val="1"/>
      <w:marLeft w:val="0"/>
      <w:marRight w:val="0"/>
      <w:marTop w:val="0"/>
      <w:marBottom w:val="0"/>
      <w:divBdr>
        <w:top w:val="none" w:sz="0" w:space="0" w:color="auto"/>
        <w:left w:val="none" w:sz="0" w:space="0" w:color="auto"/>
        <w:bottom w:val="none" w:sz="0" w:space="0" w:color="auto"/>
        <w:right w:val="none" w:sz="0" w:space="0" w:color="auto"/>
      </w:divBdr>
    </w:div>
    <w:div w:id="845246312">
      <w:bodyDiv w:val="1"/>
      <w:marLeft w:val="0"/>
      <w:marRight w:val="0"/>
      <w:marTop w:val="0"/>
      <w:marBottom w:val="0"/>
      <w:divBdr>
        <w:top w:val="none" w:sz="0" w:space="0" w:color="auto"/>
        <w:left w:val="none" w:sz="0" w:space="0" w:color="auto"/>
        <w:bottom w:val="none" w:sz="0" w:space="0" w:color="auto"/>
        <w:right w:val="none" w:sz="0" w:space="0" w:color="auto"/>
      </w:divBdr>
    </w:div>
    <w:div w:id="864909151">
      <w:bodyDiv w:val="1"/>
      <w:marLeft w:val="0"/>
      <w:marRight w:val="0"/>
      <w:marTop w:val="0"/>
      <w:marBottom w:val="0"/>
      <w:divBdr>
        <w:top w:val="none" w:sz="0" w:space="0" w:color="auto"/>
        <w:left w:val="none" w:sz="0" w:space="0" w:color="auto"/>
        <w:bottom w:val="none" w:sz="0" w:space="0" w:color="auto"/>
        <w:right w:val="none" w:sz="0" w:space="0" w:color="auto"/>
      </w:divBdr>
    </w:div>
    <w:div w:id="1143931853">
      <w:bodyDiv w:val="1"/>
      <w:marLeft w:val="0"/>
      <w:marRight w:val="0"/>
      <w:marTop w:val="0"/>
      <w:marBottom w:val="0"/>
      <w:divBdr>
        <w:top w:val="none" w:sz="0" w:space="0" w:color="auto"/>
        <w:left w:val="none" w:sz="0" w:space="0" w:color="auto"/>
        <w:bottom w:val="none" w:sz="0" w:space="0" w:color="auto"/>
        <w:right w:val="none" w:sz="0" w:space="0" w:color="auto"/>
      </w:divBdr>
    </w:div>
    <w:div w:id="1158764158">
      <w:bodyDiv w:val="1"/>
      <w:marLeft w:val="0"/>
      <w:marRight w:val="0"/>
      <w:marTop w:val="0"/>
      <w:marBottom w:val="0"/>
      <w:divBdr>
        <w:top w:val="none" w:sz="0" w:space="0" w:color="auto"/>
        <w:left w:val="none" w:sz="0" w:space="0" w:color="auto"/>
        <w:bottom w:val="none" w:sz="0" w:space="0" w:color="auto"/>
        <w:right w:val="none" w:sz="0" w:space="0" w:color="auto"/>
      </w:divBdr>
    </w:div>
    <w:div w:id="1224833561">
      <w:bodyDiv w:val="1"/>
      <w:marLeft w:val="0"/>
      <w:marRight w:val="0"/>
      <w:marTop w:val="0"/>
      <w:marBottom w:val="0"/>
      <w:divBdr>
        <w:top w:val="none" w:sz="0" w:space="0" w:color="auto"/>
        <w:left w:val="none" w:sz="0" w:space="0" w:color="auto"/>
        <w:bottom w:val="none" w:sz="0" w:space="0" w:color="auto"/>
        <w:right w:val="none" w:sz="0" w:space="0" w:color="auto"/>
      </w:divBdr>
    </w:div>
    <w:div w:id="1230846016">
      <w:bodyDiv w:val="1"/>
      <w:marLeft w:val="0"/>
      <w:marRight w:val="0"/>
      <w:marTop w:val="0"/>
      <w:marBottom w:val="0"/>
      <w:divBdr>
        <w:top w:val="none" w:sz="0" w:space="0" w:color="auto"/>
        <w:left w:val="none" w:sz="0" w:space="0" w:color="auto"/>
        <w:bottom w:val="none" w:sz="0" w:space="0" w:color="auto"/>
        <w:right w:val="none" w:sz="0" w:space="0" w:color="auto"/>
      </w:divBdr>
    </w:div>
    <w:div w:id="1308363559">
      <w:bodyDiv w:val="1"/>
      <w:marLeft w:val="0"/>
      <w:marRight w:val="0"/>
      <w:marTop w:val="0"/>
      <w:marBottom w:val="0"/>
      <w:divBdr>
        <w:top w:val="none" w:sz="0" w:space="0" w:color="auto"/>
        <w:left w:val="none" w:sz="0" w:space="0" w:color="auto"/>
        <w:bottom w:val="none" w:sz="0" w:space="0" w:color="auto"/>
        <w:right w:val="none" w:sz="0" w:space="0" w:color="auto"/>
      </w:divBdr>
    </w:div>
    <w:div w:id="1326208288">
      <w:bodyDiv w:val="1"/>
      <w:marLeft w:val="0"/>
      <w:marRight w:val="0"/>
      <w:marTop w:val="0"/>
      <w:marBottom w:val="0"/>
      <w:divBdr>
        <w:top w:val="none" w:sz="0" w:space="0" w:color="auto"/>
        <w:left w:val="none" w:sz="0" w:space="0" w:color="auto"/>
        <w:bottom w:val="none" w:sz="0" w:space="0" w:color="auto"/>
        <w:right w:val="none" w:sz="0" w:space="0" w:color="auto"/>
      </w:divBdr>
    </w:div>
    <w:div w:id="1333802576">
      <w:bodyDiv w:val="1"/>
      <w:marLeft w:val="0"/>
      <w:marRight w:val="0"/>
      <w:marTop w:val="0"/>
      <w:marBottom w:val="0"/>
      <w:divBdr>
        <w:top w:val="none" w:sz="0" w:space="0" w:color="auto"/>
        <w:left w:val="none" w:sz="0" w:space="0" w:color="auto"/>
        <w:bottom w:val="none" w:sz="0" w:space="0" w:color="auto"/>
        <w:right w:val="none" w:sz="0" w:space="0" w:color="auto"/>
      </w:divBdr>
    </w:div>
    <w:div w:id="1658223118">
      <w:bodyDiv w:val="1"/>
      <w:marLeft w:val="0"/>
      <w:marRight w:val="0"/>
      <w:marTop w:val="0"/>
      <w:marBottom w:val="0"/>
      <w:divBdr>
        <w:top w:val="none" w:sz="0" w:space="0" w:color="auto"/>
        <w:left w:val="none" w:sz="0" w:space="0" w:color="auto"/>
        <w:bottom w:val="none" w:sz="0" w:space="0" w:color="auto"/>
        <w:right w:val="none" w:sz="0" w:space="0" w:color="auto"/>
      </w:divBdr>
    </w:div>
    <w:div w:id="1662612155">
      <w:bodyDiv w:val="1"/>
      <w:marLeft w:val="0"/>
      <w:marRight w:val="0"/>
      <w:marTop w:val="0"/>
      <w:marBottom w:val="0"/>
      <w:divBdr>
        <w:top w:val="none" w:sz="0" w:space="0" w:color="auto"/>
        <w:left w:val="none" w:sz="0" w:space="0" w:color="auto"/>
        <w:bottom w:val="none" w:sz="0" w:space="0" w:color="auto"/>
        <w:right w:val="none" w:sz="0" w:space="0" w:color="auto"/>
      </w:divBdr>
    </w:div>
    <w:div w:id="1697854138">
      <w:bodyDiv w:val="1"/>
      <w:marLeft w:val="0"/>
      <w:marRight w:val="0"/>
      <w:marTop w:val="0"/>
      <w:marBottom w:val="0"/>
      <w:divBdr>
        <w:top w:val="none" w:sz="0" w:space="0" w:color="auto"/>
        <w:left w:val="none" w:sz="0" w:space="0" w:color="auto"/>
        <w:bottom w:val="none" w:sz="0" w:space="0" w:color="auto"/>
        <w:right w:val="none" w:sz="0" w:space="0" w:color="auto"/>
      </w:divBdr>
    </w:div>
    <w:div w:id="1724211974">
      <w:bodyDiv w:val="1"/>
      <w:marLeft w:val="0"/>
      <w:marRight w:val="0"/>
      <w:marTop w:val="0"/>
      <w:marBottom w:val="0"/>
      <w:divBdr>
        <w:top w:val="none" w:sz="0" w:space="0" w:color="auto"/>
        <w:left w:val="none" w:sz="0" w:space="0" w:color="auto"/>
        <w:bottom w:val="none" w:sz="0" w:space="0" w:color="auto"/>
        <w:right w:val="none" w:sz="0" w:space="0" w:color="auto"/>
      </w:divBdr>
    </w:div>
    <w:div w:id="2054191255">
      <w:bodyDiv w:val="1"/>
      <w:marLeft w:val="0"/>
      <w:marRight w:val="0"/>
      <w:marTop w:val="0"/>
      <w:marBottom w:val="0"/>
      <w:divBdr>
        <w:top w:val="none" w:sz="0" w:space="0" w:color="auto"/>
        <w:left w:val="none" w:sz="0" w:space="0" w:color="auto"/>
        <w:bottom w:val="none" w:sz="0" w:space="0" w:color="auto"/>
        <w:right w:val="none" w:sz="0" w:space="0" w:color="auto"/>
      </w:divBdr>
    </w:div>
    <w:div w:id="2058159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spPr>
            <a:ln w="28575" cap="rnd">
              <a:solidFill>
                <a:schemeClr val="tx1"/>
              </a:solidFill>
              <a:round/>
            </a:ln>
            <a:effectLst/>
          </c:spPr>
          <c:marker>
            <c:symbol val="circle"/>
            <c:size val="5"/>
            <c:spPr>
              <a:solidFill>
                <a:schemeClr val="tx1"/>
              </a:solidFill>
              <a:ln w="9525">
                <a:solidFill>
                  <a:schemeClr val="dk1">
                    <a:tint val="88500"/>
                  </a:schemeClr>
                </a:solidFill>
              </a:ln>
              <a:effectLst/>
            </c:spPr>
          </c:marker>
          <c:dLbls>
            <c:delete val="1"/>
          </c:dLbls>
          <c:val>
            <c:numRef>
              <c:f>Sheet1!$B$1:$B$21</c:f>
              <c:numCache>
                <c:formatCode>General</c:formatCode>
                <c:ptCount val="21"/>
                <c:pt idx="0">
                  <c:v>9.2732300000000016</c:v>
                </c:pt>
                <c:pt idx="1">
                  <c:v>1.85778</c:v>
                </c:pt>
                <c:pt idx="2">
                  <c:v>1.06721</c:v>
                </c:pt>
                <c:pt idx="3">
                  <c:v>0.93359999999999999</c:v>
                </c:pt>
                <c:pt idx="4">
                  <c:v>0.86680999999999997</c:v>
                </c:pt>
                <c:pt idx="5">
                  <c:v>0.74721000000000004</c:v>
                </c:pt>
                <c:pt idx="6">
                  <c:v>0.68633</c:v>
                </c:pt>
                <c:pt idx="7">
                  <c:v>0.63373999999999997</c:v>
                </c:pt>
                <c:pt idx="8">
                  <c:v>0.60440000000000005</c:v>
                </c:pt>
                <c:pt idx="9">
                  <c:v>0.56049000000000004</c:v>
                </c:pt>
                <c:pt idx="10">
                  <c:v>0.52844999999999998</c:v>
                </c:pt>
                <c:pt idx="11">
                  <c:v>0.49776999999999999</c:v>
                </c:pt>
                <c:pt idx="12">
                  <c:v>0.4219</c:v>
                </c:pt>
                <c:pt idx="13">
                  <c:v>0.38501000000000002</c:v>
                </c:pt>
                <c:pt idx="14">
                  <c:v>0.36291000000000001</c:v>
                </c:pt>
                <c:pt idx="15">
                  <c:v>0.33262999999999998</c:v>
                </c:pt>
                <c:pt idx="16">
                  <c:v>0.29013</c:v>
                </c:pt>
                <c:pt idx="17">
                  <c:v>0.25912000000000002</c:v>
                </c:pt>
                <c:pt idx="18">
                  <c:v>0.25159999999999999</c:v>
                </c:pt>
                <c:pt idx="19">
                  <c:v>0.22617999999999999</c:v>
                </c:pt>
                <c:pt idx="20">
                  <c:v>0.2135</c:v>
                </c:pt>
              </c:numCache>
            </c:numRef>
          </c:val>
          <c:smooth val="0"/>
          <c:extLst>
            <c:ext xmlns:c16="http://schemas.microsoft.com/office/drawing/2014/chart" uri="{C3380CC4-5D6E-409C-BE32-E72D297353CC}">
              <c16:uniqueId val="{00000000-6458-084F-8BAD-7122D93DAE6C}"/>
            </c:ext>
          </c:extLst>
        </c:ser>
        <c:dLbls>
          <c:dLblPos val="ctr"/>
          <c:showLegendKey val="0"/>
          <c:showVal val="1"/>
          <c:showCatName val="0"/>
          <c:showSerName val="0"/>
          <c:showPercent val="0"/>
          <c:showBubbleSize val="0"/>
        </c:dLbls>
        <c:upDownBars>
          <c:gapWidth val="150"/>
          <c:upBars>
            <c:spPr>
              <a:solidFill>
                <a:schemeClr val="lt1"/>
              </a:solidFill>
              <a:ln w="9525">
                <a:solidFill>
                  <a:schemeClr val="tx1">
                    <a:lumMod val="15000"/>
                    <a:lumOff val="85000"/>
                  </a:schemeClr>
                </a:solidFill>
              </a:ln>
              <a:effectLst/>
            </c:spPr>
          </c:upBars>
          <c:downBars>
            <c:spPr>
              <a:solidFill>
                <a:schemeClr val="dk1">
                  <a:lumMod val="65000"/>
                  <a:lumOff val="35000"/>
                </a:schemeClr>
              </a:solidFill>
              <a:ln w="9525">
                <a:solidFill>
                  <a:schemeClr val="tx1">
                    <a:lumMod val="65000"/>
                    <a:lumOff val="35000"/>
                  </a:schemeClr>
                </a:solidFill>
              </a:ln>
              <a:effectLst/>
            </c:spPr>
          </c:downBars>
        </c:upDownBars>
        <c:marker val="1"/>
        <c:smooth val="0"/>
        <c:axId val="985183024"/>
        <c:axId val="985186416"/>
      </c:lineChart>
      <c:catAx>
        <c:axId val="985183024"/>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r>
                  <a:rPr lang="en-US"/>
                  <a:t>Factor Number</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985186416"/>
        <c:crosses val="autoZero"/>
        <c:auto val="1"/>
        <c:lblAlgn val="ctr"/>
        <c:lblOffset val="100"/>
        <c:noMultiLvlLbl val="0"/>
      </c:catAx>
      <c:valAx>
        <c:axId val="985186416"/>
        <c:scaling>
          <c:orientation val="minMax"/>
        </c:scaling>
        <c:delete val="0"/>
        <c:axPos val="l"/>
        <c:title>
          <c:tx>
            <c:rich>
              <a:bodyPr rot="-54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r>
                  <a:rPr lang="en-US"/>
                  <a:t>Eigenvalue</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985183024"/>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12D290A-A2EA-4CD5-B69A-8A2F36822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31182</Words>
  <Characters>177740</Characters>
  <Application>Microsoft Office Word</Application>
  <DocSecurity>0</DocSecurity>
  <Lines>1481</Lines>
  <Paragraphs>417</Paragraphs>
  <ScaleCrop>false</ScaleCrop>
  <HeadingPairs>
    <vt:vector size="2" baseType="variant">
      <vt:variant>
        <vt:lpstr>Title</vt:lpstr>
      </vt:variant>
      <vt:variant>
        <vt:i4>1</vt:i4>
      </vt:variant>
    </vt:vector>
  </HeadingPairs>
  <TitlesOfParts>
    <vt:vector size="1" baseType="lpstr">
      <vt:lpstr/>
    </vt:vector>
  </TitlesOfParts>
  <Company>Utah State University</Company>
  <LinksUpToDate>false</LinksUpToDate>
  <CharactersWithSpaces>208505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Krafft</dc:creator>
  <cp:keywords/>
  <dc:description/>
  <cp:lastModifiedBy>Michael Levin</cp:lastModifiedBy>
  <cp:revision>2</cp:revision>
  <dcterms:created xsi:type="dcterms:W3CDTF">2018-08-06T14:07:00Z</dcterms:created>
  <dcterms:modified xsi:type="dcterms:W3CDTF">2018-08-06T14:07:00Z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http://www.zotero.org/styles/journal-of-contextual-behavioral-science</vt:lpwstr>
  </property>
  <property fmtid="{D5CDD505-2E9C-101B-9397-08002B2CF9AE}" pid="17" name="Mendeley Recent Style Name 7_1">
    <vt:lpwstr>Journal of Contextual Behavioral Science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7th edition</vt:lpwstr>
  </property>
  <property fmtid="{D5CDD505-2E9C-101B-9397-08002B2CF9AE}" pid="22" name="Mendeley Document_1">
    <vt:lpwstr>True</vt:lpwstr>
  </property>
  <property fmtid="{D5CDD505-2E9C-101B-9397-08002B2CF9AE}" pid="23" name="Mendeley Unique User Id_1">
    <vt:lpwstr>582b7677-ed7a-37f2-bcdb-9ec4151e8160</vt:lpwstr>
  </property>
  <property fmtid="{D5CDD505-2E9C-101B-9397-08002B2CF9AE}" pid="24" name="Mendeley Citation Style_1">
    <vt:lpwstr>http://www.zotero.org/styles/apa</vt:lpwstr>
  </property>
</Properties>
</file>