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ACD0" w14:textId="77777777" w:rsidR="00EE7C5D" w:rsidRPr="008828B5" w:rsidRDefault="00EE7C5D" w:rsidP="00EE7C5D">
      <w:pPr>
        <w:spacing w:line="480" w:lineRule="auto"/>
        <w:jc w:val="center"/>
        <w:rPr>
          <w:b/>
          <w:bCs/>
        </w:rPr>
      </w:pPr>
      <w:r w:rsidRPr="008828B5">
        <w:rPr>
          <w:b/>
          <w:bCs/>
        </w:rPr>
        <w:t>Moderators and predictors in a parent hearing aid management eHealth program</w:t>
      </w:r>
    </w:p>
    <w:p w14:paraId="45A14C21" w14:textId="77777777" w:rsidR="00EE7C5D" w:rsidRPr="008828B5" w:rsidRDefault="00EE7C5D" w:rsidP="00EE7C5D">
      <w:pPr>
        <w:spacing w:line="480" w:lineRule="auto"/>
        <w:jc w:val="center"/>
      </w:pPr>
    </w:p>
    <w:p w14:paraId="57F25A0A" w14:textId="77777777" w:rsidR="00EE7C5D" w:rsidRPr="008828B5" w:rsidRDefault="00EE7C5D" w:rsidP="00EE7C5D">
      <w:pPr>
        <w:spacing w:line="480" w:lineRule="auto"/>
        <w:jc w:val="center"/>
      </w:pPr>
    </w:p>
    <w:p w14:paraId="0775197D" w14:textId="77777777" w:rsidR="00EE7C5D" w:rsidRPr="008828B5" w:rsidRDefault="00EE7C5D" w:rsidP="00EE7C5D">
      <w:pPr>
        <w:spacing w:line="480" w:lineRule="auto"/>
        <w:jc w:val="center"/>
      </w:pPr>
    </w:p>
    <w:p w14:paraId="325F7A72" w14:textId="77777777" w:rsidR="00EE7C5D" w:rsidRPr="008828B5" w:rsidRDefault="00EE7C5D" w:rsidP="00EE7C5D">
      <w:pPr>
        <w:spacing w:line="480" w:lineRule="auto"/>
        <w:jc w:val="center"/>
      </w:pPr>
    </w:p>
    <w:p w14:paraId="13E93D6F" w14:textId="77777777" w:rsidR="00EE7C5D" w:rsidRPr="008828B5" w:rsidRDefault="00EE7C5D" w:rsidP="00EE7C5D">
      <w:pPr>
        <w:spacing w:line="480" w:lineRule="auto"/>
        <w:jc w:val="center"/>
        <w:rPr>
          <w:lang w:val="es-ES"/>
        </w:rPr>
      </w:pPr>
      <w:r w:rsidRPr="008828B5">
        <w:rPr>
          <w:lang w:val="es-ES"/>
        </w:rPr>
        <w:t>Guadalupe G. San Miguel</w:t>
      </w:r>
      <w:r w:rsidRPr="008828B5">
        <w:rPr>
          <w:vertAlign w:val="superscript"/>
          <w:lang w:val="es-ES"/>
        </w:rPr>
        <w:t>1</w:t>
      </w:r>
    </w:p>
    <w:p w14:paraId="75E692E1" w14:textId="77777777" w:rsidR="00EE7C5D" w:rsidRPr="008828B5" w:rsidRDefault="00EE7C5D" w:rsidP="00EE7C5D">
      <w:pPr>
        <w:spacing w:line="480" w:lineRule="auto"/>
        <w:jc w:val="center"/>
        <w:rPr>
          <w:lang w:val="es-ES"/>
        </w:rPr>
      </w:pPr>
      <w:r w:rsidRPr="008828B5">
        <w:rPr>
          <w:lang w:val="es-ES"/>
        </w:rPr>
        <w:t>Karen Muñoz</w:t>
      </w:r>
      <w:r w:rsidRPr="008828B5">
        <w:rPr>
          <w:vertAlign w:val="superscript"/>
          <w:lang w:val="es-ES"/>
        </w:rPr>
        <w:t>1</w:t>
      </w:r>
    </w:p>
    <w:p w14:paraId="299DAD7D" w14:textId="77777777" w:rsidR="00EE7C5D" w:rsidRPr="008828B5" w:rsidRDefault="00EE7C5D" w:rsidP="00EE7C5D">
      <w:pPr>
        <w:spacing w:line="480" w:lineRule="auto"/>
        <w:jc w:val="center"/>
      </w:pPr>
      <w:r w:rsidRPr="008828B5">
        <w:t>Tyson S. Barrett</w:t>
      </w:r>
      <w:r w:rsidRPr="008828B5">
        <w:rPr>
          <w:vertAlign w:val="superscript"/>
        </w:rPr>
        <w:t>1</w:t>
      </w:r>
    </w:p>
    <w:p w14:paraId="21154FAE" w14:textId="77777777" w:rsidR="00EE7C5D" w:rsidRPr="008828B5" w:rsidRDefault="00EE7C5D" w:rsidP="00EE7C5D">
      <w:pPr>
        <w:spacing w:line="480" w:lineRule="auto"/>
        <w:jc w:val="center"/>
      </w:pPr>
      <w:r w:rsidRPr="008828B5">
        <w:t>Michael P. Twohig</w:t>
      </w:r>
      <w:r w:rsidRPr="008828B5">
        <w:rPr>
          <w:vertAlign w:val="superscript"/>
        </w:rPr>
        <w:t>1</w:t>
      </w:r>
    </w:p>
    <w:p w14:paraId="499E93B0" w14:textId="77777777" w:rsidR="00EE7C5D" w:rsidRPr="008828B5" w:rsidRDefault="00EE7C5D" w:rsidP="00EE7C5D">
      <w:pPr>
        <w:spacing w:line="480" w:lineRule="auto"/>
        <w:jc w:val="center"/>
      </w:pPr>
    </w:p>
    <w:p w14:paraId="639499BB" w14:textId="77777777" w:rsidR="00EE7C5D" w:rsidRPr="008828B5" w:rsidRDefault="00EE7C5D" w:rsidP="00EE7C5D">
      <w:pPr>
        <w:spacing w:line="480" w:lineRule="auto"/>
        <w:jc w:val="center"/>
      </w:pPr>
      <w:r w:rsidRPr="008828B5">
        <w:rPr>
          <w:vertAlign w:val="superscript"/>
        </w:rPr>
        <w:t>1</w:t>
      </w:r>
      <w:r w:rsidRPr="008828B5">
        <w:t>Utah State University</w:t>
      </w:r>
    </w:p>
    <w:p w14:paraId="56DA901F" w14:textId="77777777" w:rsidR="00EE7C5D" w:rsidRPr="008828B5" w:rsidRDefault="00EE7C5D" w:rsidP="00EE7C5D">
      <w:pPr>
        <w:spacing w:line="480" w:lineRule="auto"/>
        <w:jc w:val="center"/>
      </w:pPr>
    </w:p>
    <w:p w14:paraId="19D7D266" w14:textId="77777777" w:rsidR="00EE7C5D" w:rsidRPr="008828B5" w:rsidRDefault="00EE7C5D" w:rsidP="00EE7C5D">
      <w:r w:rsidRPr="008828B5">
        <w:t>Corresponding author:</w:t>
      </w:r>
    </w:p>
    <w:p w14:paraId="07AF646E" w14:textId="77777777" w:rsidR="00EE7C5D" w:rsidRPr="008828B5" w:rsidRDefault="00EE7C5D" w:rsidP="00EE7C5D">
      <w:r w:rsidRPr="008828B5">
        <w:t>Guadalupe G. San Miguel</w:t>
      </w:r>
    </w:p>
    <w:p w14:paraId="6EAC8D79" w14:textId="77777777" w:rsidR="00EE7C5D" w:rsidRPr="008828B5" w:rsidRDefault="00EE7C5D" w:rsidP="00EE7C5D">
      <w:r w:rsidRPr="008828B5">
        <w:t>Department of Psychology</w:t>
      </w:r>
    </w:p>
    <w:p w14:paraId="6CBC6007" w14:textId="77777777" w:rsidR="00EE7C5D" w:rsidRPr="008828B5" w:rsidRDefault="00EE7C5D" w:rsidP="00EE7C5D">
      <w:r w:rsidRPr="008828B5">
        <w:t>Utah State University</w:t>
      </w:r>
    </w:p>
    <w:p w14:paraId="11BCDD2A" w14:textId="77777777" w:rsidR="00EE7C5D" w:rsidRPr="008828B5" w:rsidRDefault="00EE7C5D" w:rsidP="00EE7C5D">
      <w:r w:rsidRPr="008828B5">
        <w:t>2810 Old Main Hill,</w:t>
      </w:r>
    </w:p>
    <w:p w14:paraId="157D4809" w14:textId="77777777" w:rsidR="00EE7C5D" w:rsidRPr="008828B5" w:rsidRDefault="00EE7C5D" w:rsidP="00EE7C5D">
      <w:r w:rsidRPr="008828B5">
        <w:t>Logan, UT, 84322</w:t>
      </w:r>
    </w:p>
    <w:p w14:paraId="02414875" w14:textId="77777777" w:rsidR="00EE7C5D" w:rsidRPr="008828B5" w:rsidRDefault="00EE7C5D" w:rsidP="00EE7C5D">
      <w:pPr>
        <w:spacing w:line="480" w:lineRule="auto"/>
      </w:pPr>
      <w:r w:rsidRPr="008828B5">
        <w:t xml:space="preserve">guadalupe.g.sanmiguel@aggiemail.usu.edu </w:t>
      </w:r>
    </w:p>
    <w:p w14:paraId="1D85530C" w14:textId="77777777" w:rsidR="00EE7C5D" w:rsidRPr="008828B5" w:rsidRDefault="00EE7C5D" w:rsidP="00EE7C5D">
      <w:pPr>
        <w:spacing w:line="480" w:lineRule="auto"/>
      </w:pPr>
    </w:p>
    <w:p w14:paraId="1ECFC316" w14:textId="77777777" w:rsidR="00EE7C5D" w:rsidRPr="008828B5" w:rsidRDefault="00EE7C5D" w:rsidP="00EE7C5D">
      <w:pPr>
        <w:spacing w:line="480" w:lineRule="auto"/>
      </w:pPr>
      <w:r w:rsidRPr="008828B5">
        <w:t xml:space="preserve">Word count: </w:t>
      </w:r>
      <w:r>
        <w:t>6,381</w:t>
      </w:r>
    </w:p>
    <w:p w14:paraId="237BF7AA" w14:textId="77777777" w:rsidR="00EE7C5D" w:rsidRPr="008828B5" w:rsidRDefault="00EE7C5D" w:rsidP="00EE7C5D">
      <w:pPr>
        <w:spacing w:line="480" w:lineRule="auto"/>
        <w:jc w:val="center"/>
        <w:rPr>
          <w:b/>
          <w:bCs/>
        </w:rPr>
      </w:pPr>
    </w:p>
    <w:p w14:paraId="65D8F1F9" w14:textId="77777777" w:rsidR="00EE7C5D" w:rsidRPr="008828B5" w:rsidRDefault="00EE7C5D" w:rsidP="00EE7C5D">
      <w:pPr>
        <w:spacing w:line="480" w:lineRule="auto"/>
        <w:jc w:val="center"/>
        <w:rPr>
          <w:b/>
          <w:bCs/>
        </w:rPr>
      </w:pPr>
    </w:p>
    <w:p w14:paraId="4EC7C6A8" w14:textId="77777777" w:rsidR="00EE7C5D" w:rsidRPr="008828B5" w:rsidRDefault="00EE7C5D" w:rsidP="00EE7C5D">
      <w:pPr>
        <w:spacing w:line="480" w:lineRule="auto"/>
        <w:jc w:val="center"/>
        <w:rPr>
          <w:b/>
          <w:bCs/>
        </w:rPr>
      </w:pPr>
    </w:p>
    <w:p w14:paraId="611CF5C5" w14:textId="18779A98" w:rsidR="00EE7C5D" w:rsidRDefault="00EE7C5D" w:rsidP="00EE7C5D">
      <w:pPr>
        <w:spacing w:line="480" w:lineRule="auto"/>
        <w:rPr>
          <w:b/>
          <w:bCs/>
        </w:rPr>
      </w:pPr>
    </w:p>
    <w:p w14:paraId="3F7283C6" w14:textId="27361281" w:rsidR="00EE7C5D" w:rsidRDefault="00EE7C5D" w:rsidP="00EE7C5D">
      <w:pPr>
        <w:spacing w:line="480" w:lineRule="auto"/>
        <w:rPr>
          <w:b/>
          <w:bCs/>
        </w:rPr>
      </w:pPr>
    </w:p>
    <w:p w14:paraId="6070B4F4" w14:textId="5EDAE987" w:rsidR="00EE7C5D" w:rsidRDefault="00EE7C5D" w:rsidP="00EE7C5D">
      <w:pPr>
        <w:spacing w:line="480" w:lineRule="auto"/>
        <w:rPr>
          <w:b/>
          <w:bCs/>
        </w:rPr>
      </w:pPr>
    </w:p>
    <w:p w14:paraId="0F3DC7AC" w14:textId="77777777" w:rsidR="00EE7C5D" w:rsidRPr="008828B5" w:rsidRDefault="00EE7C5D" w:rsidP="00EE7C5D">
      <w:pPr>
        <w:spacing w:line="480" w:lineRule="auto"/>
        <w:rPr>
          <w:b/>
          <w:bCs/>
        </w:rPr>
      </w:pPr>
    </w:p>
    <w:p w14:paraId="2F0D5F22" w14:textId="77777777" w:rsidR="00EE7C5D" w:rsidRPr="008828B5" w:rsidRDefault="00EE7C5D" w:rsidP="00EE7C5D">
      <w:pPr>
        <w:spacing w:line="480" w:lineRule="auto"/>
        <w:rPr>
          <w:b/>
          <w:bCs/>
        </w:rPr>
      </w:pPr>
    </w:p>
    <w:p w14:paraId="2F0769A7" w14:textId="77777777" w:rsidR="00EE7C5D" w:rsidRPr="008828B5" w:rsidRDefault="00EE7C5D" w:rsidP="00EE7C5D">
      <w:pPr>
        <w:spacing w:line="480" w:lineRule="auto"/>
        <w:jc w:val="center"/>
        <w:rPr>
          <w:b/>
          <w:bCs/>
        </w:rPr>
      </w:pPr>
      <w:r w:rsidRPr="008828B5">
        <w:rPr>
          <w:b/>
          <w:bCs/>
        </w:rPr>
        <w:lastRenderedPageBreak/>
        <w:t>Abstract</w:t>
      </w:r>
    </w:p>
    <w:p w14:paraId="4A6CFE63" w14:textId="77777777" w:rsidR="00EE7C5D" w:rsidRPr="008828B5" w:rsidRDefault="00EE7C5D" w:rsidP="00EE7C5D">
      <w:pPr>
        <w:spacing w:line="480" w:lineRule="auto"/>
      </w:pPr>
      <w:r w:rsidRPr="008828B5">
        <w:t xml:space="preserve">Objective: Consistent hearing-aid use is essential for spoken language development of children who are hard of hearing. A recent randomized controlled trial of an eHealth hearing aid management education program found the intervention increased knowledge, perceptions, confidence, and device monitoring among parents of young children. Yet, it is not known which variables can be a point of emphasis to improve treatment outcomes. The purpose of this study was to investigate potential moderators and predictors in the eHealth program. </w:t>
      </w:r>
    </w:p>
    <w:p w14:paraId="52680A2F" w14:textId="77777777" w:rsidR="00EE7C5D" w:rsidRPr="008828B5" w:rsidRDefault="00EE7C5D" w:rsidP="00EE7C5D">
      <w:pPr>
        <w:spacing w:line="480" w:lineRule="auto"/>
      </w:pPr>
      <w:r w:rsidRPr="008828B5">
        <w:t>Design: Randomized controlled trial</w:t>
      </w:r>
    </w:p>
    <w:p w14:paraId="7C5B8E54" w14:textId="77777777" w:rsidR="00EE7C5D" w:rsidRPr="008828B5" w:rsidRDefault="00EE7C5D" w:rsidP="00EE7C5D">
      <w:pPr>
        <w:spacing w:line="480" w:lineRule="auto"/>
      </w:pPr>
      <w:r w:rsidRPr="008828B5">
        <w:t xml:space="preserve">Study Sample: Parents (N=78) of children </w:t>
      </w:r>
      <w:r>
        <w:t>(</w:t>
      </w:r>
      <w:r w:rsidRPr="008828B5">
        <w:t>42 months</w:t>
      </w:r>
      <w:r>
        <w:t xml:space="preserve"> or younger)</w:t>
      </w:r>
      <w:r w:rsidRPr="008828B5">
        <w:t xml:space="preserve"> were randomized to the intervention or treatment-as-usual (TAU) group. </w:t>
      </w:r>
    </w:p>
    <w:p w14:paraId="5F7023E0" w14:textId="77777777" w:rsidR="00EE7C5D" w:rsidRPr="008828B5" w:rsidRDefault="00EE7C5D" w:rsidP="00EE7C5D">
      <w:pPr>
        <w:spacing w:line="480" w:lineRule="auto"/>
      </w:pPr>
      <w:r w:rsidRPr="008828B5">
        <w:t xml:space="preserve">Results: Results revealed that high psychological inflexibility, low parent activation, and low hours of hearing aid use may moderate device monitoring frequency and knowledge; parents in the intervention improved over time compared to the TAU group. Psychological inflexibility and parent activation also predicted treatment outcomes. </w:t>
      </w:r>
    </w:p>
    <w:p w14:paraId="6C1D2FD9" w14:textId="77777777" w:rsidR="00EE7C5D" w:rsidRPr="008828B5" w:rsidRDefault="00EE7C5D" w:rsidP="00EE7C5D">
      <w:pPr>
        <w:spacing w:line="480" w:lineRule="auto"/>
      </w:pPr>
      <w:r w:rsidRPr="008828B5">
        <w:t>Conclusion: The findings suggest the need to address parent psychological inflexibility related to hearing loss management, parents’ role in their child’s hearing aid management, and reported hours of hearing aid use as part of hearing aid service delivery. Identification of barriers to hearing aid management can assist audiologists in adjusting support to improve outcomes.</w:t>
      </w:r>
    </w:p>
    <w:p w14:paraId="36C1921E" w14:textId="77777777" w:rsidR="00EE7C5D" w:rsidRPr="008828B5" w:rsidRDefault="00EE7C5D" w:rsidP="00EE7C5D">
      <w:pPr>
        <w:spacing w:line="480" w:lineRule="auto"/>
      </w:pPr>
    </w:p>
    <w:p w14:paraId="3B0F4D29" w14:textId="77777777" w:rsidR="00EE7C5D" w:rsidRPr="008828B5" w:rsidRDefault="00EE7C5D" w:rsidP="00EE7C5D">
      <w:pPr>
        <w:spacing w:line="480" w:lineRule="auto"/>
      </w:pPr>
      <w:r w:rsidRPr="008828B5">
        <w:rPr>
          <w:i/>
        </w:rPr>
        <w:t>Keywords</w:t>
      </w:r>
      <w:r w:rsidRPr="008828B5">
        <w:t>: hearing loss, hearing aids, parent education, moderator, child</w:t>
      </w:r>
    </w:p>
    <w:p w14:paraId="48354A8C" w14:textId="550FE394" w:rsidR="002A52D3" w:rsidRDefault="002A52D3"/>
    <w:p w14:paraId="5D9A7BC2" w14:textId="0A8A96E6" w:rsidR="00EE7C5D" w:rsidRDefault="00EE7C5D"/>
    <w:p w14:paraId="01CBABBB" w14:textId="7D87E4EB" w:rsidR="00EE7C5D" w:rsidRDefault="00EE7C5D"/>
    <w:p w14:paraId="61661038" w14:textId="23892710" w:rsidR="00EE7C5D" w:rsidRDefault="00EE7C5D"/>
    <w:p w14:paraId="5FAC47CF" w14:textId="6F4BB679" w:rsidR="00EE7C5D" w:rsidRDefault="00EE7C5D"/>
    <w:p w14:paraId="46A43DD6" w14:textId="25E51A94" w:rsidR="00EE7C5D" w:rsidRDefault="00EE7C5D"/>
    <w:p w14:paraId="61395F74" w14:textId="710FCE1D" w:rsidR="00EE7C5D" w:rsidRDefault="00EE7C5D"/>
    <w:p w14:paraId="06631ABC" w14:textId="23055CDD" w:rsidR="00EE7C5D" w:rsidRDefault="00EE7C5D"/>
    <w:p w14:paraId="1FC85777" w14:textId="63D02727" w:rsidR="00EE7C5D" w:rsidRDefault="00EE7C5D"/>
    <w:p w14:paraId="437AE27A" w14:textId="5C4F3DF5" w:rsidR="00EE7C5D" w:rsidRDefault="00EE7C5D"/>
    <w:p w14:paraId="4CC6AD52" w14:textId="7CF40312" w:rsidR="00EE7C5D" w:rsidRDefault="00EE7C5D"/>
    <w:p w14:paraId="6BDE5703" w14:textId="77777777" w:rsidR="00EE7C5D" w:rsidRPr="00D22A73" w:rsidRDefault="00EE7C5D" w:rsidP="00EE7C5D">
      <w:pPr>
        <w:spacing w:line="480" w:lineRule="auto"/>
        <w:jc w:val="center"/>
        <w:rPr>
          <w:b/>
          <w:bCs/>
        </w:rPr>
      </w:pPr>
      <w:r w:rsidRPr="00D22A73">
        <w:rPr>
          <w:b/>
          <w:bCs/>
        </w:rPr>
        <w:lastRenderedPageBreak/>
        <w:t>Moderators and predictors in a parent hearing aid management eHealth program</w:t>
      </w:r>
    </w:p>
    <w:p w14:paraId="4BBCFE42" w14:textId="77777777" w:rsidR="00EE7C5D" w:rsidRPr="00D22A73" w:rsidRDefault="00EE7C5D" w:rsidP="00EE7C5D">
      <w:pPr>
        <w:spacing w:line="480" w:lineRule="auto"/>
        <w:ind w:firstLine="720"/>
      </w:pPr>
      <w:r w:rsidRPr="00D22A73">
        <w:t xml:space="preserve">Early and consistent audibility through well-functioning hearing aids are critical foundations for children with permanent hearing loss who are developing spoken language </w:t>
      </w:r>
      <w:r w:rsidRPr="00D22A73">
        <w:rPr>
          <w:noProof/>
        </w:rPr>
        <w:t>(McCreery &amp; Walker, 2017)</w:t>
      </w:r>
      <w:r w:rsidRPr="00D22A73">
        <w:t xml:space="preserve">. Parents have a key role in helping their young child access sound and adhering to hearing aid usage recommendations. Tomblin and colleagues </w:t>
      </w:r>
      <w:r w:rsidRPr="00D22A73">
        <w:rPr>
          <w:noProof/>
        </w:rPr>
        <w:t>(2015)</w:t>
      </w:r>
      <w:r w:rsidRPr="00D22A73">
        <w:t xml:space="preserve"> found 10 or more hours of hearing aid use per day predicted better language outcomes for children with mild to severe hearing loss. Furthermore, oral language skills are foundational for academic performance, and have been found to be moderated by the extent hearing aids provide audibility in early elementary school </w:t>
      </w:r>
      <w:r w:rsidRPr="00D22A73">
        <w:rPr>
          <w:noProof/>
        </w:rPr>
        <w:t>(Tomblin et al., 2020)</w:t>
      </w:r>
      <w:r w:rsidRPr="00D22A73">
        <w:t xml:space="preserve">. These together underscore the importance of parent learning and capacity building. Yet, parents often experience challenges learning to implement new information and skills to adhere to hearing aid management routines </w:t>
      </w:r>
      <w:r w:rsidRPr="00D22A73">
        <w:rPr>
          <w:noProof/>
        </w:rPr>
        <w:t>(Muñoz et al., 2015)</w:t>
      </w:r>
      <w:r w:rsidRPr="00D22A73">
        <w:t>. Providers can support parent learning through education and guidance to help parents overcome barriers that interfere with their ability to take needed actions.</w:t>
      </w:r>
    </w:p>
    <w:p w14:paraId="2C7300AC" w14:textId="77777777" w:rsidR="00EE7C5D" w:rsidRPr="00D22A73" w:rsidRDefault="00EE7C5D" w:rsidP="00EE7C5D">
      <w:pPr>
        <w:spacing w:line="480" w:lineRule="auto"/>
      </w:pPr>
      <w:r w:rsidRPr="00D22A73">
        <w:tab/>
        <w:t xml:space="preserve">Research has described challenges (e.g., lack of confidence, insufficient information) parents experience related to hearing aid management </w:t>
      </w:r>
      <w:r w:rsidRPr="00D22A73">
        <w:rPr>
          <w:noProof/>
        </w:rPr>
        <w:t>(Muñoz et al., 2015; Muñoz et al., 2016)</w:t>
      </w:r>
      <w:r w:rsidRPr="00D22A73">
        <w:t xml:space="preserve">; however, there is a scarcity of research on effective parent interventions to improve daily hearing aid routines. One study has offered a possible solution to increasing parent hearing aid knowledge, confidence, and frequency of monitoring device function </w:t>
      </w:r>
      <w:r w:rsidRPr="00D22A73">
        <w:rPr>
          <w:noProof/>
        </w:rPr>
        <w:t>(Muñoz et al., 2021)</w:t>
      </w:r>
      <w:r w:rsidRPr="00D22A73">
        <w:t xml:space="preserve">. In their pilot randomized controlled trial, the researchers implemented an eHealth education program. Parents with children who use hearing aids were allocated into one of two groups (intervention condition vs. TAU). The six-week intervention condition included educational videos on hearing aid management along with weekly phone check-ins. Compared to the TAU condition, participants in the intervention group had a greater increase in knowledge, perceptions, confidence, and monitoring of hearing aid management. Additionally, both conditions had increased hearing aid use but there was not a statistically significant difference between groups at the conclusion of the study. To improve intervention outcomes by identifying </w:t>
      </w:r>
      <w:r w:rsidRPr="00D22A73">
        <w:lastRenderedPageBreak/>
        <w:t xml:space="preserve">variables audiologists can focus on in treatment, it is important to investigate any potential moderating and predictive variables that can be addressed. </w:t>
      </w:r>
    </w:p>
    <w:p w14:paraId="52ED8007" w14:textId="77777777" w:rsidR="00EE7C5D" w:rsidRPr="00D22A73" w:rsidRDefault="00EE7C5D" w:rsidP="00EE7C5D">
      <w:pPr>
        <w:spacing w:line="480" w:lineRule="auto"/>
      </w:pPr>
      <w:r w:rsidRPr="00D22A73">
        <w:tab/>
        <w:t xml:space="preserve">Parental thoughts and emotions about a child’s hearing loss and hearing aid use could play a role in behavioral outcomes including daily hearing aid management. For example, if a parent has worries associated with having their child wear hearing aids </w:t>
      </w:r>
      <w:r w:rsidRPr="00D22A73">
        <w:rPr>
          <w:noProof/>
        </w:rPr>
        <w:t>(Muñoz et al., 2015)</w:t>
      </w:r>
      <w:r w:rsidRPr="00D22A73">
        <w:t xml:space="preserve">, to avoid experiencing the uncomfortable feelings the parent may not put the hearing aids on their child. A concept out of psychology called psychological inflexibility can help explain how certain internal experiences affect behavior in some people and not in others. Psychological inflexibility describes when internal experiences (thoughts, feelings, sensations) are experienced as powerful and push people to engage in avoidance behaviors instead of mindfully noticing those thoughts and engaging in functional actions </w:t>
      </w:r>
      <w:r w:rsidRPr="00D22A73">
        <w:rPr>
          <w:noProof/>
        </w:rPr>
        <w:t>(Hayes &amp; Strosahl, 2005)</w:t>
      </w:r>
      <w:r w:rsidRPr="00D22A73">
        <w:t xml:space="preserve">. The inability to stay in constant presence of internal experiences is commonly measured using the Acceptance and Action Questionnaire </w:t>
      </w:r>
      <w:r w:rsidRPr="00D22A73">
        <w:rPr>
          <w:noProof/>
        </w:rPr>
        <w:t>(Bond et al., 2011)</w:t>
      </w:r>
      <w:r w:rsidRPr="00D22A73">
        <w:t xml:space="preserve">. This instrument has been modified for specific conditions, including the internal experiences parents of children with hearing loss struggle with </w:t>
      </w:r>
      <w:r w:rsidRPr="00D22A73">
        <w:rPr>
          <w:noProof/>
        </w:rPr>
        <w:t>(Ong, Whicker, Muñoz, &amp; Twohig, 2019)</w:t>
      </w:r>
      <w:r w:rsidRPr="00D22A73">
        <w:t xml:space="preserve">. For pediatric hearing loss, this construct is measured by the Acceptance and Action Questionnaire-Managing Child Hearing Loss </w:t>
      </w:r>
      <w:r w:rsidRPr="00D22A73">
        <w:rPr>
          <w:noProof/>
        </w:rPr>
        <w:t>(AAQ-MCHL; Ong et al., 2019)</w:t>
      </w:r>
      <w:r w:rsidRPr="00D22A73">
        <w:t xml:space="preserve">. Ong and others </w:t>
      </w:r>
      <w:r w:rsidRPr="00D22A73">
        <w:rPr>
          <w:noProof/>
        </w:rPr>
        <w:t>(2019)</w:t>
      </w:r>
      <w:r w:rsidRPr="00D22A73">
        <w:t xml:space="preserve"> found the AAQ-MCHL to be a useful measure to assess psychological inflexibility in caregivers’ thoughts related to their children with hearing loss. In theory, a parent who struggles against their internal experiences (e.g., frustration, sadness, worry) related to their child’s hearing loss may be less likely to adhere to recommendations for their child’s hearing aid management. </w:t>
      </w:r>
    </w:p>
    <w:p w14:paraId="7C55798F" w14:textId="77777777" w:rsidR="00EE7C5D" w:rsidRPr="00D22A73" w:rsidRDefault="00EE7C5D" w:rsidP="00EE7C5D">
      <w:pPr>
        <w:spacing w:line="480" w:lineRule="auto"/>
      </w:pPr>
      <w:r w:rsidRPr="00D22A73">
        <w:tab/>
        <w:t>The level of knowledge, skill, and confidence parents have in their child’s hearing aid care is also a factor that can influence outcomes. Among those with chronic conditions, an increase in patient activation (knowledge, skill, and confidence for self-management) over time</w:t>
      </w:r>
      <w:r w:rsidRPr="00D22A73" w:rsidDel="00F12CFD">
        <w:t xml:space="preserve"> </w:t>
      </w:r>
      <w:r w:rsidRPr="00D22A73">
        <w:t xml:space="preserve">has been shown to improve health-related outcomes and better self-management behaviors </w:t>
      </w:r>
      <w:r w:rsidRPr="00D22A73">
        <w:rPr>
          <w:noProof/>
        </w:rPr>
        <w:t>(Hibbard, Greene, Shi, Mittler, &amp; Scanlon, 2015; Hibbard, Mahoney, Stock, &amp; Tusler, 2007)</w:t>
      </w:r>
      <w:r w:rsidRPr="00D22A73">
        <w:t xml:space="preserve">. </w:t>
      </w:r>
      <w:r w:rsidRPr="00D22A73">
        <w:lastRenderedPageBreak/>
        <w:t xml:space="preserve">Measuring this same activation in parents – better known as parent activation – with a child who has a chronic condition is still in its infancy but is promising. For example, parent activation has shown to have positive correlations between parent satisfaction and child behaviors among parents of children with autism spectrum disorder </w:t>
      </w:r>
      <w:r w:rsidRPr="00D22A73">
        <w:rPr>
          <w:noProof/>
        </w:rPr>
        <w:t>(Ruble, Murray, McGrew, Brevoort, &amp; Wong, 2018)</w:t>
      </w:r>
      <w:r w:rsidRPr="00D22A73">
        <w:t xml:space="preserve">. While research has explored parent activation for various health illnesses </w:t>
      </w:r>
      <w:r w:rsidRPr="00D22A73">
        <w:rPr>
          <w:noProof/>
        </w:rPr>
        <w:t>(e.g.,  pediatric hematopoietic stem cell transplant; Pennarola et al., 2012)</w:t>
      </w:r>
      <w:r w:rsidRPr="00D22A73">
        <w:t xml:space="preserve">, this research does not extend to children with hearing loss. Investigating the role parent activation for children with hearing loss plays in hearing aid management would bridge that gap. </w:t>
      </w:r>
    </w:p>
    <w:p w14:paraId="76256E2A" w14:textId="77777777" w:rsidR="00EE7C5D" w:rsidRPr="00D22A73" w:rsidRDefault="00EE7C5D" w:rsidP="00EE7C5D">
      <w:pPr>
        <w:spacing w:line="480" w:lineRule="auto"/>
      </w:pPr>
      <w:r w:rsidRPr="00D22A73">
        <w:tab/>
        <w:t xml:space="preserve">Finally, the daily number of hours reported for hearing aid use is an important indicator for future linguistic development (Tomblin et al., 2015), but it may also play a vital role in determining outcomes for an eHealth education program. When children are using their hearing aids more consistently, this may indicate higher levels of parent knowledge, monitoring, confidence, and perceptions thus those parents would have better intervention outcomes. Conversely, lower number of hours reported for hearing aid use may suggest the lack of knowledge and confidence to properly adhere to hearing aid management for their child. That is, those that report a lower number of hours of hearing aid use may be in a better position to glean the most from an eHealth education program. </w:t>
      </w:r>
    </w:p>
    <w:p w14:paraId="15002DFB" w14:textId="77777777" w:rsidR="00EE7C5D" w:rsidRPr="00D22A73" w:rsidRDefault="00EE7C5D" w:rsidP="00EE7C5D">
      <w:pPr>
        <w:spacing w:line="480" w:lineRule="auto"/>
      </w:pPr>
      <w:r w:rsidRPr="00D22A73">
        <w:tab/>
        <w:t xml:space="preserve">The current study presents secondary analyses from Muñoz and colleagues </w:t>
      </w:r>
      <w:r w:rsidRPr="00D22A73">
        <w:rPr>
          <w:noProof/>
        </w:rPr>
        <w:t>(2021)</w:t>
      </w:r>
      <w:r w:rsidRPr="00D22A73">
        <w:t xml:space="preserve"> that seeks to explore potential moderating and predictive variables involved in parent education for hearing aid management. Specifically, we are exploring (a) whether AAQ-MCHL moderates the relationship between intervention groups and intervention outcomes (i.e., parent knowledge, monitoring, confidence, and perceptions); (b) whether parent activation moderates the relationship between intervention groups and intervention outcomes; and (c) whether parent reported hours of hearing aid use moderates the relationship between intervention groups and intervention outcomes. We also explored whether (d) AAQ-MCHL explains intervention outcomes, and (e) whether parent activation explains intervention outcomes.</w:t>
      </w:r>
    </w:p>
    <w:p w14:paraId="42F0BF3D" w14:textId="77777777" w:rsidR="00EE7C5D" w:rsidRPr="00D22A73" w:rsidRDefault="00EE7C5D" w:rsidP="00EE7C5D">
      <w:pPr>
        <w:spacing w:line="480" w:lineRule="auto"/>
      </w:pPr>
    </w:p>
    <w:p w14:paraId="28E564D2" w14:textId="77777777" w:rsidR="00EE7C5D" w:rsidRPr="00D22A73" w:rsidRDefault="00EE7C5D" w:rsidP="00EE7C5D">
      <w:pPr>
        <w:spacing w:line="480" w:lineRule="auto"/>
        <w:jc w:val="center"/>
        <w:rPr>
          <w:b/>
          <w:bCs/>
        </w:rPr>
      </w:pPr>
      <w:r w:rsidRPr="00D22A73">
        <w:rPr>
          <w:b/>
          <w:bCs/>
        </w:rPr>
        <w:t>Methods</w:t>
      </w:r>
    </w:p>
    <w:p w14:paraId="0359A815" w14:textId="77777777" w:rsidR="00EE7C5D" w:rsidRPr="00D22A73" w:rsidRDefault="00EE7C5D" w:rsidP="00EE7C5D">
      <w:pPr>
        <w:spacing w:line="480" w:lineRule="auto"/>
        <w:rPr>
          <w:b/>
          <w:bCs/>
          <w:i/>
          <w:iCs/>
        </w:rPr>
      </w:pPr>
      <w:r w:rsidRPr="00D22A73">
        <w:rPr>
          <w:b/>
          <w:bCs/>
          <w:i/>
          <w:iCs/>
        </w:rPr>
        <w:t>Participants</w:t>
      </w:r>
    </w:p>
    <w:p w14:paraId="2191CE4D" w14:textId="77777777" w:rsidR="00EE7C5D" w:rsidRPr="00D22A73" w:rsidRDefault="00EE7C5D" w:rsidP="00EE7C5D">
      <w:pPr>
        <w:spacing w:line="480" w:lineRule="auto"/>
        <w:ind w:firstLine="720"/>
      </w:pPr>
      <w:r w:rsidRPr="00D22A73">
        <w:t xml:space="preserve">The sample consisted of 78 parents of children – from 36 states and 2 countries – who are deaf or hard of hearing (DHH) and use at least one behind-the-ear hearing aid. Forty-two percent of the children were identified as female, and the mean age of the children was 15 months (median = 14 months). Mothers represented most of the parents participating in the study (93%), and </w:t>
      </w:r>
      <w:proofErr w:type="gramStart"/>
      <w:r w:rsidRPr="00D22A73">
        <w:t>the majority of</w:t>
      </w:r>
      <w:proofErr w:type="gramEnd"/>
      <w:r w:rsidRPr="00D22A73">
        <w:t xml:space="preserve"> the parents identified as White (77%). Just over half of the children had a moderate degree of hearing loss (53%), most had bilateral hearing loss (88%), and most used spoken language as their primary mode of communication (89%). From the 78 parents that were randomized, 37 were allocated into the intervention condition and 41 were allocated into TAU</w:t>
      </w:r>
      <w:r w:rsidRPr="00D22A73">
        <w:rPr>
          <w:rStyle w:val="FootnoteReference"/>
        </w:rPr>
        <w:footnoteReference w:id="1"/>
      </w:r>
      <w:r w:rsidRPr="00D22A73">
        <w:t xml:space="preserve">. Parents were considered eligible if they had a child with a behind the ear hearing aid, child was aged 42 months or younger, had access to the internet, and English was their primary language. Parents were considered ineligible if their child did not have hearing aids or if they used only cochlear implants or bone conduction hearing aids. See Table 1 for additional demographic information and for a full description see Muñoz et al. </w:t>
      </w:r>
      <w:r w:rsidRPr="00D22A73">
        <w:rPr>
          <w:noProof/>
        </w:rPr>
        <w:t>(2021)</w:t>
      </w:r>
      <w:r w:rsidRPr="00D22A73">
        <w:t xml:space="preserve">. </w:t>
      </w:r>
    </w:p>
    <w:p w14:paraId="71A41AF0" w14:textId="77777777" w:rsidR="00EE7C5D" w:rsidRPr="00D22A73" w:rsidRDefault="00EE7C5D" w:rsidP="00EE7C5D">
      <w:pPr>
        <w:spacing w:line="480" w:lineRule="auto"/>
        <w:rPr>
          <w:b/>
          <w:bCs/>
          <w:i/>
          <w:iCs/>
        </w:rPr>
      </w:pPr>
      <w:r w:rsidRPr="00D22A73">
        <w:rPr>
          <w:b/>
          <w:bCs/>
          <w:i/>
          <w:iCs/>
        </w:rPr>
        <w:t>Procedure</w:t>
      </w:r>
    </w:p>
    <w:p w14:paraId="3FAA6784" w14:textId="77777777" w:rsidR="00EE7C5D" w:rsidRPr="00D22A73" w:rsidRDefault="00EE7C5D" w:rsidP="00EE7C5D">
      <w:pPr>
        <w:spacing w:line="480" w:lineRule="auto"/>
        <w:ind w:firstLine="720"/>
      </w:pPr>
      <w:r w:rsidRPr="00D22A73">
        <w:t xml:space="preserve">Data from the current study were taken from a 12-week pilot randomized controlled trial developed to assess a six-week long eHealth hearing aid management education program among parents with children who are DHH and use at least one behind-the-ear hearing aid. Data were collected from 2019 through 2020 with half of the study occurring at the start of the COVID-19 outbreak in the United States. Participants were recruited through online advertisements (e.g., Facebook), in clinic, and through state Early Hearing Detection and Intervention programs. Interested and eligible participants completed child/family demographics </w:t>
      </w:r>
      <w:r w:rsidRPr="00D22A73">
        <w:lastRenderedPageBreak/>
        <w:t>and baseline measures then were randomized into one of two conditions – intervention and TAU. After being randomized, each condition completed measures at pre-intervention, mid-intervention (4</w:t>
      </w:r>
      <w:r w:rsidRPr="00D22A73">
        <w:rPr>
          <w:vertAlign w:val="superscript"/>
        </w:rPr>
        <w:t>th</w:t>
      </w:r>
      <w:r w:rsidRPr="00D22A73">
        <w:t xml:space="preserve"> week since randomization; hours of hearing aid use only measure completed by participants), post-intervention (8</w:t>
      </w:r>
      <w:r w:rsidRPr="00D22A73">
        <w:rPr>
          <w:vertAlign w:val="superscript"/>
        </w:rPr>
        <w:t>th</w:t>
      </w:r>
      <w:r w:rsidRPr="00D22A73">
        <w:t xml:space="preserve"> week since randomization), and at follow-up (12</w:t>
      </w:r>
      <w:r w:rsidRPr="00D22A73">
        <w:rPr>
          <w:vertAlign w:val="superscript"/>
        </w:rPr>
        <w:t>th</w:t>
      </w:r>
      <w:r w:rsidRPr="00D22A73">
        <w:t xml:space="preserve"> week since randomization). Participants in the intervention condition were assigned a coach (audiology graduate student; pediatric audiologist) whom they spoke with on the phone once per week for six weeks. Participants were also asked to watch two hearing-aid management videos per week between week two and week five. Compensation was allocated to participants after completing questionnaires at three timepoints (i.e., baseline, 8 weeks, 12 weeks). Participants randomized into the TAU were offered an opportunity to take part in the intervention after data collection was completed. Further details about study procedures and materials can be found at Muñoz and colleagues </w:t>
      </w:r>
      <w:r w:rsidRPr="00D22A73">
        <w:rPr>
          <w:noProof/>
        </w:rPr>
        <w:t>(2021)</w:t>
      </w:r>
      <w:r w:rsidRPr="00D22A73">
        <w:t xml:space="preserve">. The Utah State University institutional review board approved all procedures. </w:t>
      </w:r>
    </w:p>
    <w:p w14:paraId="07521663" w14:textId="77777777" w:rsidR="00EE7C5D" w:rsidRPr="00D22A73" w:rsidRDefault="00EE7C5D" w:rsidP="00EE7C5D">
      <w:pPr>
        <w:spacing w:line="480" w:lineRule="auto"/>
        <w:rPr>
          <w:b/>
          <w:bCs/>
          <w:i/>
          <w:iCs/>
        </w:rPr>
      </w:pPr>
      <w:r w:rsidRPr="00D22A73">
        <w:rPr>
          <w:b/>
          <w:bCs/>
          <w:i/>
          <w:iCs/>
        </w:rPr>
        <w:t>Measures</w:t>
      </w:r>
    </w:p>
    <w:p w14:paraId="733188DD" w14:textId="77777777" w:rsidR="00EE7C5D" w:rsidRPr="00D22A73" w:rsidRDefault="00EE7C5D" w:rsidP="00EE7C5D">
      <w:pPr>
        <w:spacing w:line="480" w:lineRule="auto"/>
        <w:ind w:firstLine="720"/>
      </w:pPr>
      <w:r w:rsidRPr="00D22A73">
        <w:rPr>
          <w:i/>
          <w:iCs/>
        </w:rPr>
        <w:t>The Acceptance and Action Questionnaire-Managing Child Hearing Loss</w:t>
      </w:r>
      <w:r w:rsidRPr="00D22A73">
        <w:t xml:space="preserve"> </w:t>
      </w:r>
      <w:r w:rsidRPr="00D22A73">
        <w:rPr>
          <w:noProof/>
        </w:rPr>
        <w:t>(AAQ-MCHL; Ong et al., 2019)</w:t>
      </w:r>
      <w:r w:rsidRPr="00D22A73">
        <w:t xml:space="preserve"> measures a parent’s psychological inflexibility in the context of parenting a child with hearing loss (see Supplementary document 1). Specifically, the AAQ-MCHL is assessing the degree to which a parent is unwilling to encounter their thoughts, feelings, emotions, and sensations that are related to their child’s hearing loss (e.g., “I suppress negative thoughts and feelings related to my child's hearing loss”). Each item of this 8-item self-report measure is rated on a 7-point scale ranging from 1 (never true) to 7 (always true). A total score is calculated from the sum of all items with higher scores indicating higher levels of psychological inflexibility. Reliability for this measure in this sample was high (Cronbach’s alpha = 0.90).</w:t>
      </w:r>
    </w:p>
    <w:p w14:paraId="4E5C6944" w14:textId="77777777" w:rsidR="00EE7C5D" w:rsidRPr="00D22A73" w:rsidRDefault="00EE7C5D" w:rsidP="00EE7C5D">
      <w:pPr>
        <w:spacing w:line="480" w:lineRule="auto"/>
        <w:ind w:firstLine="720"/>
      </w:pPr>
      <w:r w:rsidRPr="00D22A73">
        <w:rPr>
          <w:i/>
          <w:iCs/>
        </w:rPr>
        <w:t>Patient Activation Measure – Hearing Care</w:t>
      </w:r>
      <w:r w:rsidRPr="00D22A73">
        <w:t xml:space="preserve"> </w:t>
      </w:r>
      <w:r w:rsidRPr="00D22A73">
        <w:rPr>
          <w:noProof/>
        </w:rPr>
        <w:t>(PAM-HC; Hibbard, Mahoney, Stockard, &amp; Tusler, 2005)</w:t>
      </w:r>
      <w:r w:rsidRPr="00D22A73">
        <w:t xml:space="preserve"> is designed to assess parent hearing aid management on behalf of their child with each item on the 9-item self-report measure rated on a 4-point scale (0 = strongly disagree; 1 = </w:t>
      </w:r>
      <w:r w:rsidRPr="00D22A73">
        <w:lastRenderedPageBreak/>
        <w:t xml:space="preserve">disagree; 2 = agree; 3 = strongly agree; see Supplementary document 2). Higher scores on the PAM-HC denote higher parent participation in hearing aid management for their child. The PAM used in the current study is a modified version (i.e., including items closely relating to hearing aid management) of the 13-item Parent-PAM </w:t>
      </w:r>
      <w:r w:rsidRPr="00D22A73">
        <w:rPr>
          <w:noProof/>
        </w:rPr>
        <w:t>(Pennarola et al., 2012)</w:t>
      </w:r>
      <w:r w:rsidRPr="00D22A73">
        <w:t xml:space="preserve"> and original 13-item PAM </w:t>
      </w:r>
      <w:r w:rsidRPr="00D22A73">
        <w:rPr>
          <w:noProof/>
        </w:rPr>
        <w:t>(Hibbard et al., 2005)</w:t>
      </w:r>
      <w:r w:rsidRPr="00D22A73">
        <w:t xml:space="preserve">, which is designated to test patient knowledge, skill, and confidence for self-management. The PAM is a well validated measure </w:t>
      </w:r>
      <w:r w:rsidRPr="00D22A73">
        <w:rPr>
          <w:noProof/>
        </w:rPr>
        <w:t>(Hibbard et al., 2005; Moljord et al., 2015)</w:t>
      </w:r>
      <w:r w:rsidRPr="00D22A73">
        <w:t xml:space="preserve"> and the Parent-PAM has successfully been utilized to assess parent self-management on behalf of their child in other studies </w:t>
      </w:r>
      <w:r w:rsidRPr="00D22A73">
        <w:rPr>
          <w:noProof/>
        </w:rPr>
        <w:t>(Pennarola et al., 2012; Thomas et al., 2017)</w:t>
      </w:r>
      <w:r w:rsidRPr="00D22A73">
        <w:t>. Reliability for PAM in this sample was reasonably high (Cronbach’s alpha = 0.76).</w:t>
      </w:r>
    </w:p>
    <w:p w14:paraId="4A3F2D98" w14:textId="77777777" w:rsidR="00EE7C5D" w:rsidRPr="00D22A73" w:rsidRDefault="00EE7C5D" w:rsidP="00EE7C5D">
      <w:pPr>
        <w:spacing w:line="480" w:lineRule="auto"/>
        <w:ind w:firstLine="720"/>
        <w:rPr>
          <w:i/>
          <w:iCs/>
        </w:rPr>
      </w:pPr>
      <w:r w:rsidRPr="00D22A73">
        <w:rPr>
          <w:i/>
          <w:iCs/>
        </w:rPr>
        <w:t>Number of hours reported</w:t>
      </w:r>
      <w:r w:rsidRPr="00D22A73">
        <w:t xml:space="preserve"> is a self-reported single item designed to track number of hours the child uses their hearing aids per day. Two separate questions were asked to participants depending on how they responded to a question regarding the participant’s audiologist sharing data logging data with the participant. If the participant responded, “not yet” they were presented with “how many hours per day do you think your child typically uses the hearing aids?” If the participant responded “yes,” they were presented with “how many hours of use were recorded for the most recent data logging result?”</w:t>
      </w:r>
    </w:p>
    <w:p w14:paraId="74C4FC87" w14:textId="77777777" w:rsidR="00EE7C5D" w:rsidRPr="00D22A73" w:rsidRDefault="00EE7C5D" w:rsidP="00EE7C5D">
      <w:pPr>
        <w:spacing w:line="480" w:lineRule="auto"/>
        <w:ind w:firstLine="720"/>
      </w:pPr>
      <w:r w:rsidRPr="00D22A73">
        <w:rPr>
          <w:i/>
          <w:iCs/>
        </w:rPr>
        <w:t>Hearing Management Knowledge</w:t>
      </w:r>
      <w:r w:rsidRPr="00D22A73">
        <w:t xml:space="preserve"> measures level of understanding. Specifically, the 15-item self-reported questionnaire assessed the level of understanding parents have as to why each hearing aid related item is important (e.g., “clean earwax out of my child’s earmolds”). The current study utilized a modified version that was in a previous study </w:t>
      </w:r>
      <w:r w:rsidRPr="00D22A73">
        <w:rPr>
          <w:noProof/>
        </w:rPr>
        <w:t>(Muñoz et al., 2016)</w:t>
      </w:r>
      <w:r w:rsidRPr="00D22A73" w:rsidDel="00E8572C">
        <w:t xml:space="preserve"> </w:t>
      </w:r>
      <w:r w:rsidRPr="00D22A73">
        <w:t>and used a rating scale (1 = very poor; 2 = poor; 3 = fair; 4 = good; 5 = very good). The instrument was modified to explore extent of parent understanding rather than information and training parents received. A total score is calculated from the sum of all items with higher scores indicating greater knowledge of hearing aid importance. Reliability in this sample was very high (Cronbach’s alpha = 0.94).</w:t>
      </w:r>
    </w:p>
    <w:p w14:paraId="4418BEDA" w14:textId="77777777" w:rsidR="00EE7C5D" w:rsidRPr="00D22A73" w:rsidRDefault="00EE7C5D" w:rsidP="00EE7C5D">
      <w:pPr>
        <w:spacing w:line="480" w:lineRule="auto"/>
        <w:ind w:firstLine="720"/>
      </w:pPr>
      <w:r w:rsidRPr="00D22A73">
        <w:rPr>
          <w:i/>
          <w:iCs/>
        </w:rPr>
        <w:lastRenderedPageBreak/>
        <w:t>Parent Perceptions</w:t>
      </w:r>
      <w:r w:rsidRPr="00D22A73">
        <w:t xml:space="preserve"> – is a 17-item self-reported measure designed to assess extent of agreement. The first eight items (“Scale 1”) measured parent perceptions (e.g., “My child needs to use the hearing aids”) using a 6-point scale (1 = strongly disagree; 2 = disagree; 3 = somewhat disagree; 4 = somewhat agree; 5 = agree; 6 = strongly agree) with higher scores signifying greater parent perceptions in hearing aid benefits and hearing aid use for their child. Reliability for “Scale 1” in this sample was acceptable (alpha = 0.71). The remaining nine items (“Scale 2”) measured confidence (e.g., “putting the hearing aid on my child”) using a scale of 0-100. The current study utilized a modified version of the Parent Perceptions used in a previous study </w:t>
      </w:r>
      <w:r w:rsidRPr="00D22A73">
        <w:rPr>
          <w:noProof/>
        </w:rPr>
        <w:t>(Muñoz et al., 2015)</w:t>
      </w:r>
      <w:r w:rsidRPr="00D22A73">
        <w:t>. Higher scores indicate greater confidence in participating in hearing aid management practices. Reliability for “Scale 2” in this sample was very high (Cronbach’s alpha = 0.93).</w:t>
      </w:r>
    </w:p>
    <w:p w14:paraId="045E9C1F" w14:textId="77777777" w:rsidR="00EE7C5D" w:rsidRPr="00D22A73" w:rsidRDefault="00EE7C5D" w:rsidP="00EE7C5D">
      <w:pPr>
        <w:spacing w:line="480" w:lineRule="auto"/>
        <w:ind w:firstLine="720"/>
      </w:pPr>
      <w:r w:rsidRPr="00D22A73">
        <w:rPr>
          <w:i/>
          <w:iCs/>
        </w:rPr>
        <w:t>Hearing Aid Monitoring</w:t>
      </w:r>
      <w:r w:rsidRPr="00D22A73">
        <w:t xml:space="preserve"> was used to assess frequency of device monitoring (i.e., not yet; when needed; weekly, daily; other). The 6-item measure is self-reported. The current study utilized a modified version used in a previous study </w:t>
      </w:r>
      <w:r w:rsidRPr="00D22A73">
        <w:rPr>
          <w:noProof/>
        </w:rPr>
        <w:t>(Muñoz, Larsen, Nelson, Yoho, &amp; Twohig, 2019)</w:t>
      </w:r>
      <w:r w:rsidRPr="00D22A73">
        <w:t>, with higher scores indicating a greater number of hearing aid monitoring practices an individual participates in. Reliability for this measure in this sample was high (Cronbach’s alpha = 0.80).</w:t>
      </w:r>
    </w:p>
    <w:p w14:paraId="3C980C75" w14:textId="77777777" w:rsidR="00EE7C5D" w:rsidRPr="00D22A73" w:rsidRDefault="00EE7C5D" w:rsidP="00EE7C5D">
      <w:pPr>
        <w:spacing w:line="480" w:lineRule="auto"/>
        <w:ind w:firstLine="720"/>
      </w:pPr>
      <w:r w:rsidRPr="00D22A73">
        <w:rPr>
          <w:i/>
          <w:iCs/>
        </w:rPr>
        <w:t>Depression Anxiety Stress Scales-21</w:t>
      </w:r>
      <w:r w:rsidRPr="00D22A73">
        <w:t xml:space="preserve"> </w:t>
      </w:r>
      <w:r w:rsidRPr="00D22A73">
        <w:rPr>
          <w:noProof/>
        </w:rPr>
        <w:t>(DASS-21; Lovibond &amp; Lovibond, 1995)</w:t>
      </w:r>
      <w:r w:rsidRPr="00D22A73">
        <w:t xml:space="preserve"> is a shortened version of the original 42-item measure designed to assess overall distress within the past week. The DASS includes three subscales: depression, anxiety, and stress. Each item of this 21-item version is rated on a 4-point scale ranging from 0 = </w:t>
      </w:r>
      <w:r w:rsidRPr="00D22A73">
        <w:rPr>
          <w:i/>
          <w:iCs/>
        </w:rPr>
        <w:t>did not apply to me at all</w:t>
      </w:r>
      <w:r w:rsidRPr="00D22A73">
        <w:t xml:space="preserve"> through 3 = </w:t>
      </w:r>
      <w:r w:rsidRPr="00D22A73">
        <w:rPr>
          <w:i/>
          <w:iCs/>
        </w:rPr>
        <w:t>applied to me very much, or most of the time</w:t>
      </w:r>
      <w:r w:rsidRPr="00D22A73">
        <w:t>. Reliability for the overall measure (the combination of the stress, anxiety, and depression subscales) was high (Cronbach’s alpha = 0.92).</w:t>
      </w:r>
    </w:p>
    <w:p w14:paraId="3022AB03" w14:textId="77777777" w:rsidR="00EE7C5D" w:rsidRPr="00D22A73" w:rsidRDefault="00EE7C5D" w:rsidP="00EE7C5D">
      <w:pPr>
        <w:spacing w:line="480" w:lineRule="auto"/>
      </w:pPr>
    </w:p>
    <w:p w14:paraId="3D076902" w14:textId="77777777" w:rsidR="00EE7C5D" w:rsidRPr="00D22A73" w:rsidRDefault="00EE7C5D" w:rsidP="00EE7C5D">
      <w:pPr>
        <w:spacing w:line="480" w:lineRule="auto"/>
        <w:rPr>
          <w:b/>
          <w:i/>
          <w:iCs/>
        </w:rPr>
      </w:pPr>
      <w:r w:rsidRPr="00D22A73">
        <w:rPr>
          <w:b/>
          <w:i/>
          <w:iCs/>
        </w:rPr>
        <w:t>Analysis</w:t>
      </w:r>
    </w:p>
    <w:p w14:paraId="6054402D" w14:textId="77777777" w:rsidR="00EE7C5D" w:rsidRPr="00D22A73" w:rsidRDefault="00EE7C5D" w:rsidP="00EE7C5D">
      <w:pPr>
        <w:spacing w:line="480" w:lineRule="auto"/>
        <w:ind w:firstLine="720"/>
      </w:pPr>
      <w:r w:rsidRPr="00D22A73">
        <w:lastRenderedPageBreak/>
        <w:t>Linear mixed effects models were used to answer each of the research questions. This approach was selected to account for its ability to handle repeated measures design, to provide estimates of moderation effects, and to include multiple indicators simultaneously. For the first three research questions (i.e., moderation of AAQ-MCHL, parent activation, and reported hours of hearing aid use), linear mixed effect models assessed whether the effect of the intervention from pretest to posttest on the outcomes depended on any of the potential moderators. This series of models can be expressed as:</w:t>
      </w:r>
    </w:p>
    <w:p w14:paraId="1B2EDF02" w14:textId="77777777" w:rsidR="00EE7C5D" w:rsidRPr="00D22A73" w:rsidRDefault="00EE7C5D" w:rsidP="00EE7C5D">
      <w:pPr>
        <w:contextualSpacing/>
        <w:jc w:val="both"/>
        <w:rPr>
          <w:rFonts w:eastAsia="Calibri"/>
          <w:bCs/>
        </w:rPr>
      </w:pPr>
      <m:oMathPara>
        <m:oMath>
          <m:sSub>
            <m:sSubPr>
              <m:ctrlPr>
                <w:rPr>
                  <w:rFonts w:ascii="Cambria Math" w:eastAsia="Calibri" w:hAnsi="Cambria Math"/>
                  <w:bCs/>
                  <w:i/>
                </w:rPr>
              </m:ctrlPr>
            </m:sSubPr>
            <m:e>
              <m:r>
                <w:rPr>
                  <w:rFonts w:ascii="Cambria Math" w:eastAsia="Calibri" w:hAnsi="Cambria Math"/>
                </w:rPr>
                <m:t>Y</m:t>
              </m:r>
            </m:e>
            <m:sub>
              <m:r>
                <w:rPr>
                  <w:rFonts w:ascii="Cambria Math" w:eastAsia="Calibri" w:hAnsi="Cambria Math"/>
                </w:rPr>
                <m:t>it</m:t>
              </m:r>
            </m:sub>
          </m:sSub>
          <m:r>
            <w:rPr>
              <w:rFonts w:ascii="Cambria Math" w:eastAsia="Calibri" w:hAnsi="Cambria Math"/>
            </w:rPr>
            <m:t>=</m:t>
          </m:r>
          <m:sSub>
            <m:sSubPr>
              <m:ctrlPr>
                <w:rPr>
                  <w:rFonts w:ascii="Cambria Math" w:eastAsia="Calibri" w:hAnsi="Cambria Math"/>
                  <w:bCs/>
                  <w:i/>
                </w:rPr>
              </m:ctrlPr>
            </m:sSubPr>
            <m:e>
              <m:sSub>
                <m:sSubPr>
                  <m:ctrlPr>
                    <w:rPr>
                      <w:rFonts w:ascii="Cambria Math" w:eastAsia="Calibri" w:hAnsi="Cambria Math"/>
                      <w:bCs/>
                      <w:i/>
                    </w:rPr>
                  </m:ctrlPr>
                </m:sSubPr>
                <m:e>
                  <m:r>
                    <w:rPr>
                      <w:rFonts w:ascii="Cambria Math" w:eastAsia="Calibri" w:hAnsi="Cambria Math"/>
                    </w:rPr>
                    <m:t>β</m:t>
                  </m:r>
                </m:e>
                <m:sub>
                  <m:r>
                    <w:rPr>
                      <w:rFonts w:ascii="Cambria Math" w:eastAsia="Calibri" w:hAnsi="Cambria Math"/>
                    </w:rPr>
                    <m:t>1</m:t>
                  </m:r>
                </m:sub>
              </m:sSub>
              <m:r>
                <w:rPr>
                  <w:rFonts w:ascii="Cambria Math" w:eastAsia="Calibri" w:hAnsi="Cambria Math"/>
                </w:rPr>
                <m:t>Treatment</m:t>
              </m:r>
            </m:e>
            <m:sub>
              <m:r>
                <w:rPr>
                  <w:rFonts w:ascii="Cambria Math" w:eastAsia="Calibri" w:hAnsi="Cambria Math"/>
                </w:rPr>
                <m:t>i</m:t>
              </m:r>
            </m:sub>
          </m:sSub>
          <m:r>
            <w:rPr>
              <w:rFonts w:ascii="Cambria Math" w:eastAsia="Calibri" w:hAnsi="Cambria Math"/>
            </w:rPr>
            <m:t xml:space="preserve">+ </m:t>
          </m:r>
          <m:sSub>
            <m:sSubPr>
              <m:ctrlPr>
                <w:rPr>
                  <w:rFonts w:ascii="Cambria Math" w:eastAsia="Calibri" w:hAnsi="Cambria Math"/>
                  <w:bCs/>
                  <w:i/>
                </w:rPr>
              </m:ctrlPr>
            </m:sSubPr>
            <m:e>
              <m:sSub>
                <m:sSubPr>
                  <m:ctrlPr>
                    <w:rPr>
                      <w:rFonts w:ascii="Cambria Math" w:eastAsia="Calibri" w:hAnsi="Cambria Math"/>
                      <w:bCs/>
                      <w:i/>
                    </w:rPr>
                  </m:ctrlPr>
                </m:sSubPr>
                <m:e>
                  <m:r>
                    <w:rPr>
                      <w:rFonts w:ascii="Cambria Math" w:eastAsia="Calibri" w:hAnsi="Cambria Math"/>
                    </w:rPr>
                    <m:t>β</m:t>
                  </m:r>
                </m:e>
                <m:sub>
                  <m:r>
                    <w:rPr>
                      <w:rFonts w:ascii="Cambria Math" w:eastAsia="Calibri" w:hAnsi="Cambria Math"/>
                    </w:rPr>
                    <m:t>2</m:t>
                  </m:r>
                </m:sub>
              </m:sSub>
              <m:r>
                <w:rPr>
                  <w:rFonts w:ascii="Cambria Math" w:eastAsia="Calibri" w:hAnsi="Cambria Math"/>
                </w:rPr>
                <m:t>Time</m:t>
              </m:r>
            </m:e>
            <m:sub>
              <m:r>
                <w:rPr>
                  <w:rFonts w:ascii="Cambria Math" w:eastAsia="Calibri" w:hAnsi="Cambria Math"/>
                </w:rPr>
                <m:t>it</m:t>
              </m:r>
            </m:sub>
          </m:sSub>
          <m:r>
            <w:rPr>
              <w:rFonts w:ascii="Cambria Math" w:eastAsia="Calibri" w:hAnsi="Cambria Math"/>
            </w:rPr>
            <m:t>+</m:t>
          </m:r>
          <m:sSub>
            <m:sSubPr>
              <m:ctrlPr>
                <w:rPr>
                  <w:rFonts w:ascii="Cambria Math" w:eastAsia="Calibri" w:hAnsi="Cambria Math"/>
                  <w:bCs/>
                  <w:i/>
                </w:rPr>
              </m:ctrlPr>
            </m:sSubPr>
            <m:e>
              <m:sSub>
                <m:sSubPr>
                  <m:ctrlPr>
                    <w:rPr>
                      <w:rFonts w:ascii="Cambria Math" w:eastAsia="Calibri" w:hAnsi="Cambria Math"/>
                      <w:bCs/>
                      <w:i/>
                    </w:rPr>
                  </m:ctrlPr>
                </m:sSubPr>
                <m:e>
                  <m:r>
                    <w:rPr>
                      <w:rFonts w:ascii="Cambria Math" w:eastAsia="Calibri" w:hAnsi="Cambria Math"/>
                    </w:rPr>
                    <m:t>β</m:t>
                  </m:r>
                </m:e>
                <m:sub>
                  <m:r>
                    <w:rPr>
                      <w:rFonts w:ascii="Cambria Math" w:eastAsia="Calibri" w:hAnsi="Cambria Math"/>
                    </w:rPr>
                    <m:t>3</m:t>
                  </m:r>
                </m:sub>
              </m:sSub>
              <m:r>
                <w:rPr>
                  <w:rFonts w:ascii="Cambria Math" w:eastAsia="Calibri" w:hAnsi="Cambria Math"/>
                </w:rPr>
                <m:t>Moderator</m:t>
              </m:r>
            </m:e>
            <m:sub>
              <m:r>
                <w:rPr>
                  <w:rFonts w:ascii="Cambria Math" w:eastAsia="Calibri" w:hAnsi="Cambria Math"/>
                </w:rPr>
                <m:t>it</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β</m:t>
              </m:r>
            </m:e>
            <m:sub>
              <m:r>
                <w:rPr>
                  <w:rFonts w:ascii="Cambria Math" w:eastAsia="Calibri" w:hAnsi="Cambria Math"/>
                </w:rPr>
                <m:t>4</m:t>
              </m:r>
            </m:sub>
          </m:sSub>
          <m:r>
            <w:rPr>
              <w:rFonts w:ascii="Cambria Math" w:eastAsia="Calibri" w:hAnsi="Cambria Math"/>
            </w:rPr>
            <m:t>Interven</m:t>
          </m:r>
          <m:sSub>
            <m:sSubPr>
              <m:ctrlPr>
                <w:rPr>
                  <w:rFonts w:ascii="Cambria Math" w:eastAsia="Calibri" w:hAnsi="Cambria Math"/>
                  <w:i/>
                </w:rPr>
              </m:ctrlPr>
            </m:sSubPr>
            <m:e>
              <m:r>
                <w:rPr>
                  <w:rFonts w:ascii="Cambria Math" w:eastAsia="Calibri" w:hAnsi="Cambria Math"/>
                </w:rPr>
                <m:t>tion</m:t>
              </m:r>
            </m:e>
            <m:sub>
              <m:r>
                <w:rPr>
                  <w:rFonts w:ascii="Cambria Math" w:eastAsia="Calibri" w:hAnsi="Cambria Math"/>
                </w:rPr>
                <m:t>it</m:t>
              </m:r>
            </m:sub>
          </m:sSub>
          <m:r>
            <w:rPr>
              <w:rFonts w:ascii="Cambria Math" w:eastAsia="Calibri" w:hAnsi="Cambria Math"/>
            </w:rPr>
            <m:t>×Tim</m:t>
          </m:r>
          <m:sSub>
            <m:sSubPr>
              <m:ctrlPr>
                <w:rPr>
                  <w:rFonts w:ascii="Cambria Math" w:eastAsia="Calibri" w:hAnsi="Cambria Math"/>
                  <w:i/>
                </w:rPr>
              </m:ctrlPr>
            </m:sSubPr>
            <m:e>
              <m:r>
                <w:rPr>
                  <w:rFonts w:ascii="Cambria Math" w:eastAsia="Calibri" w:hAnsi="Cambria Math"/>
                </w:rPr>
                <m:t>e</m:t>
              </m:r>
            </m:e>
            <m:sub>
              <m:r>
                <w:rPr>
                  <w:rFonts w:ascii="Cambria Math" w:eastAsia="Calibri" w:hAnsi="Cambria Math"/>
                </w:rPr>
                <m:t>it</m:t>
              </m:r>
            </m:sub>
          </m:sSub>
          <m:r>
            <w:rPr>
              <w:rFonts w:ascii="Cambria Math" w:eastAsia="Calibri" w:hAnsi="Cambria Math"/>
            </w:rPr>
            <m:t xml:space="preserve">+ </m:t>
          </m:r>
          <m:sSub>
            <m:sSubPr>
              <m:ctrlPr>
                <w:rPr>
                  <w:rFonts w:ascii="Cambria Math" w:eastAsia="Calibri" w:hAnsi="Cambria Math"/>
                  <w:bCs/>
                  <w:i/>
                </w:rPr>
              </m:ctrlPr>
            </m:sSubPr>
            <m:e>
              <m:sSub>
                <m:sSubPr>
                  <m:ctrlPr>
                    <w:rPr>
                      <w:rFonts w:ascii="Cambria Math" w:eastAsia="Calibri" w:hAnsi="Cambria Math"/>
                      <w:bCs/>
                      <w:i/>
                    </w:rPr>
                  </m:ctrlPr>
                </m:sSubPr>
                <m:e>
                  <m:r>
                    <w:rPr>
                      <w:rFonts w:ascii="Cambria Math" w:eastAsia="Calibri" w:hAnsi="Cambria Math"/>
                    </w:rPr>
                    <m:t>β</m:t>
                  </m:r>
                </m:e>
                <m:sub>
                  <m:r>
                    <w:rPr>
                      <w:rFonts w:ascii="Cambria Math" w:eastAsia="Calibri" w:hAnsi="Cambria Math"/>
                    </w:rPr>
                    <m:t>4</m:t>
                  </m:r>
                </m:sub>
              </m:sSub>
              <m:r>
                <w:rPr>
                  <w:rFonts w:ascii="Cambria Math" w:eastAsia="Calibri" w:hAnsi="Cambria Math"/>
                </w:rPr>
                <m:t>Interven</m:t>
              </m:r>
              <m:sSub>
                <m:sSubPr>
                  <m:ctrlPr>
                    <w:rPr>
                      <w:rFonts w:ascii="Cambria Math" w:eastAsia="Calibri" w:hAnsi="Cambria Math"/>
                      <w:i/>
                    </w:rPr>
                  </m:ctrlPr>
                </m:sSubPr>
                <m:e>
                  <m:r>
                    <w:rPr>
                      <w:rFonts w:ascii="Cambria Math" w:eastAsia="Calibri" w:hAnsi="Cambria Math"/>
                    </w:rPr>
                    <m:t>tion</m:t>
                  </m:r>
                </m:e>
                <m:sub>
                  <m:r>
                    <w:rPr>
                      <w:rFonts w:ascii="Cambria Math" w:eastAsia="Calibri" w:hAnsi="Cambria Math"/>
                    </w:rPr>
                    <m:t>it</m:t>
                  </m:r>
                </m:sub>
              </m:sSub>
              <m:r>
                <w:rPr>
                  <w:rFonts w:ascii="Cambria Math" w:eastAsia="Calibri" w:hAnsi="Cambria Math"/>
                </w:rPr>
                <m:t>×Moderator</m:t>
              </m:r>
            </m:e>
            <m:sub>
              <m:r>
                <w:rPr>
                  <w:rFonts w:ascii="Cambria Math" w:eastAsia="Calibri" w:hAnsi="Cambria Math"/>
                </w:rPr>
                <m:t>it</m:t>
              </m:r>
            </m:sub>
          </m:sSub>
          <m:r>
            <w:rPr>
              <w:rFonts w:ascii="Cambria Math" w:eastAsia="Calibri" w:hAnsi="Cambria Math"/>
            </w:rPr>
            <m:t xml:space="preserve">+ </m:t>
          </m:r>
          <m:sSub>
            <m:sSubPr>
              <m:ctrlPr>
                <w:rPr>
                  <w:rFonts w:ascii="Cambria Math" w:eastAsia="Calibri" w:hAnsi="Cambria Math"/>
                  <w:bCs/>
                  <w:i/>
                </w:rPr>
              </m:ctrlPr>
            </m:sSubPr>
            <m:e>
              <m:sSub>
                <m:sSubPr>
                  <m:ctrlPr>
                    <w:rPr>
                      <w:rFonts w:ascii="Cambria Math" w:eastAsia="Calibri" w:hAnsi="Cambria Math"/>
                      <w:bCs/>
                      <w:i/>
                    </w:rPr>
                  </m:ctrlPr>
                </m:sSubPr>
                <m:e>
                  <m:r>
                    <w:rPr>
                      <w:rFonts w:ascii="Cambria Math" w:eastAsia="Calibri" w:hAnsi="Cambria Math"/>
                    </w:rPr>
                    <m:t>β</m:t>
                  </m:r>
                </m:e>
                <m:sub>
                  <m:r>
                    <w:rPr>
                      <w:rFonts w:ascii="Cambria Math" w:eastAsia="Calibri" w:hAnsi="Cambria Math"/>
                    </w:rPr>
                    <m:t>5</m:t>
                  </m:r>
                </m:sub>
              </m:sSub>
              <m:r>
                <w:rPr>
                  <w:rFonts w:ascii="Cambria Math" w:eastAsia="Calibri" w:hAnsi="Cambria Math"/>
                </w:rPr>
                <m:t>Tim</m:t>
              </m:r>
              <m:sSub>
                <m:sSubPr>
                  <m:ctrlPr>
                    <w:rPr>
                      <w:rFonts w:ascii="Cambria Math" w:eastAsia="Calibri" w:hAnsi="Cambria Math"/>
                      <w:i/>
                    </w:rPr>
                  </m:ctrlPr>
                </m:sSubPr>
                <m:e>
                  <m:r>
                    <w:rPr>
                      <w:rFonts w:ascii="Cambria Math" w:eastAsia="Calibri" w:hAnsi="Cambria Math"/>
                    </w:rPr>
                    <m:t>e</m:t>
                  </m:r>
                </m:e>
                <m:sub>
                  <m:r>
                    <w:rPr>
                      <w:rFonts w:ascii="Cambria Math" w:eastAsia="Calibri" w:hAnsi="Cambria Math"/>
                    </w:rPr>
                    <m:t>it</m:t>
                  </m:r>
                </m:sub>
              </m:sSub>
              <m:r>
                <w:rPr>
                  <w:rFonts w:ascii="Cambria Math" w:eastAsia="Calibri" w:hAnsi="Cambria Math"/>
                </w:rPr>
                <m:t>×Moderator</m:t>
              </m:r>
            </m:e>
            <m:sub>
              <m:r>
                <w:rPr>
                  <w:rFonts w:ascii="Cambria Math" w:eastAsia="Calibri" w:hAnsi="Cambria Math"/>
                </w:rPr>
                <m:t>it</m:t>
              </m:r>
            </m:sub>
          </m:sSub>
          <m:r>
            <w:rPr>
              <w:rFonts w:ascii="Cambria Math" w:eastAsia="Calibri" w:hAnsi="Cambria Math"/>
            </w:rPr>
            <m:t>+</m:t>
          </m:r>
          <m:sSub>
            <m:sSubPr>
              <m:ctrlPr>
                <w:rPr>
                  <w:rFonts w:ascii="Cambria Math" w:eastAsia="Calibri" w:hAnsi="Cambria Math"/>
                  <w:bCs/>
                  <w:i/>
                </w:rPr>
              </m:ctrlPr>
            </m:sSubPr>
            <m:e>
              <m:sSub>
                <m:sSubPr>
                  <m:ctrlPr>
                    <w:rPr>
                      <w:rFonts w:ascii="Cambria Math" w:eastAsia="Calibri" w:hAnsi="Cambria Math"/>
                      <w:bCs/>
                      <w:i/>
                    </w:rPr>
                  </m:ctrlPr>
                </m:sSubPr>
                <m:e>
                  <m:r>
                    <w:rPr>
                      <w:rFonts w:ascii="Cambria Math" w:eastAsia="Calibri" w:hAnsi="Cambria Math"/>
                    </w:rPr>
                    <m:t>β</m:t>
                  </m:r>
                </m:e>
                <m:sub>
                  <m:r>
                    <w:rPr>
                      <w:rFonts w:ascii="Cambria Math" w:eastAsia="Calibri" w:hAnsi="Cambria Math"/>
                    </w:rPr>
                    <m:t>6</m:t>
                  </m:r>
                </m:sub>
              </m:sSub>
              <m:r>
                <w:rPr>
                  <w:rFonts w:ascii="Cambria Math" w:eastAsia="Calibri" w:hAnsi="Cambria Math"/>
                </w:rPr>
                <m:t>Interven</m:t>
              </m:r>
              <m:sSub>
                <m:sSubPr>
                  <m:ctrlPr>
                    <w:rPr>
                      <w:rFonts w:ascii="Cambria Math" w:eastAsia="Calibri" w:hAnsi="Cambria Math"/>
                      <w:i/>
                    </w:rPr>
                  </m:ctrlPr>
                </m:sSubPr>
                <m:e>
                  <m:r>
                    <w:rPr>
                      <w:rFonts w:ascii="Cambria Math" w:eastAsia="Calibri" w:hAnsi="Cambria Math"/>
                    </w:rPr>
                    <m:t>tion</m:t>
                  </m:r>
                </m:e>
                <m:sub>
                  <m:r>
                    <w:rPr>
                      <w:rFonts w:ascii="Cambria Math" w:eastAsia="Calibri" w:hAnsi="Cambria Math"/>
                    </w:rPr>
                    <m:t>it</m:t>
                  </m:r>
                </m:sub>
              </m:sSub>
              <m:r>
                <w:rPr>
                  <w:rFonts w:ascii="Cambria Math" w:eastAsia="Calibri" w:hAnsi="Cambria Math"/>
                </w:rPr>
                <m:t>×Moderator</m:t>
              </m:r>
            </m:e>
            <m:sub>
              <m:r>
                <w:rPr>
                  <w:rFonts w:ascii="Cambria Math" w:eastAsia="Calibri" w:hAnsi="Cambria Math"/>
                </w:rPr>
                <m:t>i</m:t>
              </m:r>
            </m:sub>
          </m:sSub>
          <m:r>
            <w:rPr>
              <w:rFonts w:ascii="Cambria Math" w:eastAsia="Calibri" w:hAnsi="Cambria Math"/>
            </w:rPr>
            <m:t>×Tim</m:t>
          </m:r>
          <m:sSub>
            <m:sSubPr>
              <m:ctrlPr>
                <w:rPr>
                  <w:rFonts w:ascii="Cambria Math" w:eastAsia="Calibri" w:hAnsi="Cambria Math"/>
                  <w:i/>
                </w:rPr>
              </m:ctrlPr>
            </m:sSubPr>
            <m:e>
              <m:r>
                <w:rPr>
                  <w:rFonts w:ascii="Cambria Math" w:eastAsia="Calibri" w:hAnsi="Cambria Math"/>
                </w:rPr>
                <m:t>e</m:t>
              </m:r>
            </m:e>
            <m:sub>
              <m:r>
                <w:rPr>
                  <w:rFonts w:ascii="Cambria Math" w:eastAsia="Calibri" w:hAnsi="Cambria Math"/>
                </w:rPr>
                <m:t>it</m:t>
              </m:r>
            </m:sub>
          </m:sSub>
          <m:r>
            <w:rPr>
              <w:rFonts w:ascii="Cambria Math" w:eastAsia="Calibri" w:hAnsi="Cambria Math"/>
            </w:rPr>
            <m:t xml:space="preserve">+ </m:t>
          </m:r>
          <m:sSub>
            <m:sSubPr>
              <m:ctrlPr>
                <w:rPr>
                  <w:rFonts w:ascii="Cambria Math" w:eastAsia="Calibri" w:hAnsi="Cambria Math"/>
                  <w:bCs/>
                  <w:i/>
                </w:rPr>
              </m:ctrlPr>
            </m:sSubPr>
            <m:e>
              <m:r>
                <w:rPr>
                  <w:rFonts w:ascii="Cambria Math" w:eastAsia="Calibri" w:hAnsi="Cambria Math"/>
                </w:rPr>
                <m:t>α</m:t>
              </m:r>
            </m:e>
            <m:sub>
              <m:r>
                <w:rPr>
                  <w:rFonts w:ascii="Cambria Math" w:eastAsia="Calibri" w:hAnsi="Cambria Math"/>
                </w:rPr>
                <m:t>i</m:t>
              </m:r>
            </m:sub>
          </m:sSub>
          <m:r>
            <w:rPr>
              <w:rFonts w:ascii="Cambria Math" w:eastAsia="Calibri" w:hAnsi="Cambria Math"/>
            </w:rPr>
            <m:t xml:space="preserve">+ </m:t>
          </m:r>
          <m:sSub>
            <m:sSubPr>
              <m:ctrlPr>
                <w:rPr>
                  <w:rFonts w:ascii="Cambria Math" w:eastAsia="Calibri" w:hAnsi="Cambria Math"/>
                  <w:bCs/>
                  <w:i/>
                </w:rPr>
              </m:ctrlPr>
            </m:sSubPr>
            <m:e>
              <m:r>
                <w:rPr>
                  <w:rFonts w:ascii="Cambria Math" w:eastAsia="Calibri" w:hAnsi="Cambria Math"/>
                </w:rPr>
                <m:t>ϵ</m:t>
              </m:r>
            </m:e>
            <m:sub>
              <m:r>
                <w:rPr>
                  <w:rFonts w:ascii="Cambria Math" w:eastAsia="Calibri" w:hAnsi="Cambria Math"/>
                </w:rPr>
                <m:t>it</m:t>
              </m:r>
            </m:sub>
          </m:sSub>
        </m:oMath>
      </m:oMathPara>
    </w:p>
    <w:p w14:paraId="702E0F57" w14:textId="77777777" w:rsidR="00EE7C5D" w:rsidRPr="00D22A73" w:rsidRDefault="00EE7C5D" w:rsidP="00EE7C5D">
      <w:pPr>
        <w:contextualSpacing/>
        <w:jc w:val="both"/>
        <w:rPr>
          <w:rFonts w:eastAsia="Calibri"/>
          <w:bCs/>
        </w:rPr>
      </w:pPr>
      <m:oMathPara>
        <m:oMath>
          <m:sSub>
            <m:sSubPr>
              <m:ctrlPr>
                <w:rPr>
                  <w:rFonts w:ascii="Cambria Math" w:eastAsia="Calibri" w:hAnsi="Cambria Math"/>
                  <w:bCs/>
                  <w:i/>
                </w:rPr>
              </m:ctrlPr>
            </m:sSubPr>
            <m:e>
              <m:r>
                <w:rPr>
                  <w:rFonts w:ascii="Cambria Math" w:eastAsia="Calibri" w:hAnsi="Cambria Math"/>
                </w:rPr>
                <m:t>α</m:t>
              </m:r>
            </m:e>
            <m:sub>
              <m:r>
                <w:rPr>
                  <w:rFonts w:ascii="Cambria Math" w:eastAsia="Calibri" w:hAnsi="Cambria Math"/>
                </w:rPr>
                <m:t>i</m:t>
              </m:r>
            </m:sub>
          </m:sSub>
          <m:r>
            <w:rPr>
              <w:rFonts w:ascii="Cambria Math" w:eastAsia="Calibri" w:hAnsi="Cambria Math"/>
            </w:rPr>
            <m:t xml:space="preserve"> ~ N(</m:t>
          </m:r>
          <m:sSub>
            <m:sSubPr>
              <m:ctrlPr>
                <w:rPr>
                  <w:rFonts w:ascii="Cambria Math" w:eastAsia="Calibri" w:hAnsi="Cambria Math"/>
                  <w:bCs/>
                  <w:i/>
                </w:rPr>
              </m:ctrlPr>
            </m:sSubPr>
            <m:e>
              <m:r>
                <w:rPr>
                  <w:rFonts w:ascii="Cambria Math" w:eastAsia="Calibri" w:hAnsi="Cambria Math"/>
                </w:rPr>
                <m:t>μ</m:t>
              </m:r>
            </m:e>
            <m:sub>
              <m:r>
                <w:rPr>
                  <w:rFonts w:ascii="Cambria Math" w:eastAsia="Calibri" w:hAnsi="Cambria Math"/>
                </w:rPr>
                <m:t>i</m:t>
              </m:r>
            </m:sub>
          </m:sSub>
          <m:r>
            <w:rPr>
              <w:rFonts w:ascii="Cambria Math" w:eastAsia="Calibri" w:hAnsi="Cambria Math"/>
            </w:rPr>
            <m:t xml:space="preserve">, </m:t>
          </m:r>
          <m:sSubSup>
            <m:sSubSupPr>
              <m:ctrlPr>
                <w:rPr>
                  <w:rFonts w:ascii="Cambria Math" w:eastAsia="Calibri" w:hAnsi="Cambria Math"/>
                  <w:bCs/>
                  <w:i/>
                </w:rPr>
              </m:ctrlPr>
            </m:sSubSupPr>
            <m:e>
              <m:r>
                <w:rPr>
                  <w:rFonts w:ascii="Cambria Math" w:eastAsia="Calibri" w:hAnsi="Cambria Math"/>
                </w:rPr>
                <m:t>σ</m:t>
              </m:r>
            </m:e>
            <m:sub>
              <m:r>
                <w:rPr>
                  <w:rFonts w:ascii="Cambria Math" w:eastAsia="Calibri" w:hAnsi="Cambria Math"/>
                </w:rPr>
                <m:t>i</m:t>
              </m:r>
            </m:sub>
            <m:sup>
              <m:r>
                <w:rPr>
                  <w:rFonts w:ascii="Cambria Math" w:eastAsia="Calibri" w:hAnsi="Cambria Math"/>
                </w:rPr>
                <m:t>2</m:t>
              </m:r>
            </m:sup>
          </m:sSubSup>
          <m:r>
            <w:rPr>
              <w:rFonts w:ascii="Cambria Math" w:eastAsia="Calibri" w:hAnsi="Cambria Math"/>
            </w:rPr>
            <m:t>)</m:t>
          </m:r>
        </m:oMath>
      </m:oMathPara>
    </w:p>
    <w:p w14:paraId="320F5E9D" w14:textId="77777777" w:rsidR="00EE7C5D" w:rsidRPr="00D22A73" w:rsidRDefault="00EE7C5D" w:rsidP="00EE7C5D">
      <w:pPr>
        <w:contextualSpacing/>
        <w:jc w:val="both"/>
        <w:rPr>
          <w:rFonts w:eastAsia="Calibri"/>
          <w:bCs/>
        </w:rPr>
      </w:pPr>
      <m:oMathPara>
        <m:oMath>
          <m:sSub>
            <m:sSubPr>
              <m:ctrlPr>
                <w:rPr>
                  <w:rFonts w:ascii="Cambria Math" w:eastAsia="Calibri" w:hAnsi="Cambria Math"/>
                  <w:bCs/>
                  <w:i/>
                </w:rPr>
              </m:ctrlPr>
            </m:sSubPr>
            <m:e>
              <m:r>
                <w:rPr>
                  <w:rFonts w:ascii="Cambria Math" w:eastAsia="Calibri" w:hAnsi="Cambria Math"/>
                </w:rPr>
                <m:t>ϵ</m:t>
              </m:r>
            </m:e>
            <m:sub>
              <m:r>
                <w:rPr>
                  <w:rFonts w:ascii="Cambria Math" w:eastAsia="Calibri" w:hAnsi="Cambria Math"/>
                </w:rPr>
                <m:t>it</m:t>
              </m:r>
            </m:sub>
          </m:sSub>
          <m:r>
            <w:rPr>
              <w:rFonts w:ascii="Cambria Math" w:eastAsia="Calibri" w:hAnsi="Cambria Math"/>
            </w:rPr>
            <m:t xml:space="preserve"> ~ N</m:t>
          </m:r>
          <m:d>
            <m:dPr>
              <m:ctrlPr>
                <w:rPr>
                  <w:rFonts w:ascii="Cambria Math" w:eastAsia="Calibri" w:hAnsi="Cambria Math"/>
                  <w:bCs/>
                  <w:i/>
                </w:rPr>
              </m:ctrlPr>
            </m:dPr>
            <m:e>
              <m:r>
                <w:rPr>
                  <w:rFonts w:ascii="Cambria Math" w:eastAsia="Calibri" w:hAnsi="Cambria Math"/>
                </w:rPr>
                <m:t xml:space="preserve">0, </m:t>
              </m:r>
              <m:sSup>
                <m:sSupPr>
                  <m:ctrlPr>
                    <w:rPr>
                      <w:rFonts w:ascii="Cambria Math" w:eastAsia="Calibri" w:hAnsi="Cambria Math"/>
                      <w:bCs/>
                      <w:i/>
                    </w:rPr>
                  </m:ctrlPr>
                </m:sSupPr>
                <m:e>
                  <m:r>
                    <w:rPr>
                      <w:rFonts w:ascii="Cambria Math" w:eastAsia="Calibri" w:hAnsi="Cambria Math"/>
                    </w:rPr>
                    <m:t>σ</m:t>
                  </m:r>
                </m:e>
                <m:sup>
                  <m:r>
                    <w:rPr>
                      <w:rFonts w:ascii="Cambria Math" w:eastAsia="Calibri" w:hAnsi="Cambria Math"/>
                    </w:rPr>
                    <m:t>2</m:t>
                  </m:r>
                </m:sup>
              </m:sSup>
            </m:e>
          </m:d>
        </m:oMath>
      </m:oMathPara>
    </w:p>
    <w:p w14:paraId="12AD76FE" w14:textId="77777777" w:rsidR="00EE7C5D" w:rsidRPr="00D22A73" w:rsidRDefault="00EE7C5D" w:rsidP="00EE7C5D">
      <w:pPr>
        <w:contextualSpacing/>
        <w:jc w:val="both"/>
        <w:rPr>
          <w:rFonts w:eastAsia="Calibri"/>
          <w:bCs/>
        </w:rPr>
      </w:pPr>
    </w:p>
    <w:p w14:paraId="23BAAC77" w14:textId="77777777" w:rsidR="00EE7C5D" w:rsidRPr="00D22A73" w:rsidRDefault="00EE7C5D" w:rsidP="00EE7C5D">
      <w:pPr>
        <w:spacing w:line="480" w:lineRule="auto"/>
      </w:pPr>
      <w:r w:rsidRPr="00D22A73">
        <w:t xml:space="preserve">where </w:t>
      </w:r>
      <m:oMath>
        <m:sSub>
          <m:sSubPr>
            <m:ctrlPr>
              <w:rPr>
                <w:rFonts w:ascii="Cambria Math" w:eastAsia="Calibri" w:hAnsi="Cambria Math"/>
                <w:bCs/>
                <w:i/>
              </w:rPr>
            </m:ctrlPr>
          </m:sSubPr>
          <m:e>
            <m:r>
              <w:rPr>
                <w:rFonts w:ascii="Cambria Math" w:eastAsia="Calibri" w:hAnsi="Cambria Math"/>
              </w:rPr>
              <m:t>Y</m:t>
            </m:r>
          </m:e>
          <m:sub>
            <m:r>
              <w:rPr>
                <w:rFonts w:ascii="Cambria Math" w:eastAsia="Calibri" w:hAnsi="Cambria Math"/>
              </w:rPr>
              <m:t>i</m:t>
            </m:r>
          </m:sub>
        </m:sSub>
      </m:oMath>
      <w:r w:rsidRPr="00D22A73">
        <w:rPr>
          <w:bCs/>
        </w:rPr>
        <w:t xml:space="preserve"> is each of the outcomes (i.e., </w:t>
      </w:r>
      <w:r w:rsidRPr="00D22A73">
        <w:t>parent knowledge, monitoring, confidence, &amp; perceptions</w:t>
      </w:r>
      <w:r w:rsidRPr="00D22A73">
        <w:rPr>
          <w:bCs/>
        </w:rPr>
        <w:t xml:space="preserve">), </w:t>
      </w:r>
      <m:oMath>
        <m:sSub>
          <m:sSubPr>
            <m:ctrlPr>
              <w:rPr>
                <w:rFonts w:ascii="Cambria Math" w:eastAsia="Calibri" w:hAnsi="Cambria Math"/>
                <w:bCs/>
                <w:i/>
              </w:rPr>
            </m:ctrlPr>
          </m:sSubPr>
          <m:e>
            <m:r>
              <w:rPr>
                <w:rFonts w:ascii="Cambria Math" w:eastAsia="Calibri" w:hAnsi="Cambria Math"/>
              </w:rPr>
              <m:t>β</m:t>
            </m:r>
          </m:e>
          <m:sub>
            <m:r>
              <w:rPr>
                <w:rFonts w:ascii="Cambria Math" w:eastAsia="Calibri" w:hAnsi="Cambria Math"/>
              </w:rPr>
              <m:t>6</m:t>
            </m:r>
          </m:sub>
        </m:sSub>
      </m:oMath>
      <w:r w:rsidRPr="00D22A73">
        <w:rPr>
          <w:bCs/>
        </w:rPr>
        <w:t xml:space="preserve"> is the estimate of interest, and </w:t>
      </w:r>
      <m:oMath>
        <m:sSub>
          <m:sSubPr>
            <m:ctrlPr>
              <w:rPr>
                <w:rFonts w:ascii="Cambria Math" w:eastAsia="Calibri" w:hAnsi="Cambria Math"/>
                <w:bCs/>
                <w:i/>
              </w:rPr>
            </m:ctrlPr>
          </m:sSubPr>
          <m:e>
            <m:r>
              <w:rPr>
                <w:rFonts w:ascii="Cambria Math" w:eastAsia="Calibri" w:hAnsi="Cambria Math"/>
              </w:rPr>
              <m:t>α</m:t>
            </m:r>
          </m:e>
          <m:sub>
            <m:r>
              <w:rPr>
                <w:rFonts w:ascii="Cambria Math" w:eastAsia="Calibri" w:hAnsi="Cambria Math"/>
              </w:rPr>
              <m:t>i</m:t>
            </m:r>
          </m:sub>
        </m:sSub>
      </m:oMath>
      <w:r w:rsidRPr="00D22A73">
        <w:rPr>
          <w:bCs/>
        </w:rPr>
        <w:t xml:space="preserve"> is the random intercepts by participant</w:t>
      </w:r>
      <w:r w:rsidRPr="00D22A73">
        <w:t>. For instance, one of the models tested whether AAQ-MCHL moderated the effect of the intervention on parent knowledge. All moderators were treated as continuous measures in each model while time was treated as categorical to allow for non-linear change over time. Notably, although not shown in the equation, we account for AAQ-MCHL (when it is not the moderator) and DASS scores in each model.</w:t>
      </w:r>
    </w:p>
    <w:p w14:paraId="4B7721EE" w14:textId="77777777" w:rsidR="00EE7C5D" w:rsidRPr="00D22A73" w:rsidRDefault="00EE7C5D" w:rsidP="00EE7C5D">
      <w:pPr>
        <w:spacing w:line="480" w:lineRule="auto"/>
        <w:ind w:firstLine="720"/>
      </w:pPr>
      <w:r w:rsidRPr="00D22A73">
        <w:t xml:space="preserve">For the final two research questions (i.e., testing for a relationship between AAQ-MCHL and the outcomes, and the relationship between parent activation and the outcomes), linear mixed effect models tested whether AAQ-MCHL and/or parent activation predicted the outcomes, regardless of its role as a moderator. The random </w:t>
      </w:r>
      <w:proofErr w:type="gramStart"/>
      <w:r w:rsidRPr="00D22A73">
        <w:t>effects</w:t>
      </w:r>
      <w:proofErr w:type="gramEnd"/>
      <w:r w:rsidRPr="00D22A73">
        <w:t xml:space="preserve"> structure and the use of control variables was the same for this series of models as they were for the moderation models shown previously. We also controlled for whether the individual was in the intervention condition or not.</w:t>
      </w:r>
    </w:p>
    <w:p w14:paraId="345D72FD" w14:textId="77777777" w:rsidR="00EE7C5D" w:rsidRPr="00D22A73" w:rsidRDefault="00EE7C5D" w:rsidP="00EE7C5D">
      <w:pPr>
        <w:spacing w:line="480" w:lineRule="auto"/>
        <w:ind w:firstLine="720"/>
      </w:pPr>
      <w:r w:rsidRPr="00D22A73">
        <w:lastRenderedPageBreak/>
        <w:t xml:space="preserve">All p-values reported are based on likelihood ratio tests of the full model with the variable or interaction of interest compared to a nested model without the variable or interaction of interest. Where significant moderation was found, graphical displays of the data are provided as well as measures of effect sizes for the simple slopes. All analyses included pre-intervention, post-intervention, and follow-up data. All analyses were completed R version 4.0.2 </w:t>
      </w:r>
      <w:r w:rsidRPr="00D22A73">
        <w:rPr>
          <w:noProof/>
        </w:rPr>
        <w:t>(R Core Team, 2020)</w:t>
      </w:r>
      <w:r w:rsidRPr="00D22A73">
        <w:t xml:space="preserve"> using the </w:t>
      </w:r>
      <w:proofErr w:type="spellStart"/>
      <w:r w:rsidRPr="00D22A73">
        <w:t>gtsummary</w:t>
      </w:r>
      <w:proofErr w:type="spellEnd"/>
      <w:r w:rsidRPr="00D22A73">
        <w:t xml:space="preserve">, </w:t>
      </w:r>
      <w:proofErr w:type="spellStart"/>
      <w:r w:rsidRPr="00D22A73">
        <w:t>effectsize</w:t>
      </w:r>
      <w:proofErr w:type="spellEnd"/>
      <w:r w:rsidRPr="00D22A73">
        <w:t xml:space="preserve">, and </w:t>
      </w:r>
      <w:proofErr w:type="spellStart"/>
      <w:r w:rsidRPr="00D22A73">
        <w:t>tidyverse</w:t>
      </w:r>
      <w:proofErr w:type="spellEnd"/>
      <w:r w:rsidRPr="00D22A73">
        <w:t xml:space="preserve"> packages </w:t>
      </w:r>
      <w:r w:rsidRPr="00D22A73">
        <w:rPr>
          <w:noProof/>
        </w:rPr>
        <w:t>(Ben-Shachar &amp; Lüdecke, 2020; Sjoberg et al., 2021; Wickham et al., 2019)</w:t>
      </w:r>
      <w:r w:rsidRPr="00D22A73">
        <w:t>. All code and output for this study can be found at osf.io/yvn82/.</w:t>
      </w:r>
    </w:p>
    <w:p w14:paraId="0011315A" w14:textId="77777777" w:rsidR="00EE7C5D" w:rsidRPr="00D22A73" w:rsidRDefault="00EE7C5D" w:rsidP="00EE7C5D">
      <w:pPr>
        <w:spacing w:line="480" w:lineRule="auto"/>
        <w:ind w:firstLine="720"/>
      </w:pPr>
    </w:p>
    <w:p w14:paraId="2E9EEA37" w14:textId="77777777" w:rsidR="00EE7C5D" w:rsidRPr="00D22A73" w:rsidRDefault="00EE7C5D" w:rsidP="00EE7C5D">
      <w:pPr>
        <w:spacing w:line="480" w:lineRule="auto"/>
        <w:jc w:val="center"/>
        <w:rPr>
          <w:b/>
          <w:bCs/>
        </w:rPr>
      </w:pPr>
      <w:r w:rsidRPr="00D22A73">
        <w:rPr>
          <w:b/>
          <w:bCs/>
        </w:rPr>
        <w:t>Results</w:t>
      </w:r>
    </w:p>
    <w:p w14:paraId="218C1361" w14:textId="77777777" w:rsidR="00EE7C5D" w:rsidRPr="00D22A73" w:rsidRDefault="00EE7C5D" w:rsidP="00EE7C5D">
      <w:pPr>
        <w:spacing w:line="480" w:lineRule="auto"/>
        <w:rPr>
          <w:b/>
          <w:bCs/>
          <w:i/>
          <w:iCs/>
        </w:rPr>
      </w:pPr>
      <w:r w:rsidRPr="00D22A73">
        <w:rPr>
          <w:b/>
          <w:bCs/>
          <w:i/>
          <w:iCs/>
        </w:rPr>
        <w:t>Moderators</w:t>
      </w:r>
    </w:p>
    <w:p w14:paraId="15D037B9" w14:textId="77777777" w:rsidR="00EE7C5D" w:rsidRPr="00D22A73" w:rsidRDefault="00EE7C5D" w:rsidP="00EE7C5D">
      <w:pPr>
        <w:spacing w:line="480" w:lineRule="auto"/>
      </w:pPr>
      <w:r w:rsidRPr="00D22A73">
        <w:tab/>
        <w:t>Results of the moderation analyses using linear mixed effects models are shown in Table 2 for each potential moderator and each outcome. The p-values shown are based on likelihood ratio tests of the model that specifically tests for the moderation of the specified variable on the intervention condition by time effect. Importantly, all moderators were continuous measures and were included as continuous measures in all models. For any visuals to probe the moderation, the moderators were categorized into low, mid, and high levels. These levels were at 1 standard deviation below the mean (“low”) of that moderator, at the mean (“mid”), and at 1 standard deviation above the mean (“high”). This was done to more clearly show the meaning of the moderation. Below, the results for each moderator are described.</w:t>
      </w:r>
    </w:p>
    <w:p w14:paraId="6FF6729F" w14:textId="77777777" w:rsidR="00EE7C5D" w:rsidRPr="00D22A73" w:rsidRDefault="00EE7C5D" w:rsidP="00EE7C5D">
      <w:pPr>
        <w:spacing w:line="480" w:lineRule="auto"/>
        <w:rPr>
          <w:i/>
          <w:iCs/>
        </w:rPr>
      </w:pPr>
      <w:r w:rsidRPr="00D22A73">
        <w:rPr>
          <w:i/>
          <w:iCs/>
        </w:rPr>
        <w:t xml:space="preserve">AAQ-MCHL </w:t>
      </w:r>
    </w:p>
    <w:p w14:paraId="5C98235D" w14:textId="77777777" w:rsidR="00EE7C5D" w:rsidRPr="00D22A73" w:rsidRDefault="00EE7C5D" w:rsidP="00EE7C5D">
      <w:pPr>
        <w:spacing w:line="480" w:lineRule="auto"/>
      </w:pPr>
      <w:r w:rsidRPr="00D22A73">
        <w:rPr>
          <w:i/>
          <w:iCs/>
        </w:rPr>
        <w:tab/>
      </w:r>
      <w:r w:rsidRPr="00D22A73">
        <w:rPr>
          <w:iCs/>
        </w:rPr>
        <w:t xml:space="preserve">The </w:t>
      </w:r>
      <w:r w:rsidRPr="00D22A73">
        <w:t xml:space="preserve">AAQ-MCHL significantly moderated the relationship between the intervention conditions and frequency of device monitoring over time, </w:t>
      </w:r>
      <w:r w:rsidRPr="00D22A73">
        <w:rPr>
          <w:i/>
          <w:iCs/>
        </w:rPr>
        <w:t>X</w:t>
      </w:r>
      <w:r w:rsidRPr="00D22A73">
        <w:rPr>
          <w:vertAlign w:val="superscript"/>
        </w:rPr>
        <w:t>2</w:t>
      </w:r>
      <w:r w:rsidRPr="00D22A73">
        <w:t xml:space="preserve"> (5, N = 78) = 12.6, </w:t>
      </w:r>
      <w:r w:rsidRPr="00D22A73">
        <w:rPr>
          <w:i/>
          <w:iCs/>
        </w:rPr>
        <w:t>p</w:t>
      </w:r>
      <w:r w:rsidRPr="00D22A73">
        <w:t xml:space="preserve"> = .028. This moderation is shown in Figure 1a. As shown, there is very little difference between the groups over time when the participant has a low score on the AAQ-MCHL, but this changes for those participants with a high AAQ-MCHL score, that is, more psychological inflexibility. Among </w:t>
      </w:r>
      <w:r w:rsidRPr="00D22A73">
        <w:lastRenderedPageBreak/>
        <w:t xml:space="preserve">parents with higher AAQ-MCHL scores, those in the intervention group showed larger increases in monitoring frequency from pre-intervention to follow-up than the TAU. This means parents in the intervention condition with a greater unwillingness to encounter their private experiences (e.g., thoughts) towards parenting their child with a hearing loss had greater increases in frequency of device monitoring over the course of the study compared to parents in the TAU condition. AAQ-MCHL did not moderate the relationship between the intervention condition and any other outcomes. </w:t>
      </w:r>
    </w:p>
    <w:p w14:paraId="53918C50" w14:textId="77777777" w:rsidR="00EE7C5D" w:rsidRPr="00D22A73" w:rsidRDefault="00EE7C5D" w:rsidP="00EE7C5D">
      <w:pPr>
        <w:spacing w:line="480" w:lineRule="auto"/>
        <w:rPr>
          <w:szCs w:val="22"/>
        </w:rPr>
      </w:pPr>
      <w:r w:rsidRPr="00D22A73">
        <w:rPr>
          <w:szCs w:val="22"/>
        </w:rPr>
        <w:t>&lt;insert figure 1 here&gt;</w:t>
      </w:r>
    </w:p>
    <w:p w14:paraId="11C0B7A0" w14:textId="77777777" w:rsidR="00EE7C5D" w:rsidRPr="00D22A73" w:rsidRDefault="00EE7C5D" w:rsidP="00EE7C5D">
      <w:pPr>
        <w:spacing w:line="480" w:lineRule="auto"/>
      </w:pPr>
      <w:r w:rsidRPr="00D22A73">
        <w:rPr>
          <w:szCs w:val="22"/>
        </w:rPr>
        <w:t>&lt;insert table 2 here&gt;</w:t>
      </w:r>
    </w:p>
    <w:p w14:paraId="29513172" w14:textId="77777777" w:rsidR="00EE7C5D" w:rsidRPr="00D22A73" w:rsidRDefault="00EE7C5D" w:rsidP="00EE7C5D">
      <w:pPr>
        <w:spacing w:line="480" w:lineRule="auto"/>
        <w:rPr>
          <w:i/>
          <w:iCs/>
        </w:rPr>
      </w:pPr>
      <w:r w:rsidRPr="00D22A73">
        <w:rPr>
          <w:i/>
          <w:iCs/>
        </w:rPr>
        <w:t>PAM-HC</w:t>
      </w:r>
    </w:p>
    <w:p w14:paraId="2AE29E5C" w14:textId="77777777" w:rsidR="00EE7C5D" w:rsidRPr="00D22A73" w:rsidRDefault="00EE7C5D" w:rsidP="00EE7C5D">
      <w:pPr>
        <w:spacing w:line="480" w:lineRule="auto"/>
        <w:rPr>
          <w:b/>
          <w:bCs/>
        </w:rPr>
      </w:pPr>
      <w:r w:rsidRPr="00D22A73">
        <w:tab/>
        <w:t xml:space="preserve">Parent activation moderated the effect of the intervention condition on parent knowledge over time, </w:t>
      </w:r>
      <w:r w:rsidRPr="00D22A73">
        <w:rPr>
          <w:i/>
          <w:iCs/>
        </w:rPr>
        <w:t>X</w:t>
      </w:r>
      <w:r w:rsidRPr="00D22A73">
        <w:rPr>
          <w:vertAlign w:val="superscript"/>
        </w:rPr>
        <w:t>2</w:t>
      </w:r>
      <w:r w:rsidRPr="00D22A73">
        <w:t xml:space="preserve"> (5, N = 78) = 17.1, </w:t>
      </w:r>
      <w:r w:rsidRPr="00D22A73">
        <w:rPr>
          <w:i/>
          <w:iCs/>
        </w:rPr>
        <w:t>p</w:t>
      </w:r>
      <w:r w:rsidRPr="00D22A73">
        <w:t xml:space="preserve"> = .009. Figure 1b shows the meaning of the significant moderation of parent activation over time between the conditions and parent knowledge. Participants who reported lower parent activation scores at baseline tended to have larger increases in parent knowledge over time within the intervention condition compared to the TAU. That is, parents who reported less participation in self-management in relation to their child’s hearing aids benefited greater by gaining more knowledge in the intervention condition compared to the TAU. Activation did not moderate the relationship between any other outcomes.</w:t>
      </w:r>
    </w:p>
    <w:p w14:paraId="52E1EEE3" w14:textId="77777777" w:rsidR="00EE7C5D" w:rsidRPr="00D22A73" w:rsidRDefault="00EE7C5D" w:rsidP="00EE7C5D">
      <w:pPr>
        <w:spacing w:line="480" w:lineRule="auto"/>
        <w:rPr>
          <w:i/>
          <w:iCs/>
        </w:rPr>
      </w:pPr>
      <w:r w:rsidRPr="00D22A73">
        <w:rPr>
          <w:i/>
          <w:iCs/>
        </w:rPr>
        <w:t>Parent Reported Hours of Hearing Aid Use</w:t>
      </w:r>
    </w:p>
    <w:p w14:paraId="40964E89" w14:textId="77777777" w:rsidR="00EE7C5D" w:rsidRPr="00D22A73" w:rsidRDefault="00EE7C5D" w:rsidP="00EE7C5D">
      <w:pPr>
        <w:spacing w:line="480" w:lineRule="auto"/>
      </w:pPr>
      <w:r w:rsidRPr="00D22A73">
        <w:rPr>
          <w:i/>
          <w:iCs/>
        </w:rPr>
        <w:tab/>
      </w:r>
      <w:r w:rsidRPr="00D22A73">
        <w:t xml:space="preserve">Parent reported hours of hearing aid use had a moderating effect for two outcomes—parent knowledge, </w:t>
      </w:r>
      <w:r w:rsidRPr="00D22A73">
        <w:rPr>
          <w:i/>
          <w:iCs/>
        </w:rPr>
        <w:t>X</w:t>
      </w:r>
      <w:r w:rsidRPr="00D22A73">
        <w:rPr>
          <w:vertAlign w:val="superscript"/>
        </w:rPr>
        <w:t>2</w:t>
      </w:r>
      <w:r w:rsidRPr="00D22A73">
        <w:t xml:space="preserve"> (5, N = 78) = 15.1, </w:t>
      </w:r>
      <w:r w:rsidRPr="00D22A73">
        <w:rPr>
          <w:i/>
          <w:iCs/>
        </w:rPr>
        <w:t>p</w:t>
      </w:r>
      <w:r w:rsidRPr="00D22A73">
        <w:t xml:space="preserve"> = .013, and monitoring, </w:t>
      </w:r>
      <w:r w:rsidRPr="00D22A73">
        <w:rPr>
          <w:i/>
          <w:iCs/>
        </w:rPr>
        <w:t>X</w:t>
      </w:r>
      <w:r w:rsidRPr="00D22A73">
        <w:rPr>
          <w:vertAlign w:val="superscript"/>
        </w:rPr>
        <w:t>2</w:t>
      </w:r>
      <w:r w:rsidRPr="00D22A73">
        <w:t xml:space="preserve"> (5, N = 78) = 23.8, </w:t>
      </w:r>
      <w:r w:rsidRPr="00D22A73">
        <w:rPr>
          <w:i/>
          <w:iCs/>
        </w:rPr>
        <w:t>p</w:t>
      </w:r>
      <w:r w:rsidRPr="00D22A73">
        <w:t xml:space="preserve"> &lt; .001. Figure 1c demonstrates the moderation of parent reported hours of hearing aid use on the difference between the conditions on parent knowledge over time. Parents with lower hours of child hearing aid use at baseline had larger increases in parent knowledge scores in the intervention condition compared to the TAU condition. For higher hours of reported child hearing </w:t>
      </w:r>
      <w:r w:rsidRPr="00D22A73">
        <w:lastRenderedPageBreak/>
        <w:t xml:space="preserve">aid use, the change over time is nearly identical between both conditions, although the intervention condition is on average higher regardless of timepoint. Figure 1d shows the moderation of parent reported hours of hearing aid use on the effect of the conditions on monitoring. </w:t>
      </w:r>
      <w:proofErr w:type="gramStart"/>
      <w:r w:rsidRPr="00D22A73">
        <w:t>Similar to</w:t>
      </w:r>
      <w:proofErr w:type="gramEnd"/>
      <w:r w:rsidRPr="00D22A73">
        <w:t xml:space="preserve"> parent knowledge, the intervention provided the most benefit from pre-intervention to follow-up for monitoring among parents with low reported hours. Specifically, parents in the intervention condition with lower hours of child hearing aid use at baseline had greater increases in frequency of device monitoring compared to the parents in the TAU condition. For high reported hours, there is very little difference between the conditions. </w:t>
      </w:r>
    </w:p>
    <w:p w14:paraId="614FAFF7" w14:textId="77777777" w:rsidR="00EE7C5D" w:rsidRPr="00D22A73" w:rsidRDefault="00EE7C5D" w:rsidP="00EE7C5D">
      <w:pPr>
        <w:spacing w:line="480" w:lineRule="auto"/>
        <w:rPr>
          <w:b/>
          <w:bCs/>
          <w:i/>
          <w:iCs/>
        </w:rPr>
      </w:pPr>
      <w:r w:rsidRPr="00D22A73">
        <w:rPr>
          <w:b/>
          <w:bCs/>
          <w:i/>
          <w:iCs/>
        </w:rPr>
        <w:t xml:space="preserve">Predictors </w:t>
      </w:r>
    </w:p>
    <w:p w14:paraId="491E7A89" w14:textId="77777777" w:rsidR="00EE7C5D" w:rsidRPr="00D22A73" w:rsidRDefault="00EE7C5D" w:rsidP="00EE7C5D">
      <w:pPr>
        <w:spacing w:line="480" w:lineRule="auto"/>
        <w:rPr>
          <w:i/>
          <w:iCs/>
        </w:rPr>
      </w:pPr>
      <w:r w:rsidRPr="00D22A73">
        <w:rPr>
          <w:i/>
          <w:iCs/>
        </w:rPr>
        <w:t xml:space="preserve">AAQ-MCHL </w:t>
      </w:r>
    </w:p>
    <w:p w14:paraId="314FB183" w14:textId="77777777" w:rsidR="00EE7C5D" w:rsidRPr="00D22A73" w:rsidRDefault="00EE7C5D" w:rsidP="00EE7C5D">
      <w:pPr>
        <w:spacing w:line="480" w:lineRule="auto"/>
      </w:pPr>
      <w:r w:rsidRPr="00D22A73">
        <w:rPr>
          <w:i/>
          <w:iCs/>
        </w:rPr>
        <w:tab/>
      </w:r>
      <w:r w:rsidRPr="00D22A73">
        <w:t xml:space="preserve">Linear mixed effects models suggested scores on AAQ-MCHL were associated with four (i.e., parent knowledge, monitoring, perceptions, and confidence) of the outcome measures. AAQ-MCHL was negatively associated with parent knowledge (β = -.35, </w:t>
      </w:r>
      <w:r w:rsidRPr="00D22A73">
        <w:rPr>
          <w:i/>
          <w:iCs/>
        </w:rPr>
        <w:t xml:space="preserve">p </w:t>
      </w:r>
      <w:r w:rsidRPr="00D22A73">
        <w:t xml:space="preserve">&lt; .001), negatively associated with monitoring (β = -.09, </w:t>
      </w:r>
      <w:r w:rsidRPr="00D22A73">
        <w:rPr>
          <w:i/>
          <w:iCs/>
        </w:rPr>
        <w:t xml:space="preserve">p </w:t>
      </w:r>
      <w:r w:rsidRPr="00D22A73">
        <w:t xml:space="preserve">= .03), and negatively associated with both perceptions scale 1 (β = -.17, </w:t>
      </w:r>
      <w:r w:rsidRPr="00D22A73">
        <w:rPr>
          <w:i/>
          <w:iCs/>
        </w:rPr>
        <w:t xml:space="preserve">p </w:t>
      </w:r>
      <w:r w:rsidRPr="00D22A73">
        <w:t xml:space="preserve">&lt; .001) and perceptions scale 2 (β = -5.38, </w:t>
      </w:r>
      <w:r w:rsidRPr="00D22A73">
        <w:rPr>
          <w:i/>
          <w:iCs/>
        </w:rPr>
        <w:t xml:space="preserve">p </w:t>
      </w:r>
      <w:r w:rsidRPr="00D22A73">
        <w:t xml:space="preserve">&lt; .01). That is, as AAQ-MCHL score reduces (i.e., less psychological inflexibility), there is an associated increase in each of these four outcome measures. </w:t>
      </w:r>
    </w:p>
    <w:p w14:paraId="5959BCF7" w14:textId="77777777" w:rsidR="00EE7C5D" w:rsidRPr="00D22A73" w:rsidRDefault="00EE7C5D" w:rsidP="00EE7C5D">
      <w:pPr>
        <w:spacing w:line="480" w:lineRule="auto"/>
        <w:rPr>
          <w:i/>
          <w:iCs/>
        </w:rPr>
      </w:pPr>
      <w:r w:rsidRPr="00D22A73">
        <w:rPr>
          <w:i/>
          <w:iCs/>
        </w:rPr>
        <w:t>PAM-HC</w:t>
      </w:r>
    </w:p>
    <w:p w14:paraId="62B3296B" w14:textId="77777777" w:rsidR="00EE7C5D" w:rsidRPr="00D22A73" w:rsidRDefault="00EE7C5D" w:rsidP="00EE7C5D">
      <w:pPr>
        <w:spacing w:line="480" w:lineRule="auto"/>
      </w:pPr>
      <w:r w:rsidRPr="00D22A73">
        <w:rPr>
          <w:i/>
          <w:iCs/>
        </w:rPr>
        <w:tab/>
      </w:r>
      <w:r w:rsidRPr="00D22A73">
        <w:t xml:space="preserve">Results further indicated parent activation had a positive relationship with parent knowledge (β = .53, </w:t>
      </w:r>
      <w:r w:rsidRPr="00D22A73">
        <w:rPr>
          <w:i/>
          <w:iCs/>
        </w:rPr>
        <w:t xml:space="preserve">p </w:t>
      </w:r>
      <w:r w:rsidRPr="00D22A73">
        <w:t xml:space="preserve">&lt; .01) and monitoring (β = .14, </w:t>
      </w:r>
      <w:r w:rsidRPr="00D22A73">
        <w:rPr>
          <w:i/>
          <w:iCs/>
        </w:rPr>
        <w:t xml:space="preserve">p </w:t>
      </w:r>
      <w:r w:rsidRPr="00D22A73">
        <w:t xml:space="preserve">= .049). That is, parents who reported higher scores on the PAM-HC were more likely to score higher on the Hearing Management Knowledge and Hearing Aid Monitoring measures. Parent activation did not have a significant association with any other outcome. </w:t>
      </w:r>
    </w:p>
    <w:p w14:paraId="0E48D7F9" w14:textId="77777777" w:rsidR="00EE7C5D" w:rsidRPr="00D22A73" w:rsidRDefault="00EE7C5D" w:rsidP="00EE7C5D">
      <w:pPr>
        <w:spacing w:line="480" w:lineRule="auto"/>
      </w:pPr>
    </w:p>
    <w:p w14:paraId="1B9226BA" w14:textId="77777777" w:rsidR="00EE7C5D" w:rsidRPr="00D22A73" w:rsidRDefault="00EE7C5D" w:rsidP="00EE7C5D">
      <w:pPr>
        <w:spacing w:line="480" w:lineRule="auto"/>
        <w:jc w:val="center"/>
        <w:rPr>
          <w:b/>
          <w:bCs/>
        </w:rPr>
      </w:pPr>
      <w:r w:rsidRPr="00D22A73">
        <w:rPr>
          <w:b/>
          <w:bCs/>
        </w:rPr>
        <w:t>Discussion</w:t>
      </w:r>
    </w:p>
    <w:p w14:paraId="50E47B0C" w14:textId="77777777" w:rsidR="00EE7C5D" w:rsidRPr="00D22A73" w:rsidRDefault="00EE7C5D" w:rsidP="00EE7C5D">
      <w:pPr>
        <w:spacing w:line="480" w:lineRule="auto"/>
        <w:ind w:firstLine="720"/>
      </w:pPr>
      <w:r w:rsidRPr="00D22A73">
        <w:lastRenderedPageBreak/>
        <w:t>The current study tested moderation effects of the psychological inflexibility, parent activation, and parent reported hours of hearing aid use on parent knowledge, frequency of device monitoring, perceptions, and confidence. These variables (i.e., psychological inflexibility, parent activation, and parent reported hours of hearing aid use) were also tested for any possible predictive power on the same treatment outcomes. Data were extracted from a study testing a 6-week eHealth intervention among parents with children who are DHH and use at least one hearing aid</w:t>
      </w:r>
      <w:r w:rsidRPr="00D22A73" w:rsidDel="009D68AB">
        <w:t xml:space="preserve"> </w:t>
      </w:r>
      <w:r w:rsidRPr="00D22A73">
        <w:t xml:space="preserve">where participants were randomized into an intervention condition and TAU or TAU only </w:t>
      </w:r>
      <w:r w:rsidRPr="00D22A73">
        <w:rPr>
          <w:noProof/>
        </w:rPr>
        <w:t>(results from the primary study can be found at Muñoz et al., 2021)</w:t>
      </w:r>
      <w:r w:rsidRPr="00D22A73">
        <w:t>. Results revealed that psychological inflexibility, low parent activation, and low hours of hearing aid use moderated device monitoring frequency and knowledge; parents who received the intervention improved over time compared to the TAU only group. In addition, predictors were found for treatment outcomes for psychological flexibility (i.e., knowledge, monitoring, perceptions, confidence) and parent activation (i.e., knowledge, monitoring). To date, no previous studies have investigated parent hearing aid related variables as perspective moderators and predictors for an eHealth parent education and support program. These findings raise important considerations for clinical practice.</w:t>
      </w:r>
    </w:p>
    <w:p w14:paraId="68514E27" w14:textId="77777777" w:rsidR="00EE7C5D" w:rsidRPr="00D22A73" w:rsidRDefault="00EE7C5D" w:rsidP="00EE7C5D">
      <w:pPr>
        <w:spacing w:line="480" w:lineRule="auto"/>
      </w:pPr>
      <w:r w:rsidRPr="00D22A73">
        <w:tab/>
        <w:t xml:space="preserve">Early identification and amplification for permanent hearing loss is critical for spoken language development and later academic success. Parents are essential partners in this process; however, they often experience challenges in navigating their role. Audiologists have a commitment to educate and support parents, although there is limited evidence-based information on how to effectively help parents overcome barriers with hearing aid management. The current analysis revealed that psychological inflexibility, parent activation, and hours of hearing aid use are important indicators in the change process for parent learning in an eHealth program. </w:t>
      </w:r>
    </w:p>
    <w:p w14:paraId="1230235C" w14:textId="77777777" w:rsidR="00EE7C5D" w:rsidRPr="00D22A73" w:rsidRDefault="00EE7C5D" w:rsidP="00EE7C5D">
      <w:pPr>
        <w:spacing w:line="480" w:lineRule="auto"/>
        <w:ind w:firstLine="720"/>
      </w:pPr>
      <w:r w:rsidRPr="00D22A73">
        <w:t xml:space="preserve">Parents who had more psychological inflexibility (i.e., a higher score on the AAQ-MCHL), related to not accepting their internal discomfort (e.g., thoughts) for managing their child’s </w:t>
      </w:r>
      <w:r w:rsidRPr="00D22A73">
        <w:lastRenderedPageBreak/>
        <w:t xml:space="preserve">hearing loss, at baseline and received the intervention had an increase in the frequency of hearing aid monitoring practices at follow up compared to parents in TAU only. Monitoring device function is a critical component of hearing aid management as hearing aids require maintenance (e.g., cleaning earmolds) and can malfunction for various reasons (e.g., dead battery, moisture). Furthermore, the findings found psychological inflexibility to predict the outcomes measured (i.e., knowledge, monitoring, perceptions, confidence) and showed that as scores for parents decreased (less inflexibility) on the AAQ-MCHL outcomes improved over time, suggesting the importance of identifying parents with higher scores (more inflexibility) to help audiologists better determine when additional or different support is needed. Mediation and moderation analysis have highlighted psychological inflexibility as one of the components involved in the process of psychological change during interventions </w:t>
      </w:r>
      <w:r w:rsidRPr="00D22A73">
        <w:rPr>
          <w:noProof/>
        </w:rPr>
        <w:t>(Hayes, Levin, Plumb-Vilardaga, Villatte, &amp; Pistorello, 2013)</w:t>
      </w:r>
      <w:r w:rsidRPr="00D22A73">
        <w:t xml:space="preserve">. Yet, with research being limited among people with chronic conditions there is little empirical evidence to suggest psychological inflexibility has the same impact when it comes to health-related outcomes. One study among parents of children with acquired brain injury found psychological inflexibility as a mediating variable between treatment allocation and two parent outcomes </w:t>
      </w:r>
      <w:r w:rsidRPr="00D22A73">
        <w:rPr>
          <w:noProof/>
        </w:rPr>
        <w:t>(dysfunctional parenting styles and parent stress; Brown, Whittingham, &amp; Sofronoff, 2015)</w:t>
      </w:r>
      <w:r w:rsidRPr="00D22A73">
        <w:t xml:space="preserve">. Data from this study extends on the important role psychological inflexibility plays in health-related outcomes. </w:t>
      </w:r>
    </w:p>
    <w:p w14:paraId="5BC93731" w14:textId="77777777" w:rsidR="00EE7C5D" w:rsidRPr="00D22A73" w:rsidRDefault="00EE7C5D" w:rsidP="00EE7C5D">
      <w:pPr>
        <w:spacing w:line="480" w:lineRule="auto"/>
        <w:ind w:firstLine="720"/>
      </w:pPr>
      <w:r w:rsidRPr="00D22A73">
        <w:t xml:space="preserve">Similarly, and highly evident, is the replication of emotional avoidance producing poor outcomes seen in psychopathology </w:t>
      </w:r>
      <w:r w:rsidRPr="00D22A73">
        <w:rPr>
          <w:noProof/>
        </w:rPr>
        <w:t>(Chawla &amp; Ostafin, 2007)</w:t>
      </w:r>
      <w:r w:rsidRPr="00D22A73">
        <w:t xml:space="preserve">. In theory, actively avoiding internal experiences (e.g., thoughts) can perpetuate maladaptive behaviors. For example, if a parent has uncomfortable thoughts or emotions related to their child’s hearing aids, avoiding these emotions by not dealing with hearing aids helps minimize those negative emotions but actively harms the child’s development. Learning from previous studies linking avoidance to psychopathology may offer insights to possibly providing similar treatment options (e.g., </w:t>
      </w:r>
      <w:r w:rsidRPr="00D22A73">
        <w:lastRenderedPageBreak/>
        <w:t xml:space="preserve">acceptance and commitment therapy) for parents of children who are DHH and are struggling with psychological inflexibility interfering with hearing aid use and management.  </w:t>
      </w:r>
    </w:p>
    <w:p w14:paraId="51574A89" w14:textId="77777777" w:rsidR="00EE7C5D" w:rsidRPr="00D22A73" w:rsidRDefault="00EE7C5D" w:rsidP="00EE7C5D">
      <w:pPr>
        <w:spacing w:line="480" w:lineRule="auto"/>
        <w:ind w:firstLine="720"/>
      </w:pPr>
      <w:r w:rsidRPr="00D22A73">
        <w:t xml:space="preserve">Parent activation as a moderator was only significant in relation to the parent knowledge outcome measure. Also, parent activation as a predicting variable was significant in relation to the parent knowledge and hearing aid monitoring outcome measures. This could be primarily </w:t>
      </w:r>
      <w:proofErr w:type="gramStart"/>
      <w:r w:rsidRPr="00D22A73">
        <w:t>due to the fact that</w:t>
      </w:r>
      <w:proofErr w:type="gramEnd"/>
      <w:r w:rsidRPr="00D22A73">
        <w:t xml:space="preserve"> the PAM-HC (i.e., parent activation) takes into account parent knowledge on hearing aid self-management on behalf of their child. While the Hearing Management Knowledge extends into level of understanding for different aspects of hearing aid management and the Hearing Aid Monitoring assesses frequency of device monitoring, they still both require knowledge of hearing aids overall. Regardless, parent activation offers significance to improve health outcomes (i.e., parent knowledge) over time, which is comparably seen in another longitudinal studies of individuals with </w:t>
      </w:r>
      <w:r w:rsidRPr="00D22A73">
        <w:rPr>
          <w:noProof/>
        </w:rPr>
        <w:t>(Greene, Hibbard, Sacks, Overton, &amp; Parrotta, 2015)</w:t>
      </w:r>
      <w:r w:rsidRPr="00D22A73">
        <w:t xml:space="preserve"> and without chronic diseases </w:t>
      </w:r>
      <w:r w:rsidRPr="00D22A73">
        <w:rPr>
          <w:noProof/>
        </w:rPr>
        <w:t>(Harvey, Fowles, Xi, &amp; Terry, 2012)</w:t>
      </w:r>
      <w:r w:rsidRPr="00D22A73">
        <w:t xml:space="preserve">. </w:t>
      </w:r>
    </w:p>
    <w:p w14:paraId="1CD34DA7" w14:textId="77777777" w:rsidR="00EE7C5D" w:rsidRPr="00D22A73" w:rsidRDefault="00EE7C5D" w:rsidP="00EE7C5D">
      <w:pPr>
        <w:spacing w:line="480" w:lineRule="auto"/>
        <w:ind w:firstLine="720"/>
      </w:pPr>
      <w:r w:rsidRPr="00D22A73">
        <w:t xml:space="preserve">Reported hours of hearing aid use by the parents had moderating effects between conditions and two treatment outcomes: parent knowledge and monitoring. A closer look at this shows only lower reported hours of hearing aid use at baseline among parents in the treatment condition created potential for parents to learn about the importance and necessity of hearing aids for the child that the eHealth intervention provided. There was little difference between conditions among parents that reported high hours of hearing aid use. A higher number of hours at baseline most likely created a ceiling effect. While the primary analysis from the randomized controlled trial of this data was collected from Muñoz and colleagues </w:t>
      </w:r>
      <w:r w:rsidRPr="00D22A73">
        <w:rPr>
          <w:noProof/>
        </w:rPr>
        <w:t>(2021)</w:t>
      </w:r>
      <w:r w:rsidRPr="00D22A73">
        <w:t>, the study did not observe significant differences between the groups post-intervention. The more detailed evaluation from this analysis shows the impact from the eHealth intervention for parents who reported low hours of hearing aid use. Parent reported hours of hearing aid use did not have any significance when it came to predicting any treatment outcome variables.</w:t>
      </w:r>
    </w:p>
    <w:p w14:paraId="7156B803" w14:textId="77777777" w:rsidR="00EE7C5D" w:rsidRPr="00D22A73" w:rsidRDefault="00EE7C5D" w:rsidP="00EE7C5D">
      <w:pPr>
        <w:spacing w:line="480" w:lineRule="auto"/>
      </w:pPr>
      <w:r w:rsidRPr="00D22A73">
        <w:lastRenderedPageBreak/>
        <w:tab/>
        <w:t xml:space="preserve">There were limitations presented by these moderation and predictive analyses. First, it is a relatively small sample size (intervention: 37; TAU: 41) which may have affected power to detect some marginal findings. Second, while the PAM-HC and Hearing Management Knowledge have some overlap – </w:t>
      </w:r>
      <w:proofErr w:type="gramStart"/>
      <w:r w:rsidRPr="00D22A73">
        <w:t>in regard to</w:t>
      </w:r>
      <w:proofErr w:type="gramEnd"/>
      <w:r w:rsidRPr="00D22A73">
        <w:t xml:space="preserve"> the construct – making it difficult to distinguish specific differences among these measures. Third, the measure of hearing aid use relied on parent report rather than hearing aid data logging. Parent report has been found to be variable and over-estimate hours of use compared to data logging </w:t>
      </w:r>
      <w:r w:rsidRPr="00D22A73">
        <w:rPr>
          <w:noProof/>
        </w:rPr>
        <w:t>(Walker et al., 2013)</w:t>
      </w:r>
      <w:r w:rsidRPr="00D22A73">
        <w:t xml:space="preserve">, the reduced accuracy of this approach may have obscured hearing aid use differences. Fourth, there was no exclusion criteria regarding additional disabilities. While the demographics did capture these additional characteristics from the children in the sample, we do not know the impact this could have had on the treatment outcomes. Finally, during the process of the study the world </w:t>
      </w:r>
      <w:proofErr w:type="gramStart"/>
      <w:r w:rsidRPr="00D22A73">
        <w:t>entered into</w:t>
      </w:r>
      <w:proofErr w:type="gramEnd"/>
      <w:r w:rsidRPr="00D22A73">
        <w:t xml:space="preserve"> a pandemic with COVID-19. Since there were no measures to account for fear of COVID-19 or any other related measures to COVID-19, it is difficult to determine the impact the pandemic played on the intervention. Notably, there were a few participants that reported frustrations with an inability to visit their audiologist due to the shutdown. Future research is needed to better understand other important intervention variables that may influence outcomes, such as dosage, delivery, and content to optimally support parents in achieving daily hearing aid management routines that are effective and sustainable.</w:t>
      </w:r>
    </w:p>
    <w:p w14:paraId="26DE3BB5" w14:textId="77777777" w:rsidR="00EE7C5D" w:rsidRPr="00D22A73" w:rsidRDefault="00EE7C5D" w:rsidP="00EE7C5D">
      <w:pPr>
        <w:spacing w:line="480" w:lineRule="auto"/>
      </w:pPr>
      <w:r w:rsidRPr="00D22A73">
        <w:tab/>
        <w:t xml:space="preserve">The current study sought to find significant moderators and predictors in an eHealth parent hearing aid management program </w:t>
      </w:r>
      <w:r w:rsidRPr="00D22A73">
        <w:rPr>
          <w:noProof/>
        </w:rPr>
        <w:t>(Muñoz et al., 2021)</w:t>
      </w:r>
      <w:r w:rsidRPr="00D22A73">
        <w:t xml:space="preserve">. Overall, our results support the moderation effects of parent psychological inflexibility and parent activation on frequency of device monitoring and parent knowledge, respectively. In addition, the path between treatment conditions and parent knowledge and frequency of device monitoring were moderated by parent reported hours of hearing aid use. Parent psychological inflexibility predicted parent knowledge, device monitoring, and parent perceptions, while parent activation predicted parent knowledge. Parent psychological inflexibility is a variable audiologists may consider assessing in addition to </w:t>
      </w:r>
      <w:r w:rsidRPr="00D22A73">
        <w:lastRenderedPageBreak/>
        <w:t xml:space="preserve">teaching </w:t>
      </w:r>
      <w:proofErr w:type="gramStart"/>
      <w:r w:rsidRPr="00D22A73">
        <w:t>parents</w:t>
      </w:r>
      <w:proofErr w:type="gramEnd"/>
      <w:r w:rsidRPr="00D22A73">
        <w:t xml:space="preserve"> new skills and monitoring how many hours children are using their hearing aids, as they educate and support parents in developing effective hearing aid routines.  </w:t>
      </w:r>
      <w:r w:rsidRPr="00D22A73">
        <w:rPr>
          <w:i/>
          <w:iCs/>
        </w:rPr>
        <w:br w:type="page"/>
      </w:r>
    </w:p>
    <w:p w14:paraId="36A568E5" w14:textId="77777777" w:rsidR="00EE7C5D" w:rsidRPr="00D22A73" w:rsidRDefault="00EE7C5D" w:rsidP="00EE7C5D">
      <w:pPr>
        <w:spacing w:line="480" w:lineRule="auto"/>
        <w:jc w:val="center"/>
      </w:pPr>
      <w:r w:rsidRPr="00D22A73">
        <w:rPr>
          <w:b/>
          <w:bCs/>
        </w:rPr>
        <w:lastRenderedPageBreak/>
        <w:t>References</w:t>
      </w:r>
    </w:p>
    <w:p w14:paraId="02B5E061" w14:textId="77777777" w:rsidR="00EE7C5D" w:rsidRPr="00D22A73" w:rsidRDefault="00EE7C5D" w:rsidP="00EE7C5D">
      <w:pPr>
        <w:pStyle w:val="EndNoteBibliography"/>
        <w:spacing w:line="480" w:lineRule="auto"/>
        <w:ind w:left="720" w:hanging="720"/>
        <w:rPr>
          <w:noProof/>
        </w:rPr>
      </w:pPr>
      <w:r w:rsidRPr="00D22A73">
        <w:rPr>
          <w:noProof/>
        </w:rPr>
        <w:t>Ben-Shachar, M., &amp; Lüdecke. (2020). Compute and interpret indices of effect size. CRAN. Retrieved from https://github.com/easystats/effectsize</w:t>
      </w:r>
    </w:p>
    <w:p w14:paraId="166D8BC8" w14:textId="77777777" w:rsidR="00EE7C5D" w:rsidRPr="00D22A73" w:rsidRDefault="00EE7C5D" w:rsidP="00EE7C5D">
      <w:pPr>
        <w:pStyle w:val="EndNoteBibliography"/>
        <w:spacing w:line="480" w:lineRule="auto"/>
        <w:ind w:left="720" w:hanging="720"/>
        <w:rPr>
          <w:noProof/>
        </w:rPr>
      </w:pPr>
      <w:r w:rsidRPr="00D22A73">
        <w:rPr>
          <w:noProof/>
        </w:rPr>
        <w:t xml:space="preserve">Bond, F. W., Hayes, S. C., Baer, R. A., Carpenter, K. M., Guenole, N., Orcutt, H. K., . . . Zettle, R. D. (2011). Preliminary psychometric properties of the Acceptance and Action Questionnaire–II: A revised measure of psychological inflexibility and experiential avoidance. </w:t>
      </w:r>
      <w:r w:rsidRPr="00D22A73">
        <w:rPr>
          <w:i/>
          <w:noProof/>
        </w:rPr>
        <w:t>Behavior therapy, 42</w:t>
      </w:r>
      <w:r w:rsidRPr="00D22A73">
        <w:rPr>
          <w:noProof/>
        </w:rPr>
        <w:t xml:space="preserve">(4), 676-688. </w:t>
      </w:r>
    </w:p>
    <w:p w14:paraId="03984763" w14:textId="77777777" w:rsidR="00EE7C5D" w:rsidRPr="00D22A73" w:rsidRDefault="00EE7C5D" w:rsidP="00EE7C5D">
      <w:pPr>
        <w:pStyle w:val="EndNoteBibliography"/>
        <w:spacing w:line="480" w:lineRule="auto"/>
        <w:ind w:left="720" w:hanging="720"/>
        <w:rPr>
          <w:noProof/>
        </w:rPr>
      </w:pPr>
      <w:r w:rsidRPr="00D22A73">
        <w:rPr>
          <w:noProof/>
        </w:rPr>
        <w:t xml:space="preserve">Brown, F. L., Whittingham, K., &amp; Sofronoff, K. (2015). Parental experiential avoidance as a potential mechanism of change in a parenting intervention for parents of children with pediatric acquired brain injury. </w:t>
      </w:r>
      <w:r w:rsidRPr="00D22A73">
        <w:rPr>
          <w:i/>
          <w:noProof/>
        </w:rPr>
        <w:t>Journal of Pediatric Psychology, 40</w:t>
      </w:r>
      <w:r w:rsidRPr="00D22A73">
        <w:rPr>
          <w:noProof/>
        </w:rPr>
        <w:t xml:space="preserve">(4), 464-474. </w:t>
      </w:r>
    </w:p>
    <w:p w14:paraId="03F74F46" w14:textId="77777777" w:rsidR="00EE7C5D" w:rsidRPr="00D22A73" w:rsidRDefault="00EE7C5D" w:rsidP="00EE7C5D">
      <w:pPr>
        <w:pStyle w:val="EndNoteBibliography"/>
        <w:spacing w:line="480" w:lineRule="auto"/>
        <w:ind w:left="720" w:hanging="720"/>
        <w:rPr>
          <w:noProof/>
        </w:rPr>
      </w:pPr>
      <w:r w:rsidRPr="00D22A73">
        <w:rPr>
          <w:noProof/>
        </w:rPr>
        <w:t xml:space="preserve">Chawla, N., &amp; Ostafin, B. (2007). Experiential avoidance as a functional dimensional approach to psychopathology: An empirical review. </w:t>
      </w:r>
      <w:r w:rsidRPr="00D22A73">
        <w:rPr>
          <w:i/>
          <w:noProof/>
        </w:rPr>
        <w:t>Journal of clinical psychology, 63</w:t>
      </w:r>
      <w:r w:rsidRPr="00D22A73">
        <w:rPr>
          <w:noProof/>
        </w:rPr>
        <w:t xml:space="preserve">(9), 871-890. </w:t>
      </w:r>
    </w:p>
    <w:p w14:paraId="41A8EDA5" w14:textId="77777777" w:rsidR="00EE7C5D" w:rsidRPr="00D22A73" w:rsidRDefault="00EE7C5D" w:rsidP="00EE7C5D">
      <w:pPr>
        <w:pStyle w:val="EndNoteBibliography"/>
        <w:spacing w:line="480" w:lineRule="auto"/>
        <w:ind w:left="720" w:hanging="720"/>
        <w:rPr>
          <w:noProof/>
        </w:rPr>
      </w:pPr>
      <w:r w:rsidRPr="00D22A73">
        <w:rPr>
          <w:noProof/>
        </w:rPr>
        <w:t xml:space="preserve">Greene, J., Hibbard, J. H., Sacks, R., Overton, V., &amp; Parrotta, C. D. (2015). When patient activation levels change, health outcomes and costs change, too. </w:t>
      </w:r>
      <w:r w:rsidRPr="00D22A73">
        <w:rPr>
          <w:i/>
          <w:noProof/>
        </w:rPr>
        <w:t>Health Affairs, 34</w:t>
      </w:r>
      <w:r w:rsidRPr="00D22A73">
        <w:rPr>
          <w:noProof/>
        </w:rPr>
        <w:t xml:space="preserve">(3), 431-437. </w:t>
      </w:r>
    </w:p>
    <w:p w14:paraId="08B1BC25" w14:textId="77777777" w:rsidR="00EE7C5D" w:rsidRPr="00D22A73" w:rsidRDefault="00EE7C5D" w:rsidP="00EE7C5D">
      <w:pPr>
        <w:pStyle w:val="EndNoteBibliography"/>
        <w:spacing w:line="480" w:lineRule="auto"/>
        <w:ind w:left="720" w:hanging="720"/>
        <w:rPr>
          <w:noProof/>
        </w:rPr>
      </w:pPr>
      <w:r w:rsidRPr="00D22A73">
        <w:rPr>
          <w:noProof/>
        </w:rPr>
        <w:t xml:space="preserve">Harvey, L., Fowles, J. B., Xi, M., &amp; Terry, P. (2012). When activation changes, what else changes? The relationship between change in patient activation measure (PAM) and employees’ health status and health behaviors. </w:t>
      </w:r>
      <w:r w:rsidRPr="00D22A73">
        <w:rPr>
          <w:i/>
          <w:noProof/>
        </w:rPr>
        <w:t>Patient Education and Counseling, 88</w:t>
      </w:r>
      <w:r w:rsidRPr="00D22A73">
        <w:rPr>
          <w:noProof/>
        </w:rPr>
        <w:t xml:space="preserve">(2), 338-343. </w:t>
      </w:r>
    </w:p>
    <w:p w14:paraId="258B8BD1" w14:textId="77777777" w:rsidR="00EE7C5D" w:rsidRPr="00D22A73" w:rsidRDefault="00EE7C5D" w:rsidP="00EE7C5D">
      <w:pPr>
        <w:pStyle w:val="EndNoteBibliography"/>
        <w:spacing w:line="480" w:lineRule="auto"/>
        <w:ind w:left="720" w:hanging="720"/>
        <w:rPr>
          <w:noProof/>
        </w:rPr>
      </w:pPr>
      <w:r w:rsidRPr="00D22A73">
        <w:rPr>
          <w:noProof/>
        </w:rPr>
        <w:t xml:space="preserve">Hayes, S. C., Levin, M. E., Plumb-Vilardaga, J., Villatte, J. L., &amp; Pistorello, J. (2013). Acceptance and commitment therapy and contextual behavioral science: Examining the progress of a distinctive model of behavioral and cognitive therapy. </w:t>
      </w:r>
      <w:r w:rsidRPr="00D22A73">
        <w:rPr>
          <w:i/>
          <w:noProof/>
        </w:rPr>
        <w:t>Behavior therapy, 44</w:t>
      </w:r>
      <w:r w:rsidRPr="00D22A73">
        <w:rPr>
          <w:noProof/>
        </w:rPr>
        <w:t xml:space="preserve">(2), 180-198. </w:t>
      </w:r>
    </w:p>
    <w:p w14:paraId="757FA97D" w14:textId="77777777" w:rsidR="00EE7C5D" w:rsidRPr="00D22A73" w:rsidRDefault="00EE7C5D" w:rsidP="00EE7C5D">
      <w:pPr>
        <w:pStyle w:val="EndNoteBibliography"/>
        <w:spacing w:line="480" w:lineRule="auto"/>
        <w:ind w:left="720" w:hanging="720"/>
        <w:rPr>
          <w:noProof/>
        </w:rPr>
      </w:pPr>
      <w:r w:rsidRPr="00D22A73">
        <w:rPr>
          <w:noProof/>
        </w:rPr>
        <w:lastRenderedPageBreak/>
        <w:t xml:space="preserve">Hayes, S. C., &amp; Strosahl, K. D. (2005). </w:t>
      </w:r>
      <w:r w:rsidRPr="00D22A73">
        <w:rPr>
          <w:i/>
          <w:noProof/>
        </w:rPr>
        <w:t>A practical guide to acceptance and commitment therapy</w:t>
      </w:r>
      <w:r w:rsidRPr="00D22A73">
        <w:rPr>
          <w:noProof/>
        </w:rPr>
        <w:t>: Springer Science+ Business Media.</w:t>
      </w:r>
    </w:p>
    <w:p w14:paraId="3D961513" w14:textId="77777777" w:rsidR="00EE7C5D" w:rsidRPr="00D22A73" w:rsidRDefault="00EE7C5D" w:rsidP="00EE7C5D">
      <w:pPr>
        <w:pStyle w:val="EndNoteBibliography"/>
        <w:spacing w:line="480" w:lineRule="auto"/>
        <w:ind w:left="720" w:hanging="720"/>
        <w:rPr>
          <w:noProof/>
        </w:rPr>
      </w:pPr>
      <w:r w:rsidRPr="00D22A73">
        <w:rPr>
          <w:noProof/>
        </w:rPr>
        <w:t xml:space="preserve">Hibbard, J. H., Greene, J., Shi, Y., Mittler, J., &amp; Scanlon, D. (2015). Taking the long view: how well do patient activation scores predict outcomes four years later? </w:t>
      </w:r>
      <w:r w:rsidRPr="00D22A73">
        <w:rPr>
          <w:i/>
          <w:noProof/>
        </w:rPr>
        <w:t>Medical Care Research and Review, 72</w:t>
      </w:r>
      <w:r w:rsidRPr="00D22A73">
        <w:rPr>
          <w:noProof/>
        </w:rPr>
        <w:t xml:space="preserve">(3), 324-337. </w:t>
      </w:r>
    </w:p>
    <w:p w14:paraId="41B34CB3" w14:textId="77777777" w:rsidR="00EE7C5D" w:rsidRPr="00D22A73" w:rsidRDefault="00EE7C5D" w:rsidP="00EE7C5D">
      <w:pPr>
        <w:pStyle w:val="EndNoteBibliography"/>
        <w:spacing w:line="480" w:lineRule="auto"/>
        <w:ind w:left="720" w:hanging="720"/>
        <w:rPr>
          <w:noProof/>
        </w:rPr>
      </w:pPr>
      <w:r w:rsidRPr="00D22A73">
        <w:rPr>
          <w:noProof/>
        </w:rPr>
        <w:t xml:space="preserve">Hibbard, J. H., Mahoney, E. R., Stock, R., &amp; Tusler, M. (2007). Do increases in patient activation result in improved self‐management behaviors? </w:t>
      </w:r>
      <w:r w:rsidRPr="00D22A73">
        <w:rPr>
          <w:i/>
          <w:noProof/>
        </w:rPr>
        <w:t>Health services research, 42</w:t>
      </w:r>
      <w:r w:rsidRPr="00D22A73">
        <w:rPr>
          <w:noProof/>
        </w:rPr>
        <w:t xml:space="preserve">(4), 1443-1463. </w:t>
      </w:r>
    </w:p>
    <w:p w14:paraId="16923DDB" w14:textId="77777777" w:rsidR="00EE7C5D" w:rsidRPr="00D22A73" w:rsidRDefault="00EE7C5D" w:rsidP="00EE7C5D">
      <w:pPr>
        <w:pStyle w:val="EndNoteBibliography"/>
        <w:spacing w:line="480" w:lineRule="auto"/>
        <w:ind w:left="720" w:hanging="720"/>
        <w:rPr>
          <w:noProof/>
        </w:rPr>
      </w:pPr>
      <w:r w:rsidRPr="00D22A73">
        <w:rPr>
          <w:noProof/>
        </w:rPr>
        <w:t xml:space="preserve">Hibbard, J. H., Mahoney, E. R., Stockard, J., &amp; Tusler, M. (2005). Development and testing of a short form of the patient activation measure. </w:t>
      </w:r>
      <w:r w:rsidRPr="00D22A73">
        <w:rPr>
          <w:i/>
          <w:noProof/>
        </w:rPr>
        <w:t>Health services research, 40</w:t>
      </w:r>
      <w:r w:rsidRPr="00D22A73">
        <w:rPr>
          <w:noProof/>
        </w:rPr>
        <w:t xml:space="preserve">(6p1), 1918-1930. </w:t>
      </w:r>
    </w:p>
    <w:p w14:paraId="035BB156" w14:textId="77777777" w:rsidR="00EE7C5D" w:rsidRPr="00D22A73" w:rsidRDefault="00EE7C5D" w:rsidP="00EE7C5D">
      <w:pPr>
        <w:pStyle w:val="EndNoteBibliography"/>
        <w:spacing w:line="480" w:lineRule="auto"/>
        <w:ind w:left="720" w:hanging="720"/>
        <w:rPr>
          <w:noProof/>
        </w:rPr>
      </w:pPr>
      <w:r w:rsidRPr="00D22A73">
        <w:rPr>
          <w:noProof/>
        </w:rPr>
        <w:t xml:space="preserve">Lovibond, P. F., &amp; Lovibond, S. H. (1995). The structure of negative emotional states: Comparison of the Depression Anxiety Stress Scales (DASS) with the Beck Depression and Anxiety Inventories. </w:t>
      </w:r>
      <w:r w:rsidRPr="00D22A73">
        <w:rPr>
          <w:i/>
          <w:noProof/>
        </w:rPr>
        <w:t>Behaviour research and therapy, 33</w:t>
      </w:r>
      <w:r w:rsidRPr="00D22A73">
        <w:rPr>
          <w:noProof/>
        </w:rPr>
        <w:t xml:space="preserve">(3), 335-343. </w:t>
      </w:r>
    </w:p>
    <w:p w14:paraId="6FAEDB40" w14:textId="77777777" w:rsidR="00EE7C5D" w:rsidRPr="00D22A73" w:rsidRDefault="00EE7C5D" w:rsidP="00EE7C5D">
      <w:pPr>
        <w:pStyle w:val="EndNoteBibliography"/>
        <w:spacing w:line="480" w:lineRule="auto"/>
        <w:ind w:left="720" w:hanging="720"/>
        <w:rPr>
          <w:noProof/>
        </w:rPr>
      </w:pPr>
      <w:r w:rsidRPr="00D22A73">
        <w:rPr>
          <w:noProof/>
        </w:rPr>
        <w:t xml:space="preserve">McCreery, R. W., &amp; Walker, E. A. (2017). </w:t>
      </w:r>
      <w:r w:rsidRPr="00D22A73">
        <w:rPr>
          <w:i/>
          <w:noProof/>
        </w:rPr>
        <w:t>Pediatric amplification: enhancing auditory access</w:t>
      </w:r>
      <w:r w:rsidRPr="00D22A73">
        <w:rPr>
          <w:noProof/>
        </w:rPr>
        <w:t>. San Diego, CA: Plural Publishing.</w:t>
      </w:r>
    </w:p>
    <w:p w14:paraId="221E0A22" w14:textId="77777777" w:rsidR="00EE7C5D" w:rsidRPr="00D22A73" w:rsidRDefault="00EE7C5D" w:rsidP="00EE7C5D">
      <w:pPr>
        <w:pStyle w:val="EndNoteBibliography"/>
        <w:spacing w:line="480" w:lineRule="auto"/>
        <w:ind w:left="720" w:hanging="720"/>
        <w:rPr>
          <w:noProof/>
        </w:rPr>
      </w:pPr>
      <w:r w:rsidRPr="00D22A73">
        <w:rPr>
          <w:noProof/>
        </w:rPr>
        <w:t xml:space="preserve">Moljord, I. E. O., Lara-Cabrera, M. L., Perestelo-Pérez, L., Rivero-Santana, A., Eriksen, L., &amp; Linaker, O. M. (2015). Psychometric properties of the Patient Activation Measure-13 among out-patients waiting for mental health treatment: A validation study in Norway. </w:t>
      </w:r>
      <w:r w:rsidRPr="00D22A73">
        <w:rPr>
          <w:i/>
          <w:noProof/>
        </w:rPr>
        <w:t>Patient Education and Counseling, 98</w:t>
      </w:r>
      <w:r w:rsidRPr="00D22A73">
        <w:rPr>
          <w:noProof/>
        </w:rPr>
        <w:t xml:space="preserve">(11), 1410-1417. </w:t>
      </w:r>
    </w:p>
    <w:p w14:paraId="757772C5" w14:textId="77777777" w:rsidR="00EE7C5D" w:rsidRPr="00D22A73" w:rsidRDefault="00EE7C5D" w:rsidP="00EE7C5D">
      <w:pPr>
        <w:pStyle w:val="EndNoteBibliography"/>
        <w:spacing w:line="480" w:lineRule="auto"/>
        <w:ind w:left="720" w:hanging="720"/>
        <w:rPr>
          <w:noProof/>
        </w:rPr>
      </w:pPr>
      <w:r w:rsidRPr="00D22A73">
        <w:rPr>
          <w:noProof/>
        </w:rPr>
        <w:lastRenderedPageBreak/>
        <w:t xml:space="preserve">Muñoz, K., Larsen, M., Nelson, L., Yoho, S. E., &amp; Twohig, M. P. (2019). Pediatric amplification management: Parent experiences monitoring children’s aided hearing. </w:t>
      </w:r>
      <w:r w:rsidRPr="00D22A73">
        <w:rPr>
          <w:i/>
          <w:noProof/>
        </w:rPr>
        <w:t>Journal of Early Hearing Detection and Intervention, 4</w:t>
      </w:r>
      <w:r w:rsidRPr="00D22A73">
        <w:rPr>
          <w:noProof/>
        </w:rPr>
        <w:t xml:space="preserve">(1), 73-82. </w:t>
      </w:r>
    </w:p>
    <w:p w14:paraId="027AE728" w14:textId="77777777" w:rsidR="00EE7C5D" w:rsidRPr="00D22A73" w:rsidRDefault="00EE7C5D" w:rsidP="00EE7C5D">
      <w:pPr>
        <w:pStyle w:val="EndNoteBibliography"/>
        <w:spacing w:line="480" w:lineRule="auto"/>
        <w:ind w:left="720" w:hanging="720"/>
        <w:rPr>
          <w:noProof/>
        </w:rPr>
      </w:pPr>
      <w:r w:rsidRPr="00D22A73">
        <w:rPr>
          <w:noProof/>
        </w:rPr>
        <w:t xml:space="preserve">Muñoz, K., Olson, W. A., Twohig, M. P., Preston, E., Blaiser, K., &amp; White, K. R. (2015). Pediatric hearing aid use: Parent-reported challenges. </w:t>
      </w:r>
      <w:r w:rsidRPr="00D22A73">
        <w:rPr>
          <w:i/>
          <w:noProof/>
        </w:rPr>
        <w:t>Ear and hearing, 36</w:t>
      </w:r>
      <w:r w:rsidRPr="00D22A73">
        <w:rPr>
          <w:noProof/>
        </w:rPr>
        <w:t xml:space="preserve">(2), 279-287. </w:t>
      </w:r>
    </w:p>
    <w:p w14:paraId="4002991C" w14:textId="77777777" w:rsidR="00EE7C5D" w:rsidRPr="00D22A73" w:rsidRDefault="00EE7C5D" w:rsidP="00EE7C5D">
      <w:pPr>
        <w:pStyle w:val="EndNoteBibliography"/>
        <w:spacing w:line="480" w:lineRule="auto"/>
        <w:ind w:left="720" w:hanging="720"/>
        <w:rPr>
          <w:noProof/>
        </w:rPr>
      </w:pPr>
      <w:r w:rsidRPr="00D22A73">
        <w:rPr>
          <w:noProof/>
        </w:rPr>
        <w:t xml:space="preserve">Muñoz, K., Rusk, S. E., Nelson, L., Preston, E., White, K. R., Barrett, T. S., &amp; Twohig, M. P. (2016). Pediatric hearing aid management: Parent-reported needs for learning support. </w:t>
      </w:r>
      <w:r w:rsidRPr="00D22A73">
        <w:rPr>
          <w:i/>
          <w:noProof/>
        </w:rPr>
        <w:t>Ear and hearing, 37</w:t>
      </w:r>
      <w:r w:rsidRPr="00D22A73">
        <w:rPr>
          <w:noProof/>
        </w:rPr>
        <w:t xml:space="preserve">(6), 703-709. </w:t>
      </w:r>
    </w:p>
    <w:p w14:paraId="3EB8AE20" w14:textId="77777777" w:rsidR="00EE7C5D" w:rsidRPr="00D22A73" w:rsidRDefault="00EE7C5D" w:rsidP="00EE7C5D">
      <w:pPr>
        <w:pStyle w:val="EndNoteBibliography"/>
        <w:spacing w:line="480" w:lineRule="auto"/>
        <w:ind w:left="720" w:hanging="720"/>
        <w:rPr>
          <w:noProof/>
        </w:rPr>
      </w:pPr>
      <w:r w:rsidRPr="00D22A73">
        <w:rPr>
          <w:noProof/>
        </w:rPr>
        <w:t xml:space="preserve">Muñoz, K., San Miguel, G. G., Barrett, T. S., Kasin, C., Baughman, K., Reynolds, B., . . . Twohig, M. P. (2021). eHealth parent education for hearing aid management: a pilot randomized controlled trial. </w:t>
      </w:r>
      <w:r w:rsidRPr="00D22A73">
        <w:rPr>
          <w:i/>
          <w:noProof/>
        </w:rPr>
        <w:t>International journal of audiology, 60</w:t>
      </w:r>
      <w:r w:rsidRPr="00D22A73">
        <w:rPr>
          <w:noProof/>
        </w:rPr>
        <w:t>(sup1), S42-S48. doi:10.1080/14992027.2021.1886354</w:t>
      </w:r>
    </w:p>
    <w:p w14:paraId="4DFCE222" w14:textId="77777777" w:rsidR="00EE7C5D" w:rsidRPr="00D22A73" w:rsidRDefault="00EE7C5D" w:rsidP="00EE7C5D">
      <w:pPr>
        <w:pStyle w:val="EndNoteBibliography"/>
        <w:spacing w:line="480" w:lineRule="auto"/>
        <w:ind w:left="720" w:hanging="720"/>
        <w:rPr>
          <w:noProof/>
        </w:rPr>
      </w:pPr>
      <w:r w:rsidRPr="00D22A73">
        <w:rPr>
          <w:noProof/>
        </w:rPr>
        <w:t xml:space="preserve">Ong, C. W., Whicker, J. J., Muñoz, K., &amp; Twohig, M. P. (2019). Measuring psychological inflexibility in adult and child hearing loss. </w:t>
      </w:r>
      <w:r w:rsidRPr="00D22A73">
        <w:rPr>
          <w:i/>
          <w:noProof/>
        </w:rPr>
        <w:t>International journal of audiology, 58</w:t>
      </w:r>
      <w:r w:rsidRPr="00D22A73">
        <w:rPr>
          <w:noProof/>
        </w:rPr>
        <w:t xml:space="preserve">(10), 643-650. </w:t>
      </w:r>
    </w:p>
    <w:p w14:paraId="797C0A64" w14:textId="77777777" w:rsidR="00EE7C5D" w:rsidRPr="00D22A73" w:rsidRDefault="00EE7C5D" w:rsidP="00EE7C5D">
      <w:pPr>
        <w:pStyle w:val="EndNoteBibliography"/>
        <w:spacing w:line="480" w:lineRule="auto"/>
        <w:ind w:left="720" w:hanging="720"/>
        <w:rPr>
          <w:noProof/>
        </w:rPr>
      </w:pPr>
      <w:r w:rsidRPr="00D22A73">
        <w:rPr>
          <w:noProof/>
        </w:rPr>
        <w:t xml:space="preserve">Pennarola, B. W., Rodday, A. M., Mayer, D. K., Ratichek, S. J., Davies, S. M., Syrjala, K. L., . . . Schwartz, L. (2012). Factors associated with parental activation in pediatric hematopoietic stem cell transplant. </w:t>
      </w:r>
      <w:r w:rsidRPr="00D22A73">
        <w:rPr>
          <w:i/>
          <w:noProof/>
        </w:rPr>
        <w:t>Medical Care Research and Review, 69</w:t>
      </w:r>
      <w:r w:rsidRPr="00D22A73">
        <w:rPr>
          <w:noProof/>
        </w:rPr>
        <w:t xml:space="preserve">(2), 194-214. </w:t>
      </w:r>
    </w:p>
    <w:p w14:paraId="26A78894" w14:textId="77777777" w:rsidR="00EE7C5D" w:rsidRPr="00D22A73" w:rsidRDefault="00EE7C5D" w:rsidP="00EE7C5D">
      <w:pPr>
        <w:pStyle w:val="EndNoteBibliography"/>
        <w:spacing w:line="480" w:lineRule="auto"/>
        <w:ind w:left="720" w:hanging="720"/>
        <w:rPr>
          <w:noProof/>
        </w:rPr>
      </w:pPr>
      <w:r w:rsidRPr="00D22A73">
        <w:rPr>
          <w:noProof/>
        </w:rPr>
        <w:t>R Core Team. (2020). R: A language and environment for statistical computing. R Foundation for Statistical Computing. Vienna, Autria. Retrieved from https://www.R-project.org/</w:t>
      </w:r>
    </w:p>
    <w:p w14:paraId="042F5F20" w14:textId="77777777" w:rsidR="00EE7C5D" w:rsidRPr="00D22A73" w:rsidRDefault="00EE7C5D" w:rsidP="00EE7C5D">
      <w:pPr>
        <w:pStyle w:val="EndNoteBibliography"/>
        <w:spacing w:line="480" w:lineRule="auto"/>
        <w:ind w:left="720" w:hanging="720"/>
        <w:rPr>
          <w:noProof/>
        </w:rPr>
      </w:pPr>
      <w:r w:rsidRPr="00D22A73">
        <w:rPr>
          <w:noProof/>
        </w:rPr>
        <w:lastRenderedPageBreak/>
        <w:t xml:space="preserve">Ruble, L., Murray, D., McGrew, J. H., Brevoort, K., &amp; Wong, V. W. (2018). A preliminary study of activation, stress, and self-management of parents of children with autism spectrum disorder. </w:t>
      </w:r>
      <w:r w:rsidRPr="00D22A73">
        <w:rPr>
          <w:i/>
          <w:noProof/>
        </w:rPr>
        <w:t>Journal of child and family studies, 27</w:t>
      </w:r>
      <w:r w:rsidRPr="00D22A73">
        <w:rPr>
          <w:noProof/>
        </w:rPr>
        <w:t xml:space="preserve">(3), 825-834. </w:t>
      </w:r>
    </w:p>
    <w:p w14:paraId="2860FB6F" w14:textId="77777777" w:rsidR="00EE7C5D" w:rsidRPr="00D22A73" w:rsidRDefault="00EE7C5D" w:rsidP="00EE7C5D">
      <w:pPr>
        <w:pStyle w:val="EndNoteBibliography"/>
        <w:spacing w:line="480" w:lineRule="auto"/>
        <w:ind w:left="720" w:hanging="720"/>
        <w:rPr>
          <w:noProof/>
        </w:rPr>
      </w:pPr>
      <w:r w:rsidRPr="00D22A73">
        <w:rPr>
          <w:noProof/>
        </w:rPr>
        <w:t>Sjoberg, D. D., Curry, M., Hannum, M., Larmarange, J., Whiting, K., &amp; Zabor, E. C. (2021). gtsummary: Presentation-Ready Data Summary and Analytic Result Tables. R package version 1.4.1. Retrieved from https://CRAN.R-project.org/package=gtsummary</w:t>
      </w:r>
    </w:p>
    <w:p w14:paraId="2B9A9CA1" w14:textId="77777777" w:rsidR="00EE7C5D" w:rsidRPr="00D22A73" w:rsidRDefault="00EE7C5D" w:rsidP="00EE7C5D">
      <w:pPr>
        <w:pStyle w:val="EndNoteBibliography"/>
        <w:spacing w:line="480" w:lineRule="auto"/>
        <w:ind w:left="720" w:hanging="720"/>
        <w:rPr>
          <w:noProof/>
        </w:rPr>
      </w:pPr>
      <w:r w:rsidRPr="00D22A73">
        <w:rPr>
          <w:noProof/>
        </w:rPr>
        <w:t xml:space="preserve">Thomas, K. C., Stein, G. L., Williams, C. S., Jolles, M. P., Sleath, B. L., Martinez, M., . . . Morrissey, J. P. (2017). Fostering activation among Latino parents of children with mental health needs: an RCT. </w:t>
      </w:r>
      <w:r w:rsidRPr="00D22A73">
        <w:rPr>
          <w:i/>
          <w:noProof/>
        </w:rPr>
        <w:t>Psychiatric Services, 68</w:t>
      </w:r>
      <w:r w:rsidRPr="00D22A73">
        <w:rPr>
          <w:noProof/>
        </w:rPr>
        <w:t xml:space="preserve">(10), 1068-1075. </w:t>
      </w:r>
    </w:p>
    <w:p w14:paraId="65779504" w14:textId="77777777" w:rsidR="00EE7C5D" w:rsidRPr="00D22A73" w:rsidRDefault="00EE7C5D" w:rsidP="00EE7C5D">
      <w:pPr>
        <w:pStyle w:val="EndNoteBibliography"/>
        <w:spacing w:line="480" w:lineRule="auto"/>
        <w:ind w:left="720" w:hanging="720"/>
        <w:rPr>
          <w:noProof/>
        </w:rPr>
      </w:pPr>
      <w:r w:rsidRPr="00D22A73">
        <w:rPr>
          <w:noProof/>
        </w:rPr>
        <w:t xml:space="preserve">Tomblin, J. B., Harrison, M., Ambrose, S. E., Walker, E. A., Oleson, J. J., &amp; Moeller, M. P. (2015). Language outcomes in young children with mild to severe hearing loss. </w:t>
      </w:r>
      <w:r w:rsidRPr="00D22A73">
        <w:rPr>
          <w:i/>
          <w:noProof/>
        </w:rPr>
        <w:t>Ear and hearing, 36</w:t>
      </w:r>
      <w:r w:rsidRPr="00D22A73">
        <w:rPr>
          <w:noProof/>
        </w:rPr>
        <w:t xml:space="preserve">(0 1), 76S. </w:t>
      </w:r>
    </w:p>
    <w:p w14:paraId="379CB410" w14:textId="77777777" w:rsidR="00EE7C5D" w:rsidRPr="00D22A73" w:rsidRDefault="00EE7C5D" w:rsidP="00EE7C5D">
      <w:pPr>
        <w:pStyle w:val="EndNoteBibliography"/>
        <w:spacing w:line="480" w:lineRule="auto"/>
        <w:ind w:left="720" w:hanging="720"/>
        <w:rPr>
          <w:noProof/>
        </w:rPr>
      </w:pPr>
      <w:r w:rsidRPr="00D22A73">
        <w:rPr>
          <w:noProof/>
        </w:rPr>
        <w:t xml:space="preserve">Tomblin, J. B., Oleson, J., Ambrose, S. E., Walker, E. A., McCreery, R. W., &amp; Moeller, M. P. (2020). Aided hearing moderates the academic outcomes of children with mild to severe hearing loss. </w:t>
      </w:r>
      <w:r w:rsidRPr="00D22A73">
        <w:rPr>
          <w:i/>
          <w:noProof/>
        </w:rPr>
        <w:t>Ear and hearing, 41</w:t>
      </w:r>
      <w:r w:rsidRPr="00D22A73">
        <w:rPr>
          <w:noProof/>
        </w:rPr>
        <w:t xml:space="preserve">(4), 775-789. </w:t>
      </w:r>
    </w:p>
    <w:p w14:paraId="11B49C16" w14:textId="77777777" w:rsidR="00EE7C5D" w:rsidRPr="00D22A73" w:rsidRDefault="00EE7C5D" w:rsidP="00EE7C5D">
      <w:pPr>
        <w:pStyle w:val="EndNoteBibliography"/>
        <w:spacing w:line="480" w:lineRule="auto"/>
        <w:ind w:left="720" w:hanging="720"/>
        <w:rPr>
          <w:noProof/>
        </w:rPr>
      </w:pPr>
      <w:r w:rsidRPr="00D22A73">
        <w:rPr>
          <w:noProof/>
        </w:rPr>
        <w:t xml:space="preserve">Walker, E. A., Spratford, M., Moeller, M. P., Oleson, J., Ou, H., Roush, P., &amp; Jacobs, S. (2013). Predictors of hearing aid use time in children with mild-to-severe hearing loss. </w:t>
      </w:r>
    </w:p>
    <w:p w14:paraId="58D4BC67" w14:textId="77777777" w:rsidR="00EE7C5D" w:rsidRPr="00D22A73" w:rsidRDefault="00EE7C5D" w:rsidP="00EE7C5D">
      <w:pPr>
        <w:pStyle w:val="EndNoteBibliography"/>
        <w:spacing w:line="480" w:lineRule="auto"/>
        <w:ind w:left="720" w:hanging="720"/>
        <w:rPr>
          <w:noProof/>
        </w:rPr>
      </w:pPr>
      <w:r w:rsidRPr="00D22A73">
        <w:rPr>
          <w:noProof/>
        </w:rPr>
        <w:t xml:space="preserve">Wickham, H., Averick, M., Bryan, J., Chang, W., McGowan, L. D. A., François, R., . . . Hester, J. (2019). Welcome to the Tidyverse. </w:t>
      </w:r>
      <w:r w:rsidRPr="00D22A73">
        <w:rPr>
          <w:i/>
          <w:noProof/>
        </w:rPr>
        <w:t>Journal of Open Source Software, 4</w:t>
      </w:r>
      <w:r w:rsidRPr="00D22A73">
        <w:rPr>
          <w:noProof/>
        </w:rPr>
        <w:t xml:space="preserve">(43), 1686. </w:t>
      </w:r>
    </w:p>
    <w:p w14:paraId="744C8F09" w14:textId="77777777" w:rsidR="00EE7C5D" w:rsidRPr="00D22A73" w:rsidRDefault="00EE7C5D" w:rsidP="00EE7C5D">
      <w:pPr>
        <w:spacing w:line="480" w:lineRule="auto"/>
      </w:pPr>
    </w:p>
    <w:p w14:paraId="38184162" w14:textId="77777777" w:rsidR="00EE7C5D" w:rsidRPr="00D22A73" w:rsidRDefault="00EE7C5D" w:rsidP="00EE7C5D">
      <w:pPr>
        <w:spacing w:line="480" w:lineRule="auto"/>
      </w:pPr>
    </w:p>
    <w:p w14:paraId="159122D9" w14:textId="77777777" w:rsidR="00EE7C5D" w:rsidRPr="00D22A73" w:rsidRDefault="00EE7C5D" w:rsidP="00EE7C5D">
      <w:pPr>
        <w:spacing w:line="480" w:lineRule="auto"/>
      </w:pPr>
    </w:p>
    <w:tbl>
      <w:tblPr>
        <w:tblpPr w:leftFromText="180" w:rightFromText="180" w:vertAnchor="text" w:horzAnchor="margin" w:tblpY="-170"/>
        <w:tblW w:w="9360" w:type="dxa"/>
        <w:tblLook w:val="04A0" w:firstRow="1" w:lastRow="0" w:firstColumn="1" w:lastColumn="0" w:noHBand="0" w:noVBand="1"/>
      </w:tblPr>
      <w:tblGrid>
        <w:gridCol w:w="4285"/>
        <w:gridCol w:w="1769"/>
        <w:gridCol w:w="1788"/>
        <w:gridCol w:w="1518"/>
      </w:tblGrid>
      <w:tr w:rsidR="00EE7C5D" w:rsidRPr="00D22A73" w14:paraId="24484DD9" w14:textId="77777777" w:rsidTr="004005FF">
        <w:trPr>
          <w:trHeight w:val="20"/>
        </w:trPr>
        <w:tc>
          <w:tcPr>
            <w:tcW w:w="9360" w:type="dxa"/>
            <w:gridSpan w:val="4"/>
            <w:tcBorders>
              <w:left w:val="nil"/>
              <w:right w:val="nil"/>
            </w:tcBorders>
            <w:shd w:val="clear" w:color="auto" w:fill="auto"/>
            <w:vAlign w:val="center"/>
          </w:tcPr>
          <w:p w14:paraId="7BF294ED" w14:textId="77777777" w:rsidR="00EE7C5D" w:rsidRPr="00D22A73" w:rsidRDefault="00EE7C5D" w:rsidP="004005FF">
            <w:r w:rsidRPr="00D22A73">
              <w:lastRenderedPageBreak/>
              <w:t xml:space="preserve">Table 1. Demographics of the sample. </w:t>
            </w:r>
          </w:p>
        </w:tc>
      </w:tr>
      <w:tr w:rsidR="00EE7C5D" w:rsidRPr="00D22A73" w14:paraId="2EE5B5BD" w14:textId="77777777" w:rsidTr="004005FF">
        <w:trPr>
          <w:trHeight w:val="20"/>
        </w:trPr>
        <w:tc>
          <w:tcPr>
            <w:tcW w:w="4285" w:type="dxa"/>
            <w:tcBorders>
              <w:top w:val="single" w:sz="4" w:space="0" w:color="auto"/>
              <w:left w:val="nil"/>
              <w:right w:val="nil"/>
            </w:tcBorders>
            <w:shd w:val="clear" w:color="auto" w:fill="auto"/>
            <w:vAlign w:val="center"/>
          </w:tcPr>
          <w:p w14:paraId="04DF3A27" w14:textId="77777777" w:rsidR="00EE7C5D" w:rsidRPr="00D22A73" w:rsidRDefault="00EE7C5D" w:rsidP="004005FF">
            <w:pPr>
              <w:rPr>
                <w:szCs w:val="22"/>
              </w:rPr>
            </w:pPr>
          </w:p>
        </w:tc>
        <w:tc>
          <w:tcPr>
            <w:tcW w:w="1769" w:type="dxa"/>
            <w:vMerge w:val="restart"/>
            <w:tcBorders>
              <w:top w:val="single" w:sz="4" w:space="0" w:color="auto"/>
              <w:left w:val="nil"/>
              <w:right w:val="nil"/>
            </w:tcBorders>
          </w:tcPr>
          <w:p w14:paraId="02C6A61D" w14:textId="77777777" w:rsidR="00EE7C5D" w:rsidRPr="00D22A73" w:rsidRDefault="00EE7C5D" w:rsidP="004005FF">
            <w:pPr>
              <w:rPr>
                <w:b/>
                <w:bCs/>
                <w:szCs w:val="22"/>
              </w:rPr>
            </w:pPr>
            <w:r w:rsidRPr="00D22A73">
              <w:rPr>
                <w:b/>
                <w:bCs/>
                <w:szCs w:val="22"/>
              </w:rPr>
              <w:t xml:space="preserve">Overall </w:t>
            </w:r>
          </w:p>
          <w:p w14:paraId="19DF6601" w14:textId="77777777" w:rsidR="00EE7C5D" w:rsidRPr="00D22A73" w:rsidRDefault="00EE7C5D" w:rsidP="004005FF">
            <w:pPr>
              <w:rPr>
                <w:b/>
                <w:bCs/>
                <w:szCs w:val="22"/>
              </w:rPr>
            </w:pPr>
            <w:r w:rsidRPr="00D22A73">
              <w:rPr>
                <w:b/>
                <w:bCs/>
                <w:szCs w:val="22"/>
              </w:rPr>
              <w:t>Sample</w:t>
            </w:r>
          </w:p>
        </w:tc>
        <w:tc>
          <w:tcPr>
            <w:tcW w:w="3306" w:type="dxa"/>
            <w:gridSpan w:val="2"/>
            <w:tcBorders>
              <w:top w:val="single" w:sz="4" w:space="0" w:color="auto"/>
              <w:left w:val="nil"/>
              <w:bottom w:val="single" w:sz="4" w:space="0" w:color="auto"/>
              <w:right w:val="nil"/>
            </w:tcBorders>
            <w:shd w:val="clear" w:color="auto" w:fill="auto"/>
            <w:vAlign w:val="center"/>
          </w:tcPr>
          <w:p w14:paraId="2A58E213" w14:textId="77777777" w:rsidR="00EE7C5D" w:rsidRPr="00D22A73" w:rsidRDefault="00EE7C5D" w:rsidP="004005FF">
            <w:pPr>
              <w:jc w:val="center"/>
              <w:rPr>
                <w:b/>
                <w:bCs/>
                <w:szCs w:val="22"/>
              </w:rPr>
            </w:pPr>
            <w:r w:rsidRPr="00D22A73">
              <w:rPr>
                <w:b/>
                <w:bCs/>
                <w:szCs w:val="22"/>
              </w:rPr>
              <w:t>Randomized Groups</w:t>
            </w:r>
          </w:p>
        </w:tc>
      </w:tr>
      <w:tr w:rsidR="00EE7C5D" w:rsidRPr="00D22A73" w14:paraId="1EF7CCA1" w14:textId="77777777" w:rsidTr="004005FF">
        <w:trPr>
          <w:trHeight w:val="20"/>
        </w:trPr>
        <w:tc>
          <w:tcPr>
            <w:tcW w:w="4285" w:type="dxa"/>
            <w:tcBorders>
              <w:left w:val="nil"/>
              <w:bottom w:val="nil"/>
              <w:right w:val="nil"/>
            </w:tcBorders>
            <w:shd w:val="clear" w:color="auto" w:fill="auto"/>
            <w:vAlign w:val="center"/>
            <w:hideMark/>
          </w:tcPr>
          <w:p w14:paraId="3D79EE66" w14:textId="77777777" w:rsidR="00EE7C5D" w:rsidRPr="00D22A73" w:rsidRDefault="00EE7C5D" w:rsidP="004005FF">
            <w:pPr>
              <w:rPr>
                <w:szCs w:val="22"/>
              </w:rPr>
            </w:pPr>
            <w:r w:rsidRPr="00D22A73">
              <w:rPr>
                <w:szCs w:val="22"/>
              </w:rPr>
              <w:t> </w:t>
            </w:r>
          </w:p>
        </w:tc>
        <w:tc>
          <w:tcPr>
            <w:tcW w:w="1769" w:type="dxa"/>
            <w:vMerge/>
            <w:tcBorders>
              <w:left w:val="nil"/>
              <w:bottom w:val="nil"/>
              <w:right w:val="nil"/>
            </w:tcBorders>
          </w:tcPr>
          <w:p w14:paraId="09BB97A0" w14:textId="77777777" w:rsidR="00EE7C5D" w:rsidRPr="00D22A73" w:rsidRDefault="00EE7C5D" w:rsidP="004005FF">
            <w:pPr>
              <w:rPr>
                <w:b/>
                <w:bCs/>
                <w:szCs w:val="22"/>
              </w:rPr>
            </w:pPr>
          </w:p>
        </w:tc>
        <w:tc>
          <w:tcPr>
            <w:tcW w:w="1788" w:type="dxa"/>
            <w:tcBorders>
              <w:top w:val="single" w:sz="4" w:space="0" w:color="auto"/>
              <w:left w:val="nil"/>
              <w:bottom w:val="nil"/>
              <w:right w:val="nil"/>
            </w:tcBorders>
            <w:shd w:val="clear" w:color="auto" w:fill="auto"/>
            <w:vAlign w:val="center"/>
            <w:hideMark/>
          </w:tcPr>
          <w:p w14:paraId="7CB47D0F" w14:textId="77777777" w:rsidR="00EE7C5D" w:rsidRPr="00D22A73" w:rsidRDefault="00EE7C5D" w:rsidP="004005FF">
            <w:pPr>
              <w:rPr>
                <w:b/>
                <w:bCs/>
                <w:szCs w:val="22"/>
              </w:rPr>
            </w:pPr>
            <w:r w:rsidRPr="00D22A73">
              <w:rPr>
                <w:b/>
                <w:bCs/>
                <w:szCs w:val="22"/>
              </w:rPr>
              <w:t>Intervention</w:t>
            </w:r>
          </w:p>
        </w:tc>
        <w:tc>
          <w:tcPr>
            <w:tcW w:w="1518" w:type="dxa"/>
            <w:tcBorders>
              <w:top w:val="single" w:sz="4" w:space="0" w:color="auto"/>
              <w:left w:val="nil"/>
              <w:bottom w:val="nil"/>
              <w:right w:val="nil"/>
            </w:tcBorders>
            <w:shd w:val="clear" w:color="auto" w:fill="auto"/>
            <w:vAlign w:val="center"/>
            <w:hideMark/>
          </w:tcPr>
          <w:p w14:paraId="332EA189" w14:textId="77777777" w:rsidR="00EE7C5D" w:rsidRPr="00D22A73" w:rsidRDefault="00EE7C5D" w:rsidP="004005FF">
            <w:pPr>
              <w:rPr>
                <w:b/>
                <w:bCs/>
                <w:szCs w:val="22"/>
              </w:rPr>
            </w:pPr>
            <w:r w:rsidRPr="00D22A73">
              <w:rPr>
                <w:b/>
                <w:bCs/>
                <w:szCs w:val="22"/>
              </w:rPr>
              <w:t>TAU</w:t>
            </w:r>
          </w:p>
        </w:tc>
      </w:tr>
      <w:tr w:rsidR="00EE7C5D" w:rsidRPr="00D22A73" w14:paraId="1A78E1E2" w14:textId="77777777" w:rsidTr="004005FF">
        <w:trPr>
          <w:trHeight w:val="20"/>
        </w:trPr>
        <w:tc>
          <w:tcPr>
            <w:tcW w:w="4285" w:type="dxa"/>
            <w:tcBorders>
              <w:top w:val="nil"/>
              <w:left w:val="nil"/>
              <w:bottom w:val="single" w:sz="4" w:space="0" w:color="auto"/>
              <w:right w:val="nil"/>
            </w:tcBorders>
            <w:shd w:val="clear" w:color="auto" w:fill="auto"/>
            <w:vAlign w:val="center"/>
            <w:hideMark/>
          </w:tcPr>
          <w:p w14:paraId="2371F762" w14:textId="77777777" w:rsidR="00EE7C5D" w:rsidRPr="00D22A73" w:rsidRDefault="00EE7C5D" w:rsidP="004005FF">
            <w:pPr>
              <w:rPr>
                <w:b/>
                <w:bCs/>
                <w:szCs w:val="22"/>
              </w:rPr>
            </w:pPr>
            <w:r w:rsidRPr="00D22A73">
              <w:rPr>
                <w:b/>
                <w:bCs/>
                <w:szCs w:val="22"/>
              </w:rPr>
              <w:t>Demographic Characteristics</w:t>
            </w:r>
          </w:p>
        </w:tc>
        <w:tc>
          <w:tcPr>
            <w:tcW w:w="1769" w:type="dxa"/>
            <w:tcBorders>
              <w:top w:val="nil"/>
              <w:left w:val="nil"/>
              <w:bottom w:val="single" w:sz="4" w:space="0" w:color="auto"/>
              <w:right w:val="nil"/>
            </w:tcBorders>
          </w:tcPr>
          <w:p w14:paraId="662C3B99" w14:textId="77777777" w:rsidR="00EE7C5D" w:rsidRPr="00D22A73" w:rsidRDefault="00EE7C5D" w:rsidP="004005FF">
            <w:pPr>
              <w:rPr>
                <w:szCs w:val="22"/>
              </w:rPr>
            </w:pPr>
            <w:r w:rsidRPr="00D22A73">
              <w:rPr>
                <w:szCs w:val="22"/>
              </w:rPr>
              <w:t>(N = 78)</w:t>
            </w:r>
          </w:p>
        </w:tc>
        <w:tc>
          <w:tcPr>
            <w:tcW w:w="1788" w:type="dxa"/>
            <w:tcBorders>
              <w:top w:val="nil"/>
              <w:left w:val="nil"/>
              <w:bottom w:val="single" w:sz="4" w:space="0" w:color="auto"/>
              <w:right w:val="nil"/>
            </w:tcBorders>
            <w:shd w:val="clear" w:color="auto" w:fill="auto"/>
            <w:vAlign w:val="center"/>
            <w:hideMark/>
          </w:tcPr>
          <w:p w14:paraId="49F743FC" w14:textId="77777777" w:rsidR="00EE7C5D" w:rsidRPr="00D22A73" w:rsidRDefault="00EE7C5D" w:rsidP="004005FF">
            <w:pPr>
              <w:rPr>
                <w:szCs w:val="22"/>
              </w:rPr>
            </w:pPr>
            <w:r w:rsidRPr="00D22A73">
              <w:rPr>
                <w:szCs w:val="22"/>
              </w:rPr>
              <w:t>(N = 37)</w:t>
            </w:r>
          </w:p>
        </w:tc>
        <w:tc>
          <w:tcPr>
            <w:tcW w:w="1518" w:type="dxa"/>
            <w:tcBorders>
              <w:top w:val="nil"/>
              <w:left w:val="nil"/>
              <w:bottom w:val="single" w:sz="4" w:space="0" w:color="auto"/>
              <w:right w:val="nil"/>
            </w:tcBorders>
            <w:shd w:val="clear" w:color="auto" w:fill="auto"/>
            <w:vAlign w:val="center"/>
            <w:hideMark/>
          </w:tcPr>
          <w:p w14:paraId="2DF7E780" w14:textId="77777777" w:rsidR="00EE7C5D" w:rsidRPr="00D22A73" w:rsidRDefault="00EE7C5D" w:rsidP="004005FF">
            <w:pPr>
              <w:rPr>
                <w:szCs w:val="22"/>
              </w:rPr>
            </w:pPr>
            <w:r w:rsidRPr="00D22A73">
              <w:rPr>
                <w:szCs w:val="22"/>
              </w:rPr>
              <w:t>(N = 41)</w:t>
            </w:r>
          </w:p>
        </w:tc>
      </w:tr>
      <w:tr w:rsidR="00EE7C5D" w:rsidRPr="00D22A73" w14:paraId="49183B7F" w14:textId="77777777" w:rsidTr="004005FF">
        <w:trPr>
          <w:trHeight w:val="20"/>
        </w:trPr>
        <w:tc>
          <w:tcPr>
            <w:tcW w:w="4285" w:type="dxa"/>
            <w:tcBorders>
              <w:top w:val="nil"/>
              <w:left w:val="nil"/>
              <w:bottom w:val="nil"/>
              <w:right w:val="nil"/>
            </w:tcBorders>
            <w:shd w:val="clear" w:color="auto" w:fill="auto"/>
            <w:vAlign w:val="center"/>
            <w:hideMark/>
          </w:tcPr>
          <w:p w14:paraId="2A7E6069" w14:textId="77777777" w:rsidR="00EE7C5D" w:rsidRPr="00D22A73" w:rsidRDefault="00EE7C5D" w:rsidP="004005FF">
            <w:pPr>
              <w:rPr>
                <w:szCs w:val="22"/>
              </w:rPr>
            </w:pPr>
            <w:r w:rsidRPr="00D22A73">
              <w:rPr>
                <w:szCs w:val="22"/>
              </w:rPr>
              <w:t>Child age in month, median (IQR)</w:t>
            </w:r>
          </w:p>
        </w:tc>
        <w:tc>
          <w:tcPr>
            <w:tcW w:w="1769" w:type="dxa"/>
            <w:tcBorders>
              <w:top w:val="nil"/>
              <w:left w:val="nil"/>
              <w:bottom w:val="nil"/>
              <w:right w:val="nil"/>
            </w:tcBorders>
          </w:tcPr>
          <w:p w14:paraId="4D4576A8" w14:textId="77777777" w:rsidR="00EE7C5D" w:rsidRPr="00D22A73" w:rsidRDefault="00EE7C5D" w:rsidP="004005FF">
            <w:pPr>
              <w:rPr>
                <w:szCs w:val="22"/>
              </w:rPr>
            </w:pPr>
            <w:r w:rsidRPr="00D22A73">
              <w:rPr>
                <w:szCs w:val="22"/>
              </w:rPr>
              <w:t>14 (8, 25)</w:t>
            </w:r>
          </w:p>
        </w:tc>
        <w:tc>
          <w:tcPr>
            <w:tcW w:w="1788" w:type="dxa"/>
            <w:tcBorders>
              <w:top w:val="nil"/>
              <w:left w:val="nil"/>
              <w:bottom w:val="nil"/>
              <w:right w:val="nil"/>
            </w:tcBorders>
            <w:shd w:val="clear" w:color="auto" w:fill="auto"/>
            <w:vAlign w:val="center"/>
            <w:hideMark/>
          </w:tcPr>
          <w:p w14:paraId="7CE5F50D" w14:textId="77777777" w:rsidR="00EE7C5D" w:rsidRPr="00D22A73" w:rsidRDefault="00EE7C5D" w:rsidP="004005FF">
            <w:pPr>
              <w:rPr>
                <w:szCs w:val="22"/>
              </w:rPr>
            </w:pPr>
            <w:r w:rsidRPr="00D22A73">
              <w:rPr>
                <w:szCs w:val="22"/>
              </w:rPr>
              <w:t>12 (6, 24)</w:t>
            </w:r>
          </w:p>
        </w:tc>
        <w:tc>
          <w:tcPr>
            <w:tcW w:w="1518" w:type="dxa"/>
            <w:tcBorders>
              <w:top w:val="nil"/>
              <w:left w:val="nil"/>
              <w:bottom w:val="nil"/>
              <w:right w:val="nil"/>
            </w:tcBorders>
            <w:shd w:val="clear" w:color="auto" w:fill="auto"/>
            <w:vAlign w:val="center"/>
            <w:hideMark/>
          </w:tcPr>
          <w:p w14:paraId="1CF6F4C0" w14:textId="77777777" w:rsidR="00EE7C5D" w:rsidRPr="00D22A73" w:rsidRDefault="00EE7C5D" w:rsidP="004005FF">
            <w:pPr>
              <w:rPr>
                <w:szCs w:val="22"/>
              </w:rPr>
            </w:pPr>
            <w:r w:rsidRPr="00D22A73">
              <w:rPr>
                <w:szCs w:val="22"/>
              </w:rPr>
              <w:t>18 (8,25)</w:t>
            </w:r>
          </w:p>
        </w:tc>
      </w:tr>
      <w:tr w:rsidR="00EE7C5D" w:rsidRPr="00D22A73" w14:paraId="16F331E8" w14:textId="77777777" w:rsidTr="004005FF">
        <w:trPr>
          <w:trHeight w:val="20"/>
        </w:trPr>
        <w:tc>
          <w:tcPr>
            <w:tcW w:w="4285" w:type="dxa"/>
            <w:tcBorders>
              <w:top w:val="nil"/>
              <w:left w:val="nil"/>
              <w:bottom w:val="nil"/>
              <w:right w:val="nil"/>
            </w:tcBorders>
            <w:shd w:val="clear" w:color="auto" w:fill="auto"/>
            <w:vAlign w:val="center"/>
            <w:hideMark/>
          </w:tcPr>
          <w:p w14:paraId="41AF577F" w14:textId="77777777" w:rsidR="00EE7C5D" w:rsidRPr="00D22A73" w:rsidRDefault="00EE7C5D" w:rsidP="004005FF">
            <w:pPr>
              <w:rPr>
                <w:szCs w:val="22"/>
              </w:rPr>
            </w:pPr>
            <w:r w:rsidRPr="00D22A73">
              <w:rPr>
                <w:szCs w:val="22"/>
              </w:rPr>
              <w:t>Child gender - female, % (n)</w:t>
            </w:r>
          </w:p>
        </w:tc>
        <w:tc>
          <w:tcPr>
            <w:tcW w:w="1769" w:type="dxa"/>
            <w:tcBorders>
              <w:top w:val="nil"/>
              <w:left w:val="nil"/>
              <w:bottom w:val="nil"/>
              <w:right w:val="nil"/>
            </w:tcBorders>
          </w:tcPr>
          <w:p w14:paraId="7EBC6D3D" w14:textId="77777777" w:rsidR="00EE7C5D" w:rsidRPr="00D22A73" w:rsidRDefault="00EE7C5D" w:rsidP="004005FF">
            <w:pPr>
              <w:rPr>
                <w:szCs w:val="22"/>
              </w:rPr>
            </w:pPr>
            <w:r w:rsidRPr="00D22A73">
              <w:rPr>
                <w:szCs w:val="22"/>
              </w:rPr>
              <w:t>42 (33)</w:t>
            </w:r>
          </w:p>
        </w:tc>
        <w:tc>
          <w:tcPr>
            <w:tcW w:w="1788" w:type="dxa"/>
            <w:tcBorders>
              <w:top w:val="nil"/>
              <w:left w:val="nil"/>
              <w:bottom w:val="nil"/>
              <w:right w:val="nil"/>
            </w:tcBorders>
            <w:shd w:val="clear" w:color="auto" w:fill="auto"/>
            <w:vAlign w:val="center"/>
            <w:hideMark/>
          </w:tcPr>
          <w:p w14:paraId="1DB7AFA7" w14:textId="77777777" w:rsidR="00EE7C5D" w:rsidRPr="00D22A73" w:rsidRDefault="00EE7C5D" w:rsidP="004005FF">
            <w:pPr>
              <w:rPr>
                <w:szCs w:val="22"/>
              </w:rPr>
            </w:pPr>
            <w:r w:rsidRPr="00D22A73">
              <w:rPr>
                <w:szCs w:val="22"/>
              </w:rPr>
              <w:t>38 (14)</w:t>
            </w:r>
          </w:p>
        </w:tc>
        <w:tc>
          <w:tcPr>
            <w:tcW w:w="1518" w:type="dxa"/>
            <w:tcBorders>
              <w:top w:val="nil"/>
              <w:left w:val="nil"/>
              <w:bottom w:val="nil"/>
              <w:right w:val="nil"/>
            </w:tcBorders>
            <w:shd w:val="clear" w:color="auto" w:fill="auto"/>
            <w:vAlign w:val="center"/>
            <w:hideMark/>
          </w:tcPr>
          <w:p w14:paraId="2ADA6220" w14:textId="77777777" w:rsidR="00EE7C5D" w:rsidRPr="00D22A73" w:rsidRDefault="00EE7C5D" w:rsidP="004005FF">
            <w:pPr>
              <w:rPr>
                <w:szCs w:val="22"/>
              </w:rPr>
            </w:pPr>
            <w:r w:rsidRPr="00D22A73">
              <w:rPr>
                <w:szCs w:val="22"/>
              </w:rPr>
              <w:t>46 (19)</w:t>
            </w:r>
          </w:p>
        </w:tc>
      </w:tr>
      <w:tr w:rsidR="00EE7C5D" w:rsidRPr="00D22A73" w14:paraId="68BDCC1B" w14:textId="77777777" w:rsidTr="004005FF">
        <w:trPr>
          <w:trHeight w:val="20"/>
        </w:trPr>
        <w:tc>
          <w:tcPr>
            <w:tcW w:w="4285" w:type="dxa"/>
            <w:tcBorders>
              <w:top w:val="nil"/>
              <w:left w:val="nil"/>
              <w:bottom w:val="nil"/>
              <w:right w:val="nil"/>
            </w:tcBorders>
            <w:shd w:val="clear" w:color="auto" w:fill="auto"/>
            <w:vAlign w:val="center"/>
            <w:hideMark/>
          </w:tcPr>
          <w:p w14:paraId="0ACE4150" w14:textId="77777777" w:rsidR="00EE7C5D" w:rsidRPr="00D22A73" w:rsidRDefault="00EE7C5D" w:rsidP="004005FF">
            <w:pPr>
              <w:rPr>
                <w:szCs w:val="22"/>
              </w:rPr>
            </w:pPr>
            <w:r w:rsidRPr="00D22A73">
              <w:rPr>
                <w:szCs w:val="22"/>
              </w:rPr>
              <w:t>Hearing loss laterality, % (n)</w:t>
            </w:r>
          </w:p>
        </w:tc>
        <w:tc>
          <w:tcPr>
            <w:tcW w:w="1769" w:type="dxa"/>
            <w:tcBorders>
              <w:top w:val="nil"/>
              <w:left w:val="nil"/>
              <w:bottom w:val="nil"/>
              <w:right w:val="nil"/>
            </w:tcBorders>
          </w:tcPr>
          <w:p w14:paraId="25AC5E19" w14:textId="77777777" w:rsidR="00EE7C5D" w:rsidRPr="00D22A73" w:rsidRDefault="00EE7C5D" w:rsidP="004005FF">
            <w:pPr>
              <w:rPr>
                <w:szCs w:val="22"/>
              </w:rPr>
            </w:pPr>
          </w:p>
        </w:tc>
        <w:tc>
          <w:tcPr>
            <w:tcW w:w="1788" w:type="dxa"/>
            <w:tcBorders>
              <w:top w:val="nil"/>
              <w:left w:val="nil"/>
              <w:bottom w:val="nil"/>
              <w:right w:val="nil"/>
            </w:tcBorders>
            <w:shd w:val="clear" w:color="auto" w:fill="auto"/>
            <w:vAlign w:val="center"/>
            <w:hideMark/>
          </w:tcPr>
          <w:p w14:paraId="60A2BC39" w14:textId="77777777" w:rsidR="00EE7C5D" w:rsidRPr="00D22A73" w:rsidRDefault="00EE7C5D" w:rsidP="004005FF">
            <w:pPr>
              <w:rPr>
                <w:szCs w:val="22"/>
              </w:rPr>
            </w:pPr>
          </w:p>
        </w:tc>
        <w:tc>
          <w:tcPr>
            <w:tcW w:w="1518" w:type="dxa"/>
            <w:tcBorders>
              <w:top w:val="nil"/>
              <w:left w:val="nil"/>
              <w:bottom w:val="nil"/>
              <w:right w:val="nil"/>
            </w:tcBorders>
            <w:shd w:val="clear" w:color="auto" w:fill="auto"/>
            <w:vAlign w:val="center"/>
            <w:hideMark/>
          </w:tcPr>
          <w:p w14:paraId="5E1BBA0F" w14:textId="77777777" w:rsidR="00EE7C5D" w:rsidRPr="00D22A73" w:rsidRDefault="00EE7C5D" w:rsidP="004005FF">
            <w:pPr>
              <w:rPr>
                <w:szCs w:val="22"/>
              </w:rPr>
            </w:pPr>
          </w:p>
        </w:tc>
      </w:tr>
      <w:tr w:rsidR="00EE7C5D" w:rsidRPr="00D22A73" w14:paraId="34005989" w14:textId="77777777" w:rsidTr="004005FF">
        <w:trPr>
          <w:trHeight w:val="20"/>
        </w:trPr>
        <w:tc>
          <w:tcPr>
            <w:tcW w:w="4285" w:type="dxa"/>
            <w:tcBorders>
              <w:top w:val="nil"/>
              <w:left w:val="nil"/>
              <w:bottom w:val="nil"/>
              <w:right w:val="nil"/>
            </w:tcBorders>
            <w:shd w:val="clear" w:color="auto" w:fill="auto"/>
            <w:vAlign w:val="center"/>
            <w:hideMark/>
          </w:tcPr>
          <w:p w14:paraId="544C0EE9" w14:textId="77777777" w:rsidR="00EE7C5D" w:rsidRPr="00D22A73" w:rsidRDefault="00EE7C5D" w:rsidP="004005FF">
            <w:pPr>
              <w:rPr>
                <w:szCs w:val="22"/>
              </w:rPr>
            </w:pPr>
            <w:r w:rsidRPr="00D22A73">
              <w:rPr>
                <w:szCs w:val="22"/>
              </w:rPr>
              <w:t xml:space="preserve">     Bilateral</w:t>
            </w:r>
          </w:p>
        </w:tc>
        <w:tc>
          <w:tcPr>
            <w:tcW w:w="1769" w:type="dxa"/>
            <w:tcBorders>
              <w:top w:val="nil"/>
              <w:left w:val="nil"/>
              <w:bottom w:val="nil"/>
              <w:right w:val="nil"/>
            </w:tcBorders>
          </w:tcPr>
          <w:p w14:paraId="04E4D817" w14:textId="77777777" w:rsidR="00EE7C5D" w:rsidRPr="00D22A73" w:rsidRDefault="00EE7C5D" w:rsidP="004005FF">
            <w:pPr>
              <w:rPr>
                <w:szCs w:val="22"/>
              </w:rPr>
            </w:pPr>
            <w:r w:rsidRPr="00D22A73">
              <w:rPr>
                <w:szCs w:val="22"/>
              </w:rPr>
              <w:t>89 (69)</w:t>
            </w:r>
          </w:p>
        </w:tc>
        <w:tc>
          <w:tcPr>
            <w:tcW w:w="1788" w:type="dxa"/>
            <w:tcBorders>
              <w:top w:val="nil"/>
              <w:left w:val="nil"/>
              <w:bottom w:val="nil"/>
              <w:right w:val="nil"/>
            </w:tcBorders>
            <w:shd w:val="clear" w:color="auto" w:fill="auto"/>
            <w:vAlign w:val="center"/>
            <w:hideMark/>
          </w:tcPr>
          <w:p w14:paraId="5A429CDB" w14:textId="77777777" w:rsidR="00EE7C5D" w:rsidRPr="00D22A73" w:rsidRDefault="00EE7C5D" w:rsidP="004005FF">
            <w:pPr>
              <w:rPr>
                <w:szCs w:val="22"/>
              </w:rPr>
            </w:pPr>
            <w:r w:rsidRPr="00D22A73">
              <w:rPr>
                <w:szCs w:val="22"/>
              </w:rPr>
              <w:t>81 (30)</w:t>
            </w:r>
          </w:p>
        </w:tc>
        <w:tc>
          <w:tcPr>
            <w:tcW w:w="1518" w:type="dxa"/>
            <w:tcBorders>
              <w:top w:val="nil"/>
              <w:left w:val="nil"/>
              <w:bottom w:val="nil"/>
              <w:right w:val="nil"/>
            </w:tcBorders>
            <w:shd w:val="clear" w:color="auto" w:fill="auto"/>
            <w:vAlign w:val="center"/>
            <w:hideMark/>
          </w:tcPr>
          <w:p w14:paraId="488867BB" w14:textId="77777777" w:rsidR="00EE7C5D" w:rsidRPr="00D22A73" w:rsidRDefault="00EE7C5D" w:rsidP="004005FF">
            <w:pPr>
              <w:rPr>
                <w:szCs w:val="22"/>
              </w:rPr>
            </w:pPr>
            <w:r w:rsidRPr="00D22A73">
              <w:rPr>
                <w:szCs w:val="22"/>
              </w:rPr>
              <w:t>95 (39)</w:t>
            </w:r>
          </w:p>
        </w:tc>
      </w:tr>
      <w:tr w:rsidR="00EE7C5D" w:rsidRPr="00D22A73" w14:paraId="07D012E2" w14:textId="77777777" w:rsidTr="004005FF">
        <w:trPr>
          <w:trHeight w:val="20"/>
        </w:trPr>
        <w:tc>
          <w:tcPr>
            <w:tcW w:w="4285" w:type="dxa"/>
            <w:tcBorders>
              <w:top w:val="nil"/>
              <w:left w:val="nil"/>
              <w:bottom w:val="nil"/>
              <w:right w:val="nil"/>
            </w:tcBorders>
            <w:shd w:val="clear" w:color="auto" w:fill="auto"/>
            <w:vAlign w:val="center"/>
            <w:hideMark/>
          </w:tcPr>
          <w:p w14:paraId="0C77A621" w14:textId="77777777" w:rsidR="00EE7C5D" w:rsidRPr="00D22A73" w:rsidRDefault="00EE7C5D" w:rsidP="004005FF">
            <w:pPr>
              <w:rPr>
                <w:szCs w:val="22"/>
              </w:rPr>
            </w:pPr>
            <w:r w:rsidRPr="00D22A73">
              <w:rPr>
                <w:szCs w:val="22"/>
              </w:rPr>
              <w:t>Hearing loss degree, % (n)</w:t>
            </w:r>
          </w:p>
        </w:tc>
        <w:tc>
          <w:tcPr>
            <w:tcW w:w="1769" w:type="dxa"/>
            <w:tcBorders>
              <w:top w:val="nil"/>
              <w:left w:val="nil"/>
              <w:bottom w:val="nil"/>
              <w:right w:val="nil"/>
            </w:tcBorders>
          </w:tcPr>
          <w:p w14:paraId="652CECCB" w14:textId="77777777" w:rsidR="00EE7C5D" w:rsidRPr="00D22A73" w:rsidRDefault="00EE7C5D" w:rsidP="004005FF">
            <w:pPr>
              <w:rPr>
                <w:szCs w:val="22"/>
              </w:rPr>
            </w:pPr>
          </w:p>
        </w:tc>
        <w:tc>
          <w:tcPr>
            <w:tcW w:w="1788" w:type="dxa"/>
            <w:tcBorders>
              <w:top w:val="nil"/>
              <w:left w:val="nil"/>
              <w:bottom w:val="nil"/>
              <w:right w:val="nil"/>
            </w:tcBorders>
            <w:shd w:val="clear" w:color="auto" w:fill="auto"/>
            <w:vAlign w:val="center"/>
            <w:hideMark/>
          </w:tcPr>
          <w:p w14:paraId="0785196B" w14:textId="77777777" w:rsidR="00EE7C5D" w:rsidRPr="00D22A73" w:rsidRDefault="00EE7C5D" w:rsidP="004005FF">
            <w:pPr>
              <w:rPr>
                <w:szCs w:val="22"/>
              </w:rPr>
            </w:pPr>
          </w:p>
        </w:tc>
        <w:tc>
          <w:tcPr>
            <w:tcW w:w="1518" w:type="dxa"/>
            <w:tcBorders>
              <w:top w:val="nil"/>
              <w:left w:val="nil"/>
              <w:bottom w:val="nil"/>
              <w:right w:val="nil"/>
            </w:tcBorders>
            <w:shd w:val="clear" w:color="auto" w:fill="auto"/>
            <w:vAlign w:val="center"/>
            <w:hideMark/>
          </w:tcPr>
          <w:p w14:paraId="182CC00B" w14:textId="77777777" w:rsidR="00EE7C5D" w:rsidRPr="00D22A73" w:rsidRDefault="00EE7C5D" w:rsidP="004005FF">
            <w:pPr>
              <w:rPr>
                <w:szCs w:val="22"/>
              </w:rPr>
            </w:pPr>
          </w:p>
        </w:tc>
      </w:tr>
      <w:tr w:rsidR="00EE7C5D" w:rsidRPr="00D22A73" w14:paraId="11CF6643" w14:textId="77777777" w:rsidTr="004005FF">
        <w:trPr>
          <w:trHeight w:val="20"/>
        </w:trPr>
        <w:tc>
          <w:tcPr>
            <w:tcW w:w="4285" w:type="dxa"/>
            <w:tcBorders>
              <w:top w:val="nil"/>
              <w:left w:val="nil"/>
              <w:bottom w:val="nil"/>
              <w:right w:val="nil"/>
            </w:tcBorders>
            <w:shd w:val="clear" w:color="auto" w:fill="auto"/>
            <w:vAlign w:val="center"/>
            <w:hideMark/>
          </w:tcPr>
          <w:p w14:paraId="54711402" w14:textId="77777777" w:rsidR="00EE7C5D" w:rsidRPr="00D22A73" w:rsidRDefault="00EE7C5D" w:rsidP="004005FF">
            <w:pPr>
              <w:rPr>
                <w:szCs w:val="22"/>
              </w:rPr>
            </w:pPr>
            <w:r w:rsidRPr="00D22A73">
              <w:rPr>
                <w:szCs w:val="22"/>
              </w:rPr>
              <w:t xml:space="preserve">     Mild</w:t>
            </w:r>
          </w:p>
        </w:tc>
        <w:tc>
          <w:tcPr>
            <w:tcW w:w="1769" w:type="dxa"/>
            <w:tcBorders>
              <w:top w:val="nil"/>
              <w:left w:val="nil"/>
              <w:bottom w:val="nil"/>
              <w:right w:val="nil"/>
            </w:tcBorders>
          </w:tcPr>
          <w:p w14:paraId="11197B81" w14:textId="77777777" w:rsidR="00EE7C5D" w:rsidRPr="00D22A73" w:rsidRDefault="00EE7C5D" w:rsidP="004005FF">
            <w:pPr>
              <w:rPr>
                <w:szCs w:val="22"/>
              </w:rPr>
            </w:pPr>
            <w:r w:rsidRPr="00D22A73">
              <w:rPr>
                <w:szCs w:val="22"/>
              </w:rPr>
              <w:t>21 (16)</w:t>
            </w:r>
          </w:p>
        </w:tc>
        <w:tc>
          <w:tcPr>
            <w:tcW w:w="1788" w:type="dxa"/>
            <w:tcBorders>
              <w:top w:val="nil"/>
              <w:left w:val="nil"/>
              <w:bottom w:val="nil"/>
              <w:right w:val="nil"/>
            </w:tcBorders>
            <w:shd w:val="clear" w:color="auto" w:fill="auto"/>
            <w:vAlign w:val="center"/>
            <w:hideMark/>
          </w:tcPr>
          <w:p w14:paraId="19A3B11F" w14:textId="77777777" w:rsidR="00EE7C5D" w:rsidRPr="00D22A73" w:rsidRDefault="00EE7C5D" w:rsidP="004005FF">
            <w:pPr>
              <w:rPr>
                <w:szCs w:val="22"/>
              </w:rPr>
            </w:pPr>
            <w:r w:rsidRPr="00D22A73">
              <w:rPr>
                <w:szCs w:val="22"/>
              </w:rPr>
              <w:t>14 (5)</w:t>
            </w:r>
          </w:p>
        </w:tc>
        <w:tc>
          <w:tcPr>
            <w:tcW w:w="1518" w:type="dxa"/>
            <w:tcBorders>
              <w:top w:val="nil"/>
              <w:left w:val="nil"/>
              <w:bottom w:val="nil"/>
              <w:right w:val="nil"/>
            </w:tcBorders>
            <w:shd w:val="clear" w:color="auto" w:fill="auto"/>
            <w:vAlign w:val="center"/>
            <w:hideMark/>
          </w:tcPr>
          <w:p w14:paraId="37CEC103" w14:textId="77777777" w:rsidR="00EE7C5D" w:rsidRPr="00D22A73" w:rsidRDefault="00EE7C5D" w:rsidP="004005FF">
            <w:pPr>
              <w:rPr>
                <w:szCs w:val="22"/>
              </w:rPr>
            </w:pPr>
            <w:r w:rsidRPr="00D22A73">
              <w:rPr>
                <w:szCs w:val="22"/>
              </w:rPr>
              <w:t>27 (11)</w:t>
            </w:r>
          </w:p>
        </w:tc>
      </w:tr>
      <w:tr w:rsidR="00EE7C5D" w:rsidRPr="00D22A73" w14:paraId="3E5CFFED" w14:textId="77777777" w:rsidTr="004005FF">
        <w:trPr>
          <w:trHeight w:val="20"/>
        </w:trPr>
        <w:tc>
          <w:tcPr>
            <w:tcW w:w="4285" w:type="dxa"/>
            <w:tcBorders>
              <w:top w:val="nil"/>
              <w:left w:val="nil"/>
              <w:bottom w:val="nil"/>
              <w:right w:val="nil"/>
            </w:tcBorders>
            <w:shd w:val="clear" w:color="auto" w:fill="auto"/>
            <w:vAlign w:val="center"/>
          </w:tcPr>
          <w:p w14:paraId="5C92C778" w14:textId="77777777" w:rsidR="00EE7C5D" w:rsidRPr="00D22A73" w:rsidRDefault="00EE7C5D" w:rsidP="004005FF">
            <w:pPr>
              <w:rPr>
                <w:szCs w:val="22"/>
              </w:rPr>
            </w:pPr>
            <w:r w:rsidRPr="00D22A73">
              <w:rPr>
                <w:szCs w:val="22"/>
              </w:rPr>
              <w:t xml:space="preserve">     Moderate</w:t>
            </w:r>
          </w:p>
        </w:tc>
        <w:tc>
          <w:tcPr>
            <w:tcW w:w="1769" w:type="dxa"/>
            <w:tcBorders>
              <w:top w:val="nil"/>
              <w:left w:val="nil"/>
              <w:bottom w:val="nil"/>
              <w:right w:val="nil"/>
            </w:tcBorders>
          </w:tcPr>
          <w:p w14:paraId="05FB2A1A" w14:textId="77777777" w:rsidR="00EE7C5D" w:rsidRPr="00D22A73" w:rsidRDefault="00EE7C5D" w:rsidP="004005FF">
            <w:pPr>
              <w:rPr>
                <w:szCs w:val="22"/>
              </w:rPr>
            </w:pPr>
            <w:r w:rsidRPr="00D22A73">
              <w:rPr>
                <w:szCs w:val="22"/>
              </w:rPr>
              <w:t>54 (42)</w:t>
            </w:r>
          </w:p>
        </w:tc>
        <w:tc>
          <w:tcPr>
            <w:tcW w:w="1788" w:type="dxa"/>
            <w:tcBorders>
              <w:top w:val="nil"/>
              <w:left w:val="nil"/>
              <w:bottom w:val="nil"/>
              <w:right w:val="nil"/>
            </w:tcBorders>
            <w:shd w:val="clear" w:color="auto" w:fill="auto"/>
            <w:vAlign w:val="center"/>
          </w:tcPr>
          <w:p w14:paraId="0F8AE351" w14:textId="77777777" w:rsidR="00EE7C5D" w:rsidRPr="00D22A73" w:rsidRDefault="00EE7C5D" w:rsidP="004005FF">
            <w:pPr>
              <w:rPr>
                <w:szCs w:val="22"/>
              </w:rPr>
            </w:pPr>
            <w:r w:rsidRPr="00D22A73">
              <w:rPr>
                <w:szCs w:val="22"/>
              </w:rPr>
              <w:t>57 (21)</w:t>
            </w:r>
          </w:p>
        </w:tc>
        <w:tc>
          <w:tcPr>
            <w:tcW w:w="1518" w:type="dxa"/>
            <w:tcBorders>
              <w:top w:val="nil"/>
              <w:left w:val="nil"/>
              <w:bottom w:val="nil"/>
              <w:right w:val="nil"/>
            </w:tcBorders>
            <w:shd w:val="clear" w:color="auto" w:fill="auto"/>
            <w:vAlign w:val="center"/>
          </w:tcPr>
          <w:p w14:paraId="5E3F52EC" w14:textId="77777777" w:rsidR="00EE7C5D" w:rsidRPr="00D22A73" w:rsidRDefault="00EE7C5D" w:rsidP="004005FF">
            <w:pPr>
              <w:rPr>
                <w:szCs w:val="22"/>
              </w:rPr>
            </w:pPr>
            <w:r w:rsidRPr="00D22A73">
              <w:rPr>
                <w:szCs w:val="22"/>
              </w:rPr>
              <w:t>51 (21)</w:t>
            </w:r>
          </w:p>
        </w:tc>
      </w:tr>
      <w:tr w:rsidR="00EE7C5D" w:rsidRPr="00D22A73" w14:paraId="12BE9E28" w14:textId="77777777" w:rsidTr="004005FF">
        <w:trPr>
          <w:trHeight w:val="20"/>
        </w:trPr>
        <w:tc>
          <w:tcPr>
            <w:tcW w:w="4285" w:type="dxa"/>
            <w:tcBorders>
              <w:top w:val="nil"/>
              <w:left w:val="nil"/>
              <w:bottom w:val="nil"/>
              <w:right w:val="nil"/>
            </w:tcBorders>
            <w:shd w:val="clear" w:color="auto" w:fill="auto"/>
            <w:vAlign w:val="center"/>
          </w:tcPr>
          <w:p w14:paraId="10D2F8EC" w14:textId="77777777" w:rsidR="00EE7C5D" w:rsidRPr="00D22A73" w:rsidRDefault="00EE7C5D" w:rsidP="004005FF">
            <w:pPr>
              <w:rPr>
                <w:szCs w:val="22"/>
              </w:rPr>
            </w:pPr>
            <w:r w:rsidRPr="00D22A73">
              <w:rPr>
                <w:szCs w:val="22"/>
              </w:rPr>
              <w:t xml:space="preserve">     Severe</w:t>
            </w:r>
          </w:p>
        </w:tc>
        <w:tc>
          <w:tcPr>
            <w:tcW w:w="1769" w:type="dxa"/>
            <w:tcBorders>
              <w:top w:val="nil"/>
              <w:left w:val="nil"/>
              <w:bottom w:val="nil"/>
              <w:right w:val="nil"/>
            </w:tcBorders>
          </w:tcPr>
          <w:p w14:paraId="08A436B3" w14:textId="77777777" w:rsidR="00EE7C5D" w:rsidRPr="00D22A73" w:rsidRDefault="00EE7C5D" w:rsidP="004005FF">
            <w:pPr>
              <w:rPr>
                <w:szCs w:val="22"/>
              </w:rPr>
            </w:pPr>
            <w:r w:rsidRPr="00D22A73">
              <w:rPr>
                <w:szCs w:val="22"/>
              </w:rPr>
              <w:t>15 (12)</w:t>
            </w:r>
          </w:p>
        </w:tc>
        <w:tc>
          <w:tcPr>
            <w:tcW w:w="1788" w:type="dxa"/>
            <w:tcBorders>
              <w:top w:val="nil"/>
              <w:left w:val="nil"/>
              <w:bottom w:val="nil"/>
              <w:right w:val="nil"/>
            </w:tcBorders>
            <w:shd w:val="clear" w:color="auto" w:fill="auto"/>
            <w:vAlign w:val="center"/>
          </w:tcPr>
          <w:p w14:paraId="1ED33703" w14:textId="77777777" w:rsidR="00EE7C5D" w:rsidRPr="00D22A73" w:rsidRDefault="00EE7C5D" w:rsidP="004005FF">
            <w:pPr>
              <w:rPr>
                <w:szCs w:val="22"/>
              </w:rPr>
            </w:pPr>
            <w:r w:rsidRPr="00D22A73">
              <w:rPr>
                <w:szCs w:val="22"/>
              </w:rPr>
              <w:t>19 (7)</w:t>
            </w:r>
          </w:p>
        </w:tc>
        <w:tc>
          <w:tcPr>
            <w:tcW w:w="1518" w:type="dxa"/>
            <w:tcBorders>
              <w:top w:val="nil"/>
              <w:left w:val="nil"/>
              <w:bottom w:val="nil"/>
              <w:right w:val="nil"/>
            </w:tcBorders>
            <w:shd w:val="clear" w:color="auto" w:fill="auto"/>
            <w:vAlign w:val="center"/>
          </w:tcPr>
          <w:p w14:paraId="27F23A98" w14:textId="77777777" w:rsidR="00EE7C5D" w:rsidRPr="00D22A73" w:rsidRDefault="00EE7C5D" w:rsidP="004005FF">
            <w:pPr>
              <w:rPr>
                <w:szCs w:val="22"/>
              </w:rPr>
            </w:pPr>
            <w:r w:rsidRPr="00D22A73">
              <w:rPr>
                <w:szCs w:val="22"/>
              </w:rPr>
              <w:t>12 (5)</w:t>
            </w:r>
          </w:p>
        </w:tc>
      </w:tr>
      <w:tr w:rsidR="00EE7C5D" w:rsidRPr="00D22A73" w14:paraId="5F25D2FE" w14:textId="77777777" w:rsidTr="004005FF">
        <w:trPr>
          <w:trHeight w:val="20"/>
        </w:trPr>
        <w:tc>
          <w:tcPr>
            <w:tcW w:w="4285" w:type="dxa"/>
            <w:tcBorders>
              <w:top w:val="nil"/>
              <w:left w:val="nil"/>
              <w:bottom w:val="nil"/>
              <w:right w:val="nil"/>
            </w:tcBorders>
            <w:shd w:val="clear" w:color="auto" w:fill="auto"/>
            <w:vAlign w:val="center"/>
            <w:hideMark/>
          </w:tcPr>
          <w:p w14:paraId="35C61C34" w14:textId="77777777" w:rsidR="00EE7C5D" w:rsidRPr="00D22A73" w:rsidRDefault="00EE7C5D" w:rsidP="004005FF">
            <w:pPr>
              <w:rPr>
                <w:szCs w:val="22"/>
              </w:rPr>
            </w:pPr>
            <w:r w:rsidRPr="00D22A73">
              <w:rPr>
                <w:szCs w:val="22"/>
              </w:rPr>
              <w:t xml:space="preserve">     Profound</w:t>
            </w:r>
          </w:p>
        </w:tc>
        <w:tc>
          <w:tcPr>
            <w:tcW w:w="1769" w:type="dxa"/>
            <w:tcBorders>
              <w:top w:val="nil"/>
              <w:left w:val="nil"/>
              <w:bottom w:val="nil"/>
              <w:right w:val="nil"/>
            </w:tcBorders>
          </w:tcPr>
          <w:p w14:paraId="0C34CF29" w14:textId="77777777" w:rsidR="00EE7C5D" w:rsidRPr="00D22A73" w:rsidRDefault="00EE7C5D" w:rsidP="004005FF">
            <w:pPr>
              <w:rPr>
                <w:szCs w:val="22"/>
              </w:rPr>
            </w:pPr>
            <w:r w:rsidRPr="00D22A73">
              <w:rPr>
                <w:szCs w:val="22"/>
              </w:rPr>
              <w:t>10 (8)</w:t>
            </w:r>
          </w:p>
        </w:tc>
        <w:tc>
          <w:tcPr>
            <w:tcW w:w="1788" w:type="dxa"/>
            <w:tcBorders>
              <w:top w:val="nil"/>
              <w:left w:val="nil"/>
              <w:bottom w:val="nil"/>
              <w:right w:val="nil"/>
            </w:tcBorders>
            <w:shd w:val="clear" w:color="auto" w:fill="auto"/>
            <w:vAlign w:val="center"/>
            <w:hideMark/>
          </w:tcPr>
          <w:p w14:paraId="60FC0A52" w14:textId="77777777" w:rsidR="00EE7C5D" w:rsidRPr="00D22A73" w:rsidRDefault="00EE7C5D" w:rsidP="004005FF">
            <w:pPr>
              <w:rPr>
                <w:szCs w:val="22"/>
              </w:rPr>
            </w:pPr>
            <w:r w:rsidRPr="00D22A73">
              <w:rPr>
                <w:szCs w:val="22"/>
              </w:rPr>
              <w:t>11 (4)</w:t>
            </w:r>
          </w:p>
        </w:tc>
        <w:tc>
          <w:tcPr>
            <w:tcW w:w="1518" w:type="dxa"/>
            <w:tcBorders>
              <w:top w:val="nil"/>
              <w:left w:val="nil"/>
              <w:bottom w:val="nil"/>
              <w:right w:val="nil"/>
            </w:tcBorders>
            <w:shd w:val="clear" w:color="auto" w:fill="auto"/>
            <w:vAlign w:val="center"/>
            <w:hideMark/>
          </w:tcPr>
          <w:p w14:paraId="4024CEFF" w14:textId="77777777" w:rsidR="00EE7C5D" w:rsidRPr="00D22A73" w:rsidRDefault="00EE7C5D" w:rsidP="004005FF">
            <w:pPr>
              <w:rPr>
                <w:szCs w:val="22"/>
              </w:rPr>
            </w:pPr>
            <w:r w:rsidRPr="00D22A73">
              <w:rPr>
                <w:szCs w:val="22"/>
              </w:rPr>
              <w:t>10 (4)</w:t>
            </w:r>
          </w:p>
        </w:tc>
      </w:tr>
      <w:tr w:rsidR="00EE7C5D" w:rsidRPr="00D22A73" w14:paraId="61C3F846" w14:textId="77777777" w:rsidTr="004005FF">
        <w:trPr>
          <w:trHeight w:val="20"/>
        </w:trPr>
        <w:tc>
          <w:tcPr>
            <w:tcW w:w="4285" w:type="dxa"/>
            <w:tcBorders>
              <w:top w:val="nil"/>
              <w:left w:val="nil"/>
              <w:bottom w:val="nil"/>
              <w:right w:val="nil"/>
            </w:tcBorders>
            <w:shd w:val="clear" w:color="auto" w:fill="auto"/>
            <w:vAlign w:val="center"/>
            <w:hideMark/>
          </w:tcPr>
          <w:p w14:paraId="491C499E" w14:textId="77777777" w:rsidR="00EE7C5D" w:rsidRPr="00D22A73" w:rsidRDefault="00EE7C5D" w:rsidP="004005FF">
            <w:pPr>
              <w:rPr>
                <w:szCs w:val="22"/>
              </w:rPr>
            </w:pPr>
            <w:r w:rsidRPr="00D22A73">
              <w:rPr>
                <w:szCs w:val="22"/>
              </w:rPr>
              <w:t>Additional disabilities - yes, % (n)</w:t>
            </w:r>
          </w:p>
        </w:tc>
        <w:tc>
          <w:tcPr>
            <w:tcW w:w="1769" w:type="dxa"/>
            <w:tcBorders>
              <w:top w:val="nil"/>
              <w:left w:val="nil"/>
              <w:bottom w:val="nil"/>
              <w:right w:val="nil"/>
            </w:tcBorders>
          </w:tcPr>
          <w:p w14:paraId="5D410917" w14:textId="77777777" w:rsidR="00EE7C5D" w:rsidRPr="00D22A73" w:rsidRDefault="00EE7C5D" w:rsidP="004005FF">
            <w:pPr>
              <w:rPr>
                <w:szCs w:val="22"/>
              </w:rPr>
            </w:pPr>
            <w:r w:rsidRPr="00D22A73">
              <w:rPr>
                <w:szCs w:val="22"/>
              </w:rPr>
              <w:t>32 (25)</w:t>
            </w:r>
          </w:p>
        </w:tc>
        <w:tc>
          <w:tcPr>
            <w:tcW w:w="1788" w:type="dxa"/>
            <w:tcBorders>
              <w:top w:val="nil"/>
              <w:left w:val="nil"/>
              <w:bottom w:val="nil"/>
              <w:right w:val="nil"/>
            </w:tcBorders>
            <w:shd w:val="clear" w:color="auto" w:fill="auto"/>
            <w:vAlign w:val="center"/>
            <w:hideMark/>
          </w:tcPr>
          <w:p w14:paraId="23069744" w14:textId="77777777" w:rsidR="00EE7C5D" w:rsidRPr="00D22A73" w:rsidRDefault="00EE7C5D" w:rsidP="004005FF">
            <w:pPr>
              <w:rPr>
                <w:szCs w:val="22"/>
              </w:rPr>
            </w:pPr>
            <w:r w:rsidRPr="00D22A73">
              <w:rPr>
                <w:szCs w:val="22"/>
              </w:rPr>
              <w:t>30 (11)</w:t>
            </w:r>
          </w:p>
        </w:tc>
        <w:tc>
          <w:tcPr>
            <w:tcW w:w="1518" w:type="dxa"/>
            <w:tcBorders>
              <w:top w:val="nil"/>
              <w:left w:val="nil"/>
              <w:bottom w:val="nil"/>
              <w:right w:val="nil"/>
            </w:tcBorders>
            <w:shd w:val="clear" w:color="auto" w:fill="auto"/>
            <w:vAlign w:val="center"/>
            <w:hideMark/>
          </w:tcPr>
          <w:p w14:paraId="4EE5D25C" w14:textId="77777777" w:rsidR="00EE7C5D" w:rsidRPr="00D22A73" w:rsidRDefault="00EE7C5D" w:rsidP="004005FF">
            <w:pPr>
              <w:rPr>
                <w:szCs w:val="22"/>
              </w:rPr>
            </w:pPr>
            <w:r w:rsidRPr="00D22A73">
              <w:rPr>
                <w:szCs w:val="22"/>
              </w:rPr>
              <w:t>34 (14)</w:t>
            </w:r>
          </w:p>
        </w:tc>
      </w:tr>
      <w:tr w:rsidR="00EE7C5D" w:rsidRPr="00D22A73" w14:paraId="1B3E3B48" w14:textId="77777777" w:rsidTr="004005FF">
        <w:trPr>
          <w:trHeight w:val="20"/>
        </w:trPr>
        <w:tc>
          <w:tcPr>
            <w:tcW w:w="4285" w:type="dxa"/>
            <w:tcBorders>
              <w:top w:val="nil"/>
              <w:left w:val="nil"/>
              <w:bottom w:val="nil"/>
              <w:right w:val="nil"/>
            </w:tcBorders>
            <w:shd w:val="clear" w:color="auto" w:fill="auto"/>
            <w:vAlign w:val="center"/>
            <w:hideMark/>
          </w:tcPr>
          <w:p w14:paraId="36188200" w14:textId="77777777" w:rsidR="00EE7C5D" w:rsidRPr="00D22A73" w:rsidRDefault="00EE7C5D" w:rsidP="004005FF">
            <w:pPr>
              <w:rPr>
                <w:szCs w:val="22"/>
              </w:rPr>
            </w:pPr>
            <w:r w:rsidRPr="00D22A73">
              <w:rPr>
                <w:szCs w:val="22"/>
              </w:rPr>
              <w:t>Child race, % (n)</w:t>
            </w:r>
          </w:p>
        </w:tc>
        <w:tc>
          <w:tcPr>
            <w:tcW w:w="1769" w:type="dxa"/>
            <w:tcBorders>
              <w:top w:val="nil"/>
              <w:left w:val="nil"/>
              <w:bottom w:val="nil"/>
              <w:right w:val="nil"/>
            </w:tcBorders>
          </w:tcPr>
          <w:p w14:paraId="65401B68" w14:textId="77777777" w:rsidR="00EE7C5D" w:rsidRPr="00D22A73" w:rsidRDefault="00EE7C5D" w:rsidP="004005FF">
            <w:pPr>
              <w:rPr>
                <w:szCs w:val="22"/>
              </w:rPr>
            </w:pPr>
          </w:p>
        </w:tc>
        <w:tc>
          <w:tcPr>
            <w:tcW w:w="1788" w:type="dxa"/>
            <w:tcBorders>
              <w:top w:val="nil"/>
              <w:left w:val="nil"/>
              <w:bottom w:val="nil"/>
              <w:right w:val="nil"/>
            </w:tcBorders>
            <w:shd w:val="clear" w:color="auto" w:fill="auto"/>
            <w:vAlign w:val="center"/>
            <w:hideMark/>
          </w:tcPr>
          <w:p w14:paraId="676843B7" w14:textId="77777777" w:rsidR="00EE7C5D" w:rsidRPr="00D22A73" w:rsidRDefault="00EE7C5D" w:rsidP="004005FF">
            <w:pPr>
              <w:rPr>
                <w:szCs w:val="22"/>
              </w:rPr>
            </w:pPr>
          </w:p>
        </w:tc>
        <w:tc>
          <w:tcPr>
            <w:tcW w:w="1518" w:type="dxa"/>
            <w:tcBorders>
              <w:top w:val="nil"/>
              <w:left w:val="nil"/>
              <w:bottom w:val="nil"/>
              <w:right w:val="nil"/>
            </w:tcBorders>
            <w:shd w:val="clear" w:color="auto" w:fill="auto"/>
            <w:vAlign w:val="center"/>
            <w:hideMark/>
          </w:tcPr>
          <w:p w14:paraId="25FAA2A4" w14:textId="77777777" w:rsidR="00EE7C5D" w:rsidRPr="00D22A73" w:rsidRDefault="00EE7C5D" w:rsidP="004005FF">
            <w:pPr>
              <w:rPr>
                <w:szCs w:val="22"/>
              </w:rPr>
            </w:pPr>
          </w:p>
        </w:tc>
      </w:tr>
      <w:tr w:rsidR="00EE7C5D" w:rsidRPr="00D22A73" w14:paraId="377A5038" w14:textId="77777777" w:rsidTr="004005FF">
        <w:trPr>
          <w:trHeight w:val="20"/>
        </w:trPr>
        <w:tc>
          <w:tcPr>
            <w:tcW w:w="4285" w:type="dxa"/>
            <w:tcBorders>
              <w:top w:val="nil"/>
              <w:left w:val="nil"/>
              <w:bottom w:val="nil"/>
              <w:right w:val="nil"/>
            </w:tcBorders>
            <w:shd w:val="clear" w:color="auto" w:fill="auto"/>
            <w:vAlign w:val="center"/>
            <w:hideMark/>
          </w:tcPr>
          <w:p w14:paraId="3D74FA7F" w14:textId="77777777" w:rsidR="00EE7C5D" w:rsidRPr="00D22A73" w:rsidRDefault="00EE7C5D" w:rsidP="004005FF">
            <w:pPr>
              <w:rPr>
                <w:szCs w:val="22"/>
              </w:rPr>
            </w:pPr>
            <w:r w:rsidRPr="00D22A73">
              <w:rPr>
                <w:szCs w:val="22"/>
              </w:rPr>
              <w:t xml:space="preserve">     White</w:t>
            </w:r>
          </w:p>
        </w:tc>
        <w:tc>
          <w:tcPr>
            <w:tcW w:w="1769" w:type="dxa"/>
            <w:tcBorders>
              <w:top w:val="nil"/>
              <w:left w:val="nil"/>
              <w:bottom w:val="nil"/>
              <w:right w:val="nil"/>
            </w:tcBorders>
          </w:tcPr>
          <w:p w14:paraId="4BBA9C99" w14:textId="77777777" w:rsidR="00EE7C5D" w:rsidRPr="00D22A73" w:rsidRDefault="00EE7C5D" w:rsidP="004005FF">
            <w:pPr>
              <w:rPr>
                <w:szCs w:val="22"/>
              </w:rPr>
            </w:pPr>
            <w:r w:rsidRPr="00D22A73">
              <w:rPr>
                <w:szCs w:val="22"/>
              </w:rPr>
              <w:t>77 (60)</w:t>
            </w:r>
          </w:p>
        </w:tc>
        <w:tc>
          <w:tcPr>
            <w:tcW w:w="1788" w:type="dxa"/>
            <w:tcBorders>
              <w:top w:val="nil"/>
              <w:left w:val="nil"/>
              <w:bottom w:val="nil"/>
              <w:right w:val="nil"/>
            </w:tcBorders>
            <w:shd w:val="clear" w:color="auto" w:fill="auto"/>
            <w:vAlign w:val="center"/>
            <w:hideMark/>
          </w:tcPr>
          <w:p w14:paraId="511677D7" w14:textId="77777777" w:rsidR="00EE7C5D" w:rsidRPr="00D22A73" w:rsidRDefault="00EE7C5D" w:rsidP="004005FF">
            <w:pPr>
              <w:rPr>
                <w:szCs w:val="22"/>
              </w:rPr>
            </w:pPr>
            <w:r w:rsidRPr="00D22A73">
              <w:rPr>
                <w:szCs w:val="22"/>
              </w:rPr>
              <w:t>76 (28)</w:t>
            </w:r>
          </w:p>
        </w:tc>
        <w:tc>
          <w:tcPr>
            <w:tcW w:w="1518" w:type="dxa"/>
            <w:tcBorders>
              <w:top w:val="nil"/>
              <w:left w:val="nil"/>
              <w:bottom w:val="nil"/>
              <w:right w:val="nil"/>
            </w:tcBorders>
            <w:shd w:val="clear" w:color="auto" w:fill="auto"/>
            <w:vAlign w:val="center"/>
            <w:hideMark/>
          </w:tcPr>
          <w:p w14:paraId="66006046" w14:textId="77777777" w:rsidR="00EE7C5D" w:rsidRPr="00D22A73" w:rsidRDefault="00EE7C5D" w:rsidP="004005FF">
            <w:pPr>
              <w:rPr>
                <w:szCs w:val="22"/>
              </w:rPr>
            </w:pPr>
            <w:r w:rsidRPr="00D22A73">
              <w:rPr>
                <w:szCs w:val="22"/>
              </w:rPr>
              <w:t>78 (32)</w:t>
            </w:r>
          </w:p>
        </w:tc>
      </w:tr>
      <w:tr w:rsidR="00EE7C5D" w:rsidRPr="00D22A73" w14:paraId="3D02D3BB" w14:textId="77777777" w:rsidTr="004005FF">
        <w:trPr>
          <w:trHeight w:val="20"/>
        </w:trPr>
        <w:tc>
          <w:tcPr>
            <w:tcW w:w="4285" w:type="dxa"/>
            <w:tcBorders>
              <w:top w:val="nil"/>
              <w:left w:val="nil"/>
              <w:bottom w:val="nil"/>
              <w:right w:val="nil"/>
            </w:tcBorders>
            <w:shd w:val="clear" w:color="auto" w:fill="auto"/>
            <w:vAlign w:val="center"/>
          </w:tcPr>
          <w:p w14:paraId="6A6458AC" w14:textId="77777777" w:rsidR="00EE7C5D" w:rsidRPr="00D22A73" w:rsidRDefault="00EE7C5D" w:rsidP="004005FF">
            <w:pPr>
              <w:rPr>
                <w:szCs w:val="22"/>
              </w:rPr>
            </w:pPr>
            <w:r w:rsidRPr="00D22A73">
              <w:rPr>
                <w:szCs w:val="22"/>
              </w:rPr>
              <w:t xml:space="preserve">     Latinx/Hispanic</w:t>
            </w:r>
          </w:p>
        </w:tc>
        <w:tc>
          <w:tcPr>
            <w:tcW w:w="1769" w:type="dxa"/>
            <w:tcBorders>
              <w:top w:val="nil"/>
              <w:left w:val="nil"/>
              <w:bottom w:val="nil"/>
              <w:right w:val="nil"/>
            </w:tcBorders>
          </w:tcPr>
          <w:p w14:paraId="26AAA0A4" w14:textId="77777777" w:rsidR="00EE7C5D" w:rsidRPr="00D22A73" w:rsidRDefault="00EE7C5D" w:rsidP="004005FF">
            <w:pPr>
              <w:rPr>
                <w:szCs w:val="22"/>
              </w:rPr>
            </w:pPr>
            <w:r w:rsidRPr="00D22A73">
              <w:rPr>
                <w:szCs w:val="22"/>
              </w:rPr>
              <w:t>9 (7)</w:t>
            </w:r>
          </w:p>
        </w:tc>
        <w:tc>
          <w:tcPr>
            <w:tcW w:w="1788" w:type="dxa"/>
            <w:tcBorders>
              <w:top w:val="nil"/>
              <w:left w:val="nil"/>
              <w:bottom w:val="nil"/>
              <w:right w:val="nil"/>
            </w:tcBorders>
            <w:shd w:val="clear" w:color="auto" w:fill="auto"/>
            <w:vAlign w:val="center"/>
          </w:tcPr>
          <w:p w14:paraId="7AE18B77" w14:textId="77777777" w:rsidR="00EE7C5D" w:rsidRPr="00D22A73" w:rsidRDefault="00EE7C5D" w:rsidP="004005FF">
            <w:pPr>
              <w:rPr>
                <w:szCs w:val="22"/>
              </w:rPr>
            </w:pPr>
            <w:r w:rsidRPr="00D22A73">
              <w:rPr>
                <w:szCs w:val="22"/>
              </w:rPr>
              <w:t>5 (2)</w:t>
            </w:r>
          </w:p>
        </w:tc>
        <w:tc>
          <w:tcPr>
            <w:tcW w:w="1518" w:type="dxa"/>
            <w:tcBorders>
              <w:top w:val="nil"/>
              <w:left w:val="nil"/>
              <w:bottom w:val="nil"/>
              <w:right w:val="nil"/>
            </w:tcBorders>
            <w:shd w:val="clear" w:color="auto" w:fill="auto"/>
            <w:vAlign w:val="center"/>
          </w:tcPr>
          <w:p w14:paraId="39B056E8" w14:textId="77777777" w:rsidR="00EE7C5D" w:rsidRPr="00D22A73" w:rsidRDefault="00EE7C5D" w:rsidP="004005FF">
            <w:pPr>
              <w:rPr>
                <w:szCs w:val="22"/>
              </w:rPr>
            </w:pPr>
            <w:r w:rsidRPr="00D22A73">
              <w:rPr>
                <w:szCs w:val="22"/>
              </w:rPr>
              <w:t>12 (5)</w:t>
            </w:r>
          </w:p>
        </w:tc>
      </w:tr>
      <w:tr w:rsidR="00EE7C5D" w:rsidRPr="00D22A73" w14:paraId="41FD3C2F" w14:textId="77777777" w:rsidTr="004005FF">
        <w:trPr>
          <w:trHeight w:val="20"/>
        </w:trPr>
        <w:tc>
          <w:tcPr>
            <w:tcW w:w="4285" w:type="dxa"/>
            <w:tcBorders>
              <w:top w:val="nil"/>
              <w:left w:val="nil"/>
              <w:bottom w:val="nil"/>
              <w:right w:val="nil"/>
            </w:tcBorders>
            <w:shd w:val="clear" w:color="auto" w:fill="auto"/>
            <w:vAlign w:val="center"/>
          </w:tcPr>
          <w:p w14:paraId="3081716B" w14:textId="77777777" w:rsidR="00EE7C5D" w:rsidRPr="00D22A73" w:rsidRDefault="00EE7C5D" w:rsidP="004005FF">
            <w:pPr>
              <w:rPr>
                <w:szCs w:val="22"/>
              </w:rPr>
            </w:pPr>
            <w:r w:rsidRPr="00D22A73">
              <w:rPr>
                <w:szCs w:val="22"/>
              </w:rPr>
              <w:t xml:space="preserve">     Multiracial</w:t>
            </w:r>
          </w:p>
        </w:tc>
        <w:tc>
          <w:tcPr>
            <w:tcW w:w="1769" w:type="dxa"/>
            <w:tcBorders>
              <w:top w:val="nil"/>
              <w:left w:val="nil"/>
              <w:bottom w:val="nil"/>
              <w:right w:val="nil"/>
            </w:tcBorders>
          </w:tcPr>
          <w:p w14:paraId="70E8F075" w14:textId="77777777" w:rsidR="00EE7C5D" w:rsidRPr="00D22A73" w:rsidRDefault="00EE7C5D" w:rsidP="004005FF">
            <w:pPr>
              <w:rPr>
                <w:szCs w:val="22"/>
              </w:rPr>
            </w:pPr>
            <w:r w:rsidRPr="00D22A73">
              <w:rPr>
                <w:szCs w:val="22"/>
              </w:rPr>
              <w:t>7 (6)</w:t>
            </w:r>
          </w:p>
        </w:tc>
        <w:tc>
          <w:tcPr>
            <w:tcW w:w="1788" w:type="dxa"/>
            <w:tcBorders>
              <w:top w:val="nil"/>
              <w:left w:val="nil"/>
              <w:bottom w:val="nil"/>
              <w:right w:val="nil"/>
            </w:tcBorders>
            <w:shd w:val="clear" w:color="auto" w:fill="auto"/>
            <w:vAlign w:val="center"/>
          </w:tcPr>
          <w:p w14:paraId="335DA97F" w14:textId="77777777" w:rsidR="00EE7C5D" w:rsidRPr="00D22A73" w:rsidRDefault="00EE7C5D" w:rsidP="004005FF">
            <w:pPr>
              <w:rPr>
                <w:szCs w:val="22"/>
              </w:rPr>
            </w:pPr>
            <w:r w:rsidRPr="00D22A73">
              <w:rPr>
                <w:szCs w:val="22"/>
              </w:rPr>
              <w:t>11 (4)</w:t>
            </w:r>
          </w:p>
        </w:tc>
        <w:tc>
          <w:tcPr>
            <w:tcW w:w="1518" w:type="dxa"/>
            <w:tcBorders>
              <w:top w:val="nil"/>
              <w:left w:val="nil"/>
              <w:bottom w:val="nil"/>
              <w:right w:val="nil"/>
            </w:tcBorders>
            <w:shd w:val="clear" w:color="auto" w:fill="auto"/>
            <w:vAlign w:val="center"/>
          </w:tcPr>
          <w:p w14:paraId="2B3C43AE" w14:textId="77777777" w:rsidR="00EE7C5D" w:rsidRPr="00D22A73" w:rsidRDefault="00EE7C5D" w:rsidP="004005FF">
            <w:pPr>
              <w:rPr>
                <w:szCs w:val="22"/>
              </w:rPr>
            </w:pPr>
            <w:r w:rsidRPr="00D22A73">
              <w:rPr>
                <w:szCs w:val="22"/>
              </w:rPr>
              <w:t>5 (2)</w:t>
            </w:r>
          </w:p>
        </w:tc>
      </w:tr>
      <w:tr w:rsidR="00EE7C5D" w:rsidRPr="00D22A73" w14:paraId="4EB4EFBC" w14:textId="77777777" w:rsidTr="004005FF">
        <w:trPr>
          <w:trHeight w:val="20"/>
        </w:trPr>
        <w:tc>
          <w:tcPr>
            <w:tcW w:w="4285" w:type="dxa"/>
            <w:tcBorders>
              <w:top w:val="nil"/>
              <w:left w:val="nil"/>
              <w:bottom w:val="nil"/>
              <w:right w:val="nil"/>
            </w:tcBorders>
            <w:shd w:val="clear" w:color="auto" w:fill="auto"/>
            <w:vAlign w:val="center"/>
          </w:tcPr>
          <w:p w14:paraId="2AFAA5FA" w14:textId="77777777" w:rsidR="00EE7C5D" w:rsidRPr="00D22A73" w:rsidRDefault="00EE7C5D" w:rsidP="004005FF">
            <w:pPr>
              <w:rPr>
                <w:szCs w:val="22"/>
              </w:rPr>
            </w:pPr>
            <w:r w:rsidRPr="00D22A73">
              <w:rPr>
                <w:szCs w:val="22"/>
              </w:rPr>
              <w:t xml:space="preserve">     Black</w:t>
            </w:r>
          </w:p>
        </w:tc>
        <w:tc>
          <w:tcPr>
            <w:tcW w:w="1769" w:type="dxa"/>
            <w:tcBorders>
              <w:top w:val="nil"/>
              <w:left w:val="nil"/>
              <w:bottom w:val="nil"/>
              <w:right w:val="nil"/>
            </w:tcBorders>
          </w:tcPr>
          <w:p w14:paraId="6CBE258F" w14:textId="77777777" w:rsidR="00EE7C5D" w:rsidRPr="00D22A73" w:rsidRDefault="00EE7C5D" w:rsidP="004005FF">
            <w:pPr>
              <w:rPr>
                <w:szCs w:val="22"/>
              </w:rPr>
            </w:pPr>
            <w:r w:rsidRPr="00D22A73">
              <w:rPr>
                <w:szCs w:val="22"/>
              </w:rPr>
              <w:t>3 (2)</w:t>
            </w:r>
          </w:p>
        </w:tc>
        <w:tc>
          <w:tcPr>
            <w:tcW w:w="1788" w:type="dxa"/>
            <w:tcBorders>
              <w:top w:val="nil"/>
              <w:left w:val="nil"/>
              <w:bottom w:val="nil"/>
              <w:right w:val="nil"/>
            </w:tcBorders>
            <w:shd w:val="clear" w:color="auto" w:fill="auto"/>
            <w:vAlign w:val="center"/>
          </w:tcPr>
          <w:p w14:paraId="55B3D290" w14:textId="77777777" w:rsidR="00EE7C5D" w:rsidRPr="00D22A73" w:rsidRDefault="00EE7C5D" w:rsidP="004005FF">
            <w:pPr>
              <w:rPr>
                <w:szCs w:val="22"/>
              </w:rPr>
            </w:pPr>
            <w:r w:rsidRPr="00D22A73">
              <w:rPr>
                <w:szCs w:val="22"/>
              </w:rPr>
              <w:t>3 (1)</w:t>
            </w:r>
          </w:p>
        </w:tc>
        <w:tc>
          <w:tcPr>
            <w:tcW w:w="1518" w:type="dxa"/>
            <w:tcBorders>
              <w:top w:val="nil"/>
              <w:left w:val="nil"/>
              <w:bottom w:val="nil"/>
              <w:right w:val="nil"/>
            </w:tcBorders>
            <w:shd w:val="clear" w:color="auto" w:fill="auto"/>
            <w:vAlign w:val="center"/>
          </w:tcPr>
          <w:p w14:paraId="6EA1C2A4" w14:textId="77777777" w:rsidR="00EE7C5D" w:rsidRPr="00D22A73" w:rsidRDefault="00EE7C5D" w:rsidP="004005FF">
            <w:pPr>
              <w:rPr>
                <w:szCs w:val="22"/>
              </w:rPr>
            </w:pPr>
            <w:r w:rsidRPr="00D22A73">
              <w:rPr>
                <w:szCs w:val="22"/>
              </w:rPr>
              <w:t>2 (1)</w:t>
            </w:r>
          </w:p>
        </w:tc>
      </w:tr>
      <w:tr w:rsidR="00EE7C5D" w:rsidRPr="00D22A73" w14:paraId="7C1B786A" w14:textId="77777777" w:rsidTr="004005FF">
        <w:trPr>
          <w:trHeight w:val="20"/>
        </w:trPr>
        <w:tc>
          <w:tcPr>
            <w:tcW w:w="4285" w:type="dxa"/>
            <w:tcBorders>
              <w:top w:val="nil"/>
              <w:left w:val="nil"/>
              <w:bottom w:val="nil"/>
              <w:right w:val="nil"/>
            </w:tcBorders>
            <w:shd w:val="clear" w:color="auto" w:fill="auto"/>
            <w:vAlign w:val="center"/>
          </w:tcPr>
          <w:p w14:paraId="0E5DD757" w14:textId="77777777" w:rsidR="00EE7C5D" w:rsidRPr="00D22A73" w:rsidRDefault="00EE7C5D" w:rsidP="004005FF">
            <w:pPr>
              <w:rPr>
                <w:szCs w:val="22"/>
              </w:rPr>
            </w:pPr>
            <w:r w:rsidRPr="00D22A73">
              <w:rPr>
                <w:szCs w:val="22"/>
              </w:rPr>
              <w:t xml:space="preserve">     Asian</w:t>
            </w:r>
          </w:p>
        </w:tc>
        <w:tc>
          <w:tcPr>
            <w:tcW w:w="1769" w:type="dxa"/>
            <w:tcBorders>
              <w:top w:val="nil"/>
              <w:left w:val="nil"/>
              <w:bottom w:val="nil"/>
              <w:right w:val="nil"/>
            </w:tcBorders>
          </w:tcPr>
          <w:p w14:paraId="411AE87E" w14:textId="77777777" w:rsidR="00EE7C5D" w:rsidRPr="00D22A73" w:rsidRDefault="00EE7C5D" w:rsidP="004005FF">
            <w:pPr>
              <w:rPr>
                <w:szCs w:val="22"/>
              </w:rPr>
            </w:pPr>
            <w:r w:rsidRPr="00D22A73">
              <w:rPr>
                <w:szCs w:val="22"/>
              </w:rPr>
              <w:t>1 (1)</w:t>
            </w:r>
          </w:p>
        </w:tc>
        <w:tc>
          <w:tcPr>
            <w:tcW w:w="1788" w:type="dxa"/>
            <w:tcBorders>
              <w:top w:val="nil"/>
              <w:left w:val="nil"/>
              <w:bottom w:val="nil"/>
              <w:right w:val="nil"/>
            </w:tcBorders>
            <w:shd w:val="clear" w:color="auto" w:fill="auto"/>
            <w:vAlign w:val="center"/>
          </w:tcPr>
          <w:p w14:paraId="4055F2FB" w14:textId="77777777" w:rsidR="00EE7C5D" w:rsidRPr="00D22A73" w:rsidRDefault="00EE7C5D" w:rsidP="004005FF">
            <w:pPr>
              <w:rPr>
                <w:szCs w:val="22"/>
              </w:rPr>
            </w:pPr>
            <w:r w:rsidRPr="00D22A73">
              <w:rPr>
                <w:szCs w:val="22"/>
              </w:rPr>
              <w:t>0 (0)</w:t>
            </w:r>
          </w:p>
        </w:tc>
        <w:tc>
          <w:tcPr>
            <w:tcW w:w="1518" w:type="dxa"/>
            <w:tcBorders>
              <w:top w:val="nil"/>
              <w:left w:val="nil"/>
              <w:bottom w:val="nil"/>
              <w:right w:val="nil"/>
            </w:tcBorders>
            <w:shd w:val="clear" w:color="auto" w:fill="auto"/>
            <w:vAlign w:val="center"/>
          </w:tcPr>
          <w:p w14:paraId="3C574C6B" w14:textId="77777777" w:rsidR="00EE7C5D" w:rsidRPr="00D22A73" w:rsidRDefault="00EE7C5D" w:rsidP="004005FF">
            <w:pPr>
              <w:rPr>
                <w:szCs w:val="22"/>
              </w:rPr>
            </w:pPr>
            <w:r w:rsidRPr="00D22A73">
              <w:rPr>
                <w:szCs w:val="22"/>
              </w:rPr>
              <w:t>2 (1)</w:t>
            </w:r>
          </w:p>
        </w:tc>
      </w:tr>
      <w:tr w:rsidR="00EE7C5D" w:rsidRPr="00D22A73" w14:paraId="0EA25782" w14:textId="77777777" w:rsidTr="004005FF">
        <w:trPr>
          <w:trHeight w:val="20"/>
        </w:trPr>
        <w:tc>
          <w:tcPr>
            <w:tcW w:w="4285" w:type="dxa"/>
            <w:tcBorders>
              <w:top w:val="nil"/>
              <w:left w:val="nil"/>
              <w:bottom w:val="nil"/>
              <w:right w:val="nil"/>
            </w:tcBorders>
            <w:shd w:val="clear" w:color="auto" w:fill="auto"/>
            <w:vAlign w:val="center"/>
          </w:tcPr>
          <w:p w14:paraId="44E768A7" w14:textId="77777777" w:rsidR="00EE7C5D" w:rsidRPr="00D22A73" w:rsidRDefault="00EE7C5D" w:rsidP="004005FF">
            <w:pPr>
              <w:rPr>
                <w:szCs w:val="22"/>
              </w:rPr>
            </w:pPr>
            <w:r w:rsidRPr="00D22A73">
              <w:rPr>
                <w:szCs w:val="22"/>
              </w:rPr>
              <w:t xml:space="preserve">     Native American*</w:t>
            </w:r>
          </w:p>
        </w:tc>
        <w:tc>
          <w:tcPr>
            <w:tcW w:w="1769" w:type="dxa"/>
            <w:tcBorders>
              <w:top w:val="nil"/>
              <w:left w:val="nil"/>
              <w:bottom w:val="nil"/>
              <w:right w:val="nil"/>
            </w:tcBorders>
          </w:tcPr>
          <w:p w14:paraId="7CA6A91A" w14:textId="77777777" w:rsidR="00EE7C5D" w:rsidRPr="00D22A73" w:rsidRDefault="00EE7C5D" w:rsidP="004005FF">
            <w:pPr>
              <w:rPr>
                <w:szCs w:val="22"/>
              </w:rPr>
            </w:pPr>
            <w:r w:rsidRPr="00D22A73">
              <w:rPr>
                <w:szCs w:val="22"/>
              </w:rPr>
              <w:t>1 (1)</w:t>
            </w:r>
          </w:p>
        </w:tc>
        <w:tc>
          <w:tcPr>
            <w:tcW w:w="1788" w:type="dxa"/>
            <w:tcBorders>
              <w:top w:val="nil"/>
              <w:left w:val="nil"/>
              <w:bottom w:val="nil"/>
              <w:right w:val="nil"/>
            </w:tcBorders>
            <w:shd w:val="clear" w:color="auto" w:fill="auto"/>
            <w:vAlign w:val="center"/>
          </w:tcPr>
          <w:p w14:paraId="20B253DE" w14:textId="77777777" w:rsidR="00EE7C5D" w:rsidRPr="00D22A73" w:rsidRDefault="00EE7C5D" w:rsidP="004005FF">
            <w:pPr>
              <w:rPr>
                <w:szCs w:val="22"/>
              </w:rPr>
            </w:pPr>
            <w:r w:rsidRPr="00D22A73">
              <w:rPr>
                <w:szCs w:val="22"/>
              </w:rPr>
              <w:t>3 (1)</w:t>
            </w:r>
          </w:p>
        </w:tc>
        <w:tc>
          <w:tcPr>
            <w:tcW w:w="1518" w:type="dxa"/>
            <w:tcBorders>
              <w:top w:val="nil"/>
              <w:left w:val="nil"/>
              <w:bottom w:val="nil"/>
              <w:right w:val="nil"/>
            </w:tcBorders>
            <w:shd w:val="clear" w:color="auto" w:fill="auto"/>
            <w:vAlign w:val="center"/>
          </w:tcPr>
          <w:p w14:paraId="74482437" w14:textId="77777777" w:rsidR="00EE7C5D" w:rsidRPr="00D22A73" w:rsidRDefault="00EE7C5D" w:rsidP="004005FF">
            <w:pPr>
              <w:rPr>
                <w:szCs w:val="22"/>
              </w:rPr>
            </w:pPr>
            <w:r w:rsidRPr="00D22A73">
              <w:rPr>
                <w:szCs w:val="22"/>
              </w:rPr>
              <w:t>0 (0)</w:t>
            </w:r>
          </w:p>
        </w:tc>
      </w:tr>
      <w:tr w:rsidR="00EE7C5D" w:rsidRPr="00D22A73" w14:paraId="0A8FAB7C" w14:textId="77777777" w:rsidTr="004005FF">
        <w:trPr>
          <w:trHeight w:val="20"/>
        </w:trPr>
        <w:tc>
          <w:tcPr>
            <w:tcW w:w="4285" w:type="dxa"/>
            <w:tcBorders>
              <w:top w:val="nil"/>
              <w:left w:val="nil"/>
              <w:bottom w:val="nil"/>
              <w:right w:val="nil"/>
            </w:tcBorders>
            <w:shd w:val="clear" w:color="auto" w:fill="auto"/>
            <w:vAlign w:val="center"/>
          </w:tcPr>
          <w:p w14:paraId="0503BDB8" w14:textId="77777777" w:rsidR="00EE7C5D" w:rsidRPr="00D22A73" w:rsidRDefault="00EE7C5D" w:rsidP="004005FF">
            <w:pPr>
              <w:rPr>
                <w:szCs w:val="22"/>
              </w:rPr>
            </w:pPr>
            <w:r w:rsidRPr="00D22A73">
              <w:rPr>
                <w:szCs w:val="22"/>
              </w:rPr>
              <w:t xml:space="preserve">     Prefer not to answer</w:t>
            </w:r>
          </w:p>
        </w:tc>
        <w:tc>
          <w:tcPr>
            <w:tcW w:w="1769" w:type="dxa"/>
            <w:tcBorders>
              <w:top w:val="nil"/>
              <w:left w:val="nil"/>
              <w:bottom w:val="nil"/>
              <w:right w:val="nil"/>
            </w:tcBorders>
          </w:tcPr>
          <w:p w14:paraId="7B91E4C0" w14:textId="77777777" w:rsidR="00EE7C5D" w:rsidRPr="00D22A73" w:rsidRDefault="00EE7C5D" w:rsidP="004005FF">
            <w:pPr>
              <w:rPr>
                <w:szCs w:val="22"/>
              </w:rPr>
            </w:pPr>
            <w:r w:rsidRPr="00D22A73">
              <w:rPr>
                <w:szCs w:val="22"/>
              </w:rPr>
              <w:t>1 (1)</w:t>
            </w:r>
          </w:p>
        </w:tc>
        <w:tc>
          <w:tcPr>
            <w:tcW w:w="1788" w:type="dxa"/>
            <w:tcBorders>
              <w:top w:val="nil"/>
              <w:left w:val="nil"/>
              <w:bottom w:val="nil"/>
              <w:right w:val="nil"/>
            </w:tcBorders>
            <w:shd w:val="clear" w:color="auto" w:fill="auto"/>
            <w:vAlign w:val="center"/>
          </w:tcPr>
          <w:p w14:paraId="2701A0B3" w14:textId="77777777" w:rsidR="00EE7C5D" w:rsidRPr="00D22A73" w:rsidRDefault="00EE7C5D" w:rsidP="004005FF">
            <w:pPr>
              <w:rPr>
                <w:szCs w:val="22"/>
              </w:rPr>
            </w:pPr>
            <w:r w:rsidRPr="00D22A73">
              <w:rPr>
                <w:szCs w:val="22"/>
              </w:rPr>
              <w:t>3 (1)</w:t>
            </w:r>
          </w:p>
        </w:tc>
        <w:tc>
          <w:tcPr>
            <w:tcW w:w="1518" w:type="dxa"/>
            <w:tcBorders>
              <w:top w:val="nil"/>
              <w:left w:val="nil"/>
              <w:bottom w:val="nil"/>
              <w:right w:val="nil"/>
            </w:tcBorders>
            <w:shd w:val="clear" w:color="auto" w:fill="auto"/>
            <w:vAlign w:val="center"/>
          </w:tcPr>
          <w:p w14:paraId="047EABC1" w14:textId="77777777" w:rsidR="00EE7C5D" w:rsidRPr="00D22A73" w:rsidRDefault="00EE7C5D" w:rsidP="004005FF">
            <w:pPr>
              <w:rPr>
                <w:szCs w:val="22"/>
              </w:rPr>
            </w:pPr>
            <w:r w:rsidRPr="00D22A73">
              <w:rPr>
                <w:szCs w:val="22"/>
              </w:rPr>
              <w:t>0 (0)</w:t>
            </w:r>
          </w:p>
        </w:tc>
      </w:tr>
      <w:tr w:rsidR="00EE7C5D" w:rsidRPr="00D22A73" w14:paraId="782BA5A7" w14:textId="77777777" w:rsidTr="004005FF">
        <w:trPr>
          <w:trHeight w:val="20"/>
        </w:trPr>
        <w:tc>
          <w:tcPr>
            <w:tcW w:w="4285" w:type="dxa"/>
            <w:tcBorders>
              <w:top w:val="nil"/>
              <w:left w:val="nil"/>
              <w:bottom w:val="nil"/>
              <w:right w:val="nil"/>
            </w:tcBorders>
            <w:shd w:val="clear" w:color="auto" w:fill="auto"/>
            <w:vAlign w:val="center"/>
            <w:hideMark/>
          </w:tcPr>
          <w:p w14:paraId="44B27981" w14:textId="77777777" w:rsidR="00EE7C5D" w:rsidRPr="00D22A73" w:rsidRDefault="00EE7C5D" w:rsidP="004005FF">
            <w:pPr>
              <w:rPr>
                <w:szCs w:val="22"/>
              </w:rPr>
            </w:pPr>
            <w:r w:rsidRPr="00D22A73">
              <w:rPr>
                <w:szCs w:val="22"/>
              </w:rPr>
              <w:t>Relationship to child, % (n)</w:t>
            </w:r>
          </w:p>
        </w:tc>
        <w:tc>
          <w:tcPr>
            <w:tcW w:w="1769" w:type="dxa"/>
            <w:tcBorders>
              <w:top w:val="nil"/>
              <w:left w:val="nil"/>
              <w:bottom w:val="nil"/>
              <w:right w:val="nil"/>
            </w:tcBorders>
          </w:tcPr>
          <w:p w14:paraId="0DEC3251" w14:textId="77777777" w:rsidR="00EE7C5D" w:rsidRPr="00D22A73" w:rsidRDefault="00EE7C5D" w:rsidP="004005FF">
            <w:pPr>
              <w:rPr>
                <w:szCs w:val="22"/>
              </w:rPr>
            </w:pPr>
          </w:p>
        </w:tc>
        <w:tc>
          <w:tcPr>
            <w:tcW w:w="1788" w:type="dxa"/>
            <w:tcBorders>
              <w:top w:val="nil"/>
              <w:left w:val="nil"/>
              <w:bottom w:val="nil"/>
              <w:right w:val="nil"/>
            </w:tcBorders>
            <w:shd w:val="clear" w:color="auto" w:fill="auto"/>
            <w:vAlign w:val="center"/>
            <w:hideMark/>
          </w:tcPr>
          <w:p w14:paraId="395308D8" w14:textId="77777777" w:rsidR="00EE7C5D" w:rsidRPr="00D22A73" w:rsidRDefault="00EE7C5D" w:rsidP="004005FF">
            <w:pPr>
              <w:rPr>
                <w:szCs w:val="22"/>
              </w:rPr>
            </w:pPr>
          </w:p>
        </w:tc>
        <w:tc>
          <w:tcPr>
            <w:tcW w:w="1518" w:type="dxa"/>
            <w:tcBorders>
              <w:top w:val="nil"/>
              <w:left w:val="nil"/>
              <w:bottom w:val="nil"/>
              <w:right w:val="nil"/>
            </w:tcBorders>
            <w:shd w:val="clear" w:color="auto" w:fill="auto"/>
            <w:vAlign w:val="center"/>
            <w:hideMark/>
          </w:tcPr>
          <w:p w14:paraId="418721E2" w14:textId="77777777" w:rsidR="00EE7C5D" w:rsidRPr="00D22A73" w:rsidRDefault="00EE7C5D" w:rsidP="004005FF">
            <w:pPr>
              <w:rPr>
                <w:szCs w:val="22"/>
              </w:rPr>
            </w:pPr>
          </w:p>
        </w:tc>
      </w:tr>
      <w:tr w:rsidR="00EE7C5D" w:rsidRPr="00D22A73" w14:paraId="389CC39C" w14:textId="77777777" w:rsidTr="004005FF">
        <w:trPr>
          <w:trHeight w:val="20"/>
        </w:trPr>
        <w:tc>
          <w:tcPr>
            <w:tcW w:w="4285" w:type="dxa"/>
            <w:tcBorders>
              <w:top w:val="nil"/>
              <w:left w:val="nil"/>
              <w:bottom w:val="nil"/>
              <w:right w:val="nil"/>
            </w:tcBorders>
            <w:shd w:val="clear" w:color="auto" w:fill="auto"/>
            <w:vAlign w:val="center"/>
            <w:hideMark/>
          </w:tcPr>
          <w:p w14:paraId="3D7EED9B" w14:textId="77777777" w:rsidR="00EE7C5D" w:rsidRPr="00D22A73" w:rsidRDefault="00EE7C5D" w:rsidP="004005FF">
            <w:pPr>
              <w:rPr>
                <w:szCs w:val="22"/>
              </w:rPr>
            </w:pPr>
            <w:r w:rsidRPr="00D22A73">
              <w:rPr>
                <w:szCs w:val="22"/>
              </w:rPr>
              <w:t xml:space="preserve">     Mother</w:t>
            </w:r>
          </w:p>
        </w:tc>
        <w:tc>
          <w:tcPr>
            <w:tcW w:w="1769" w:type="dxa"/>
            <w:tcBorders>
              <w:top w:val="nil"/>
              <w:left w:val="nil"/>
              <w:bottom w:val="nil"/>
              <w:right w:val="nil"/>
            </w:tcBorders>
          </w:tcPr>
          <w:p w14:paraId="496E298D" w14:textId="77777777" w:rsidR="00EE7C5D" w:rsidRPr="00D22A73" w:rsidRDefault="00EE7C5D" w:rsidP="004005FF">
            <w:pPr>
              <w:rPr>
                <w:szCs w:val="22"/>
              </w:rPr>
            </w:pPr>
            <w:r w:rsidRPr="00D22A73">
              <w:rPr>
                <w:szCs w:val="22"/>
              </w:rPr>
              <w:t>94 (73)</w:t>
            </w:r>
          </w:p>
        </w:tc>
        <w:tc>
          <w:tcPr>
            <w:tcW w:w="1788" w:type="dxa"/>
            <w:tcBorders>
              <w:top w:val="nil"/>
              <w:left w:val="nil"/>
              <w:bottom w:val="nil"/>
              <w:right w:val="nil"/>
            </w:tcBorders>
            <w:shd w:val="clear" w:color="auto" w:fill="auto"/>
            <w:vAlign w:val="center"/>
            <w:hideMark/>
          </w:tcPr>
          <w:p w14:paraId="223CE2B0" w14:textId="77777777" w:rsidR="00EE7C5D" w:rsidRPr="00D22A73" w:rsidRDefault="00EE7C5D" w:rsidP="004005FF">
            <w:pPr>
              <w:rPr>
                <w:szCs w:val="22"/>
              </w:rPr>
            </w:pPr>
            <w:r w:rsidRPr="00D22A73">
              <w:rPr>
                <w:szCs w:val="22"/>
              </w:rPr>
              <w:t>89 (33)</w:t>
            </w:r>
          </w:p>
        </w:tc>
        <w:tc>
          <w:tcPr>
            <w:tcW w:w="1518" w:type="dxa"/>
            <w:tcBorders>
              <w:top w:val="nil"/>
              <w:left w:val="nil"/>
              <w:bottom w:val="nil"/>
              <w:right w:val="nil"/>
            </w:tcBorders>
            <w:shd w:val="clear" w:color="auto" w:fill="auto"/>
            <w:vAlign w:val="center"/>
            <w:hideMark/>
          </w:tcPr>
          <w:p w14:paraId="14D132F6" w14:textId="77777777" w:rsidR="00EE7C5D" w:rsidRPr="00D22A73" w:rsidRDefault="00EE7C5D" w:rsidP="004005FF">
            <w:pPr>
              <w:rPr>
                <w:szCs w:val="22"/>
              </w:rPr>
            </w:pPr>
            <w:r w:rsidRPr="00D22A73">
              <w:rPr>
                <w:szCs w:val="22"/>
              </w:rPr>
              <w:t>98 (40)</w:t>
            </w:r>
          </w:p>
        </w:tc>
      </w:tr>
      <w:tr w:rsidR="00EE7C5D" w:rsidRPr="00D22A73" w14:paraId="29C4F6CF" w14:textId="77777777" w:rsidTr="004005FF">
        <w:trPr>
          <w:trHeight w:val="20"/>
        </w:trPr>
        <w:tc>
          <w:tcPr>
            <w:tcW w:w="4285" w:type="dxa"/>
            <w:tcBorders>
              <w:top w:val="nil"/>
              <w:left w:val="nil"/>
              <w:bottom w:val="nil"/>
              <w:right w:val="nil"/>
            </w:tcBorders>
            <w:shd w:val="clear" w:color="auto" w:fill="auto"/>
            <w:vAlign w:val="center"/>
            <w:hideMark/>
          </w:tcPr>
          <w:p w14:paraId="71091302" w14:textId="77777777" w:rsidR="00EE7C5D" w:rsidRPr="00D22A73" w:rsidRDefault="00EE7C5D" w:rsidP="004005FF">
            <w:pPr>
              <w:rPr>
                <w:szCs w:val="22"/>
              </w:rPr>
            </w:pPr>
            <w:r w:rsidRPr="00D22A73">
              <w:rPr>
                <w:szCs w:val="22"/>
              </w:rPr>
              <w:t>Caregiver race, % (n)</w:t>
            </w:r>
          </w:p>
        </w:tc>
        <w:tc>
          <w:tcPr>
            <w:tcW w:w="1769" w:type="dxa"/>
            <w:tcBorders>
              <w:top w:val="nil"/>
              <w:left w:val="nil"/>
              <w:bottom w:val="nil"/>
              <w:right w:val="nil"/>
            </w:tcBorders>
          </w:tcPr>
          <w:p w14:paraId="042B1DAE" w14:textId="77777777" w:rsidR="00EE7C5D" w:rsidRPr="00D22A73" w:rsidRDefault="00EE7C5D" w:rsidP="004005FF">
            <w:pPr>
              <w:rPr>
                <w:szCs w:val="22"/>
              </w:rPr>
            </w:pPr>
          </w:p>
        </w:tc>
        <w:tc>
          <w:tcPr>
            <w:tcW w:w="1788" w:type="dxa"/>
            <w:tcBorders>
              <w:top w:val="nil"/>
              <w:left w:val="nil"/>
              <w:bottom w:val="nil"/>
              <w:right w:val="nil"/>
            </w:tcBorders>
            <w:shd w:val="clear" w:color="auto" w:fill="auto"/>
            <w:vAlign w:val="center"/>
            <w:hideMark/>
          </w:tcPr>
          <w:p w14:paraId="051E49B2" w14:textId="77777777" w:rsidR="00EE7C5D" w:rsidRPr="00D22A73" w:rsidRDefault="00EE7C5D" w:rsidP="004005FF">
            <w:pPr>
              <w:rPr>
                <w:szCs w:val="22"/>
              </w:rPr>
            </w:pPr>
          </w:p>
        </w:tc>
        <w:tc>
          <w:tcPr>
            <w:tcW w:w="1518" w:type="dxa"/>
            <w:tcBorders>
              <w:top w:val="nil"/>
              <w:left w:val="nil"/>
              <w:bottom w:val="nil"/>
              <w:right w:val="nil"/>
            </w:tcBorders>
            <w:shd w:val="clear" w:color="auto" w:fill="auto"/>
            <w:vAlign w:val="center"/>
            <w:hideMark/>
          </w:tcPr>
          <w:p w14:paraId="75FDEEF4" w14:textId="77777777" w:rsidR="00EE7C5D" w:rsidRPr="00D22A73" w:rsidRDefault="00EE7C5D" w:rsidP="004005FF">
            <w:pPr>
              <w:rPr>
                <w:szCs w:val="22"/>
              </w:rPr>
            </w:pPr>
          </w:p>
        </w:tc>
      </w:tr>
      <w:tr w:rsidR="00EE7C5D" w:rsidRPr="00D22A73" w14:paraId="39BED45D" w14:textId="77777777" w:rsidTr="004005FF">
        <w:trPr>
          <w:trHeight w:val="20"/>
        </w:trPr>
        <w:tc>
          <w:tcPr>
            <w:tcW w:w="4285" w:type="dxa"/>
            <w:tcBorders>
              <w:top w:val="nil"/>
              <w:left w:val="nil"/>
              <w:bottom w:val="nil"/>
              <w:right w:val="nil"/>
            </w:tcBorders>
            <w:shd w:val="clear" w:color="auto" w:fill="auto"/>
            <w:vAlign w:val="center"/>
            <w:hideMark/>
          </w:tcPr>
          <w:p w14:paraId="043D39E5" w14:textId="77777777" w:rsidR="00EE7C5D" w:rsidRPr="00D22A73" w:rsidRDefault="00EE7C5D" w:rsidP="004005FF">
            <w:pPr>
              <w:rPr>
                <w:szCs w:val="22"/>
              </w:rPr>
            </w:pPr>
            <w:r w:rsidRPr="00D22A73">
              <w:rPr>
                <w:szCs w:val="22"/>
              </w:rPr>
              <w:t xml:space="preserve">     White</w:t>
            </w:r>
          </w:p>
        </w:tc>
        <w:tc>
          <w:tcPr>
            <w:tcW w:w="1769" w:type="dxa"/>
            <w:tcBorders>
              <w:top w:val="nil"/>
              <w:left w:val="nil"/>
              <w:bottom w:val="nil"/>
              <w:right w:val="nil"/>
            </w:tcBorders>
          </w:tcPr>
          <w:p w14:paraId="3BE2BFBD" w14:textId="77777777" w:rsidR="00EE7C5D" w:rsidRPr="00D22A73" w:rsidRDefault="00EE7C5D" w:rsidP="004005FF">
            <w:pPr>
              <w:rPr>
                <w:szCs w:val="22"/>
              </w:rPr>
            </w:pPr>
            <w:r w:rsidRPr="00D22A73">
              <w:rPr>
                <w:szCs w:val="22"/>
              </w:rPr>
              <w:t>82 (64)</w:t>
            </w:r>
          </w:p>
        </w:tc>
        <w:tc>
          <w:tcPr>
            <w:tcW w:w="1788" w:type="dxa"/>
            <w:tcBorders>
              <w:top w:val="nil"/>
              <w:left w:val="nil"/>
              <w:bottom w:val="nil"/>
              <w:right w:val="nil"/>
            </w:tcBorders>
            <w:shd w:val="clear" w:color="auto" w:fill="auto"/>
            <w:vAlign w:val="center"/>
            <w:hideMark/>
          </w:tcPr>
          <w:p w14:paraId="04E27C52" w14:textId="77777777" w:rsidR="00EE7C5D" w:rsidRPr="00D22A73" w:rsidRDefault="00EE7C5D" w:rsidP="004005FF">
            <w:pPr>
              <w:rPr>
                <w:szCs w:val="22"/>
              </w:rPr>
            </w:pPr>
            <w:r w:rsidRPr="00D22A73">
              <w:rPr>
                <w:szCs w:val="22"/>
              </w:rPr>
              <w:t>78 (29)</w:t>
            </w:r>
          </w:p>
        </w:tc>
        <w:tc>
          <w:tcPr>
            <w:tcW w:w="1518" w:type="dxa"/>
            <w:tcBorders>
              <w:top w:val="nil"/>
              <w:left w:val="nil"/>
              <w:bottom w:val="nil"/>
              <w:right w:val="nil"/>
            </w:tcBorders>
            <w:shd w:val="clear" w:color="auto" w:fill="auto"/>
            <w:vAlign w:val="center"/>
            <w:hideMark/>
          </w:tcPr>
          <w:p w14:paraId="7FC81447" w14:textId="77777777" w:rsidR="00EE7C5D" w:rsidRPr="00D22A73" w:rsidRDefault="00EE7C5D" w:rsidP="004005FF">
            <w:pPr>
              <w:rPr>
                <w:szCs w:val="22"/>
              </w:rPr>
            </w:pPr>
            <w:r w:rsidRPr="00D22A73">
              <w:rPr>
                <w:szCs w:val="22"/>
              </w:rPr>
              <w:t>85 (35)</w:t>
            </w:r>
          </w:p>
        </w:tc>
      </w:tr>
      <w:tr w:rsidR="00EE7C5D" w:rsidRPr="00D22A73" w14:paraId="61C25DF5" w14:textId="77777777" w:rsidTr="004005FF">
        <w:trPr>
          <w:trHeight w:val="20"/>
        </w:trPr>
        <w:tc>
          <w:tcPr>
            <w:tcW w:w="4285" w:type="dxa"/>
            <w:tcBorders>
              <w:top w:val="nil"/>
              <w:left w:val="nil"/>
              <w:bottom w:val="nil"/>
              <w:right w:val="nil"/>
            </w:tcBorders>
            <w:shd w:val="clear" w:color="auto" w:fill="auto"/>
            <w:vAlign w:val="center"/>
          </w:tcPr>
          <w:p w14:paraId="68E5D544" w14:textId="77777777" w:rsidR="00EE7C5D" w:rsidRPr="00D22A73" w:rsidRDefault="00EE7C5D" w:rsidP="004005FF">
            <w:pPr>
              <w:rPr>
                <w:szCs w:val="22"/>
              </w:rPr>
            </w:pPr>
            <w:r w:rsidRPr="00D22A73">
              <w:rPr>
                <w:szCs w:val="22"/>
              </w:rPr>
              <w:t xml:space="preserve">     Latinx/Hispanic</w:t>
            </w:r>
          </w:p>
        </w:tc>
        <w:tc>
          <w:tcPr>
            <w:tcW w:w="1769" w:type="dxa"/>
            <w:tcBorders>
              <w:top w:val="nil"/>
              <w:left w:val="nil"/>
              <w:bottom w:val="nil"/>
              <w:right w:val="nil"/>
            </w:tcBorders>
          </w:tcPr>
          <w:p w14:paraId="5433779B" w14:textId="77777777" w:rsidR="00EE7C5D" w:rsidRPr="00D22A73" w:rsidRDefault="00EE7C5D" w:rsidP="004005FF">
            <w:pPr>
              <w:rPr>
                <w:szCs w:val="22"/>
              </w:rPr>
            </w:pPr>
            <w:r w:rsidRPr="00D22A73">
              <w:rPr>
                <w:szCs w:val="22"/>
              </w:rPr>
              <w:t>7 (6)</w:t>
            </w:r>
          </w:p>
        </w:tc>
        <w:tc>
          <w:tcPr>
            <w:tcW w:w="1788" w:type="dxa"/>
            <w:tcBorders>
              <w:top w:val="nil"/>
              <w:left w:val="nil"/>
              <w:bottom w:val="nil"/>
              <w:right w:val="nil"/>
            </w:tcBorders>
            <w:shd w:val="clear" w:color="auto" w:fill="auto"/>
            <w:vAlign w:val="center"/>
          </w:tcPr>
          <w:p w14:paraId="55805058" w14:textId="77777777" w:rsidR="00EE7C5D" w:rsidRPr="00D22A73" w:rsidRDefault="00EE7C5D" w:rsidP="004005FF">
            <w:pPr>
              <w:rPr>
                <w:szCs w:val="22"/>
              </w:rPr>
            </w:pPr>
            <w:r w:rsidRPr="00D22A73">
              <w:rPr>
                <w:szCs w:val="22"/>
              </w:rPr>
              <w:t>5 (2)</w:t>
            </w:r>
          </w:p>
        </w:tc>
        <w:tc>
          <w:tcPr>
            <w:tcW w:w="1518" w:type="dxa"/>
            <w:tcBorders>
              <w:top w:val="nil"/>
              <w:left w:val="nil"/>
              <w:bottom w:val="nil"/>
              <w:right w:val="nil"/>
            </w:tcBorders>
            <w:shd w:val="clear" w:color="auto" w:fill="auto"/>
            <w:vAlign w:val="center"/>
          </w:tcPr>
          <w:p w14:paraId="36973469" w14:textId="77777777" w:rsidR="00EE7C5D" w:rsidRPr="00D22A73" w:rsidRDefault="00EE7C5D" w:rsidP="004005FF">
            <w:pPr>
              <w:rPr>
                <w:szCs w:val="22"/>
              </w:rPr>
            </w:pPr>
            <w:r w:rsidRPr="00D22A73">
              <w:rPr>
                <w:szCs w:val="22"/>
              </w:rPr>
              <w:t>10 (4)</w:t>
            </w:r>
          </w:p>
        </w:tc>
      </w:tr>
      <w:tr w:rsidR="00EE7C5D" w:rsidRPr="00D22A73" w14:paraId="3E277E0E" w14:textId="77777777" w:rsidTr="004005FF">
        <w:trPr>
          <w:trHeight w:val="20"/>
        </w:trPr>
        <w:tc>
          <w:tcPr>
            <w:tcW w:w="4285" w:type="dxa"/>
            <w:tcBorders>
              <w:top w:val="nil"/>
              <w:left w:val="nil"/>
              <w:bottom w:val="nil"/>
              <w:right w:val="nil"/>
            </w:tcBorders>
            <w:shd w:val="clear" w:color="auto" w:fill="auto"/>
            <w:vAlign w:val="center"/>
          </w:tcPr>
          <w:p w14:paraId="789B7A95" w14:textId="77777777" w:rsidR="00EE7C5D" w:rsidRPr="00D22A73" w:rsidRDefault="00EE7C5D" w:rsidP="004005FF">
            <w:pPr>
              <w:rPr>
                <w:szCs w:val="22"/>
              </w:rPr>
            </w:pPr>
            <w:r w:rsidRPr="00D22A73">
              <w:rPr>
                <w:szCs w:val="22"/>
              </w:rPr>
              <w:t xml:space="preserve">     Multiracial</w:t>
            </w:r>
          </w:p>
        </w:tc>
        <w:tc>
          <w:tcPr>
            <w:tcW w:w="1769" w:type="dxa"/>
            <w:tcBorders>
              <w:top w:val="nil"/>
              <w:left w:val="nil"/>
              <w:bottom w:val="nil"/>
              <w:right w:val="nil"/>
            </w:tcBorders>
          </w:tcPr>
          <w:p w14:paraId="7FBAAC9F" w14:textId="77777777" w:rsidR="00EE7C5D" w:rsidRPr="00D22A73" w:rsidRDefault="00EE7C5D" w:rsidP="004005FF">
            <w:pPr>
              <w:rPr>
                <w:szCs w:val="22"/>
              </w:rPr>
            </w:pPr>
            <w:r w:rsidRPr="00D22A73">
              <w:rPr>
                <w:szCs w:val="22"/>
              </w:rPr>
              <w:t>3 (2)</w:t>
            </w:r>
          </w:p>
        </w:tc>
        <w:tc>
          <w:tcPr>
            <w:tcW w:w="1788" w:type="dxa"/>
            <w:tcBorders>
              <w:top w:val="nil"/>
              <w:left w:val="nil"/>
              <w:bottom w:val="nil"/>
              <w:right w:val="nil"/>
            </w:tcBorders>
            <w:shd w:val="clear" w:color="auto" w:fill="auto"/>
            <w:vAlign w:val="center"/>
          </w:tcPr>
          <w:p w14:paraId="377D51C3" w14:textId="77777777" w:rsidR="00EE7C5D" w:rsidRPr="00D22A73" w:rsidRDefault="00EE7C5D" w:rsidP="004005FF">
            <w:pPr>
              <w:rPr>
                <w:szCs w:val="22"/>
              </w:rPr>
            </w:pPr>
            <w:r w:rsidRPr="00D22A73">
              <w:rPr>
                <w:szCs w:val="22"/>
              </w:rPr>
              <w:t>5 (2)</w:t>
            </w:r>
          </w:p>
        </w:tc>
        <w:tc>
          <w:tcPr>
            <w:tcW w:w="1518" w:type="dxa"/>
            <w:tcBorders>
              <w:top w:val="nil"/>
              <w:left w:val="nil"/>
              <w:bottom w:val="nil"/>
              <w:right w:val="nil"/>
            </w:tcBorders>
            <w:shd w:val="clear" w:color="auto" w:fill="auto"/>
            <w:vAlign w:val="center"/>
          </w:tcPr>
          <w:p w14:paraId="5DB6855F" w14:textId="77777777" w:rsidR="00EE7C5D" w:rsidRPr="00D22A73" w:rsidRDefault="00EE7C5D" w:rsidP="004005FF">
            <w:pPr>
              <w:rPr>
                <w:szCs w:val="22"/>
              </w:rPr>
            </w:pPr>
            <w:r w:rsidRPr="00D22A73">
              <w:rPr>
                <w:szCs w:val="22"/>
              </w:rPr>
              <w:t>0 (0)</w:t>
            </w:r>
          </w:p>
        </w:tc>
      </w:tr>
      <w:tr w:rsidR="00EE7C5D" w:rsidRPr="00D22A73" w14:paraId="21F1EBFB" w14:textId="77777777" w:rsidTr="004005FF">
        <w:trPr>
          <w:trHeight w:val="20"/>
        </w:trPr>
        <w:tc>
          <w:tcPr>
            <w:tcW w:w="4285" w:type="dxa"/>
            <w:tcBorders>
              <w:top w:val="nil"/>
              <w:left w:val="nil"/>
              <w:bottom w:val="nil"/>
              <w:right w:val="nil"/>
            </w:tcBorders>
            <w:shd w:val="clear" w:color="auto" w:fill="auto"/>
            <w:vAlign w:val="center"/>
          </w:tcPr>
          <w:p w14:paraId="0C1BB22F" w14:textId="77777777" w:rsidR="00EE7C5D" w:rsidRPr="00D22A73" w:rsidRDefault="00EE7C5D" w:rsidP="004005FF">
            <w:pPr>
              <w:rPr>
                <w:szCs w:val="22"/>
              </w:rPr>
            </w:pPr>
            <w:r w:rsidRPr="00D22A73">
              <w:rPr>
                <w:szCs w:val="22"/>
              </w:rPr>
              <w:t xml:space="preserve">     Black</w:t>
            </w:r>
          </w:p>
        </w:tc>
        <w:tc>
          <w:tcPr>
            <w:tcW w:w="1769" w:type="dxa"/>
            <w:tcBorders>
              <w:top w:val="nil"/>
              <w:left w:val="nil"/>
              <w:bottom w:val="nil"/>
              <w:right w:val="nil"/>
            </w:tcBorders>
          </w:tcPr>
          <w:p w14:paraId="1D8F7969" w14:textId="77777777" w:rsidR="00EE7C5D" w:rsidRPr="00D22A73" w:rsidRDefault="00EE7C5D" w:rsidP="004005FF">
            <w:pPr>
              <w:rPr>
                <w:szCs w:val="22"/>
              </w:rPr>
            </w:pPr>
            <w:r w:rsidRPr="00D22A73">
              <w:rPr>
                <w:szCs w:val="22"/>
              </w:rPr>
              <w:t>3 (2)</w:t>
            </w:r>
          </w:p>
        </w:tc>
        <w:tc>
          <w:tcPr>
            <w:tcW w:w="1788" w:type="dxa"/>
            <w:tcBorders>
              <w:top w:val="nil"/>
              <w:left w:val="nil"/>
              <w:bottom w:val="nil"/>
              <w:right w:val="nil"/>
            </w:tcBorders>
            <w:shd w:val="clear" w:color="auto" w:fill="auto"/>
            <w:vAlign w:val="center"/>
          </w:tcPr>
          <w:p w14:paraId="24317DCC" w14:textId="77777777" w:rsidR="00EE7C5D" w:rsidRPr="00D22A73" w:rsidRDefault="00EE7C5D" w:rsidP="004005FF">
            <w:pPr>
              <w:rPr>
                <w:szCs w:val="22"/>
              </w:rPr>
            </w:pPr>
            <w:r w:rsidRPr="00D22A73">
              <w:rPr>
                <w:szCs w:val="22"/>
              </w:rPr>
              <w:t>3 (1)</w:t>
            </w:r>
          </w:p>
        </w:tc>
        <w:tc>
          <w:tcPr>
            <w:tcW w:w="1518" w:type="dxa"/>
            <w:tcBorders>
              <w:top w:val="nil"/>
              <w:left w:val="nil"/>
              <w:bottom w:val="nil"/>
              <w:right w:val="nil"/>
            </w:tcBorders>
            <w:shd w:val="clear" w:color="auto" w:fill="auto"/>
            <w:vAlign w:val="center"/>
          </w:tcPr>
          <w:p w14:paraId="19B3CDFC" w14:textId="77777777" w:rsidR="00EE7C5D" w:rsidRPr="00D22A73" w:rsidRDefault="00EE7C5D" w:rsidP="004005FF">
            <w:pPr>
              <w:rPr>
                <w:szCs w:val="22"/>
              </w:rPr>
            </w:pPr>
            <w:r w:rsidRPr="00D22A73">
              <w:rPr>
                <w:szCs w:val="22"/>
              </w:rPr>
              <w:t>2 (1)</w:t>
            </w:r>
          </w:p>
        </w:tc>
      </w:tr>
      <w:tr w:rsidR="00EE7C5D" w:rsidRPr="00D22A73" w14:paraId="5B1D75AF" w14:textId="77777777" w:rsidTr="004005FF">
        <w:trPr>
          <w:trHeight w:val="20"/>
        </w:trPr>
        <w:tc>
          <w:tcPr>
            <w:tcW w:w="4285" w:type="dxa"/>
            <w:tcBorders>
              <w:top w:val="nil"/>
              <w:left w:val="nil"/>
              <w:bottom w:val="nil"/>
              <w:right w:val="nil"/>
            </w:tcBorders>
            <w:shd w:val="clear" w:color="auto" w:fill="auto"/>
            <w:vAlign w:val="center"/>
          </w:tcPr>
          <w:p w14:paraId="58F6AED5" w14:textId="77777777" w:rsidR="00EE7C5D" w:rsidRPr="00D22A73" w:rsidRDefault="00EE7C5D" w:rsidP="004005FF">
            <w:pPr>
              <w:rPr>
                <w:szCs w:val="22"/>
              </w:rPr>
            </w:pPr>
            <w:r w:rsidRPr="00D22A73">
              <w:rPr>
                <w:szCs w:val="22"/>
              </w:rPr>
              <w:t xml:space="preserve">     Asian</w:t>
            </w:r>
          </w:p>
        </w:tc>
        <w:tc>
          <w:tcPr>
            <w:tcW w:w="1769" w:type="dxa"/>
            <w:tcBorders>
              <w:top w:val="nil"/>
              <w:left w:val="nil"/>
              <w:bottom w:val="nil"/>
              <w:right w:val="nil"/>
            </w:tcBorders>
          </w:tcPr>
          <w:p w14:paraId="0A9E197E" w14:textId="77777777" w:rsidR="00EE7C5D" w:rsidRPr="00D22A73" w:rsidRDefault="00EE7C5D" w:rsidP="004005FF">
            <w:pPr>
              <w:rPr>
                <w:szCs w:val="22"/>
              </w:rPr>
            </w:pPr>
            <w:r w:rsidRPr="00D22A73">
              <w:rPr>
                <w:szCs w:val="22"/>
              </w:rPr>
              <w:t>3 (2)</w:t>
            </w:r>
          </w:p>
        </w:tc>
        <w:tc>
          <w:tcPr>
            <w:tcW w:w="1788" w:type="dxa"/>
            <w:tcBorders>
              <w:top w:val="nil"/>
              <w:left w:val="nil"/>
              <w:bottom w:val="nil"/>
              <w:right w:val="nil"/>
            </w:tcBorders>
            <w:shd w:val="clear" w:color="auto" w:fill="auto"/>
            <w:vAlign w:val="center"/>
          </w:tcPr>
          <w:p w14:paraId="6E44B0C4" w14:textId="77777777" w:rsidR="00EE7C5D" w:rsidRPr="00D22A73" w:rsidRDefault="00EE7C5D" w:rsidP="004005FF">
            <w:pPr>
              <w:rPr>
                <w:szCs w:val="22"/>
              </w:rPr>
            </w:pPr>
            <w:r w:rsidRPr="00D22A73">
              <w:rPr>
                <w:szCs w:val="22"/>
              </w:rPr>
              <w:t>3 (1)</w:t>
            </w:r>
          </w:p>
        </w:tc>
        <w:tc>
          <w:tcPr>
            <w:tcW w:w="1518" w:type="dxa"/>
            <w:tcBorders>
              <w:top w:val="nil"/>
              <w:left w:val="nil"/>
              <w:bottom w:val="nil"/>
              <w:right w:val="nil"/>
            </w:tcBorders>
            <w:shd w:val="clear" w:color="auto" w:fill="auto"/>
            <w:vAlign w:val="center"/>
          </w:tcPr>
          <w:p w14:paraId="5C3E3FAB" w14:textId="77777777" w:rsidR="00EE7C5D" w:rsidRPr="00D22A73" w:rsidRDefault="00EE7C5D" w:rsidP="004005FF">
            <w:pPr>
              <w:rPr>
                <w:szCs w:val="22"/>
              </w:rPr>
            </w:pPr>
            <w:r w:rsidRPr="00D22A73">
              <w:rPr>
                <w:szCs w:val="22"/>
              </w:rPr>
              <w:t>2 (1)</w:t>
            </w:r>
          </w:p>
        </w:tc>
      </w:tr>
      <w:tr w:rsidR="00EE7C5D" w:rsidRPr="00D22A73" w14:paraId="40D5EBF3" w14:textId="77777777" w:rsidTr="004005FF">
        <w:trPr>
          <w:trHeight w:val="20"/>
        </w:trPr>
        <w:tc>
          <w:tcPr>
            <w:tcW w:w="4285" w:type="dxa"/>
            <w:tcBorders>
              <w:top w:val="nil"/>
              <w:left w:val="nil"/>
              <w:bottom w:val="nil"/>
              <w:right w:val="nil"/>
            </w:tcBorders>
            <w:shd w:val="clear" w:color="auto" w:fill="auto"/>
            <w:vAlign w:val="center"/>
          </w:tcPr>
          <w:p w14:paraId="1438B05D" w14:textId="77777777" w:rsidR="00EE7C5D" w:rsidRPr="00D22A73" w:rsidRDefault="00EE7C5D" w:rsidP="004005FF">
            <w:pPr>
              <w:rPr>
                <w:szCs w:val="22"/>
              </w:rPr>
            </w:pPr>
            <w:r w:rsidRPr="00D22A73">
              <w:rPr>
                <w:szCs w:val="22"/>
              </w:rPr>
              <w:t xml:space="preserve">     Native American*</w:t>
            </w:r>
          </w:p>
        </w:tc>
        <w:tc>
          <w:tcPr>
            <w:tcW w:w="1769" w:type="dxa"/>
            <w:tcBorders>
              <w:top w:val="nil"/>
              <w:left w:val="nil"/>
              <w:bottom w:val="nil"/>
              <w:right w:val="nil"/>
            </w:tcBorders>
          </w:tcPr>
          <w:p w14:paraId="5DD2A7F1" w14:textId="77777777" w:rsidR="00EE7C5D" w:rsidRPr="00D22A73" w:rsidRDefault="00EE7C5D" w:rsidP="004005FF">
            <w:pPr>
              <w:rPr>
                <w:szCs w:val="22"/>
              </w:rPr>
            </w:pPr>
            <w:r w:rsidRPr="00D22A73">
              <w:rPr>
                <w:szCs w:val="22"/>
              </w:rPr>
              <w:t>1 (1)</w:t>
            </w:r>
          </w:p>
        </w:tc>
        <w:tc>
          <w:tcPr>
            <w:tcW w:w="1788" w:type="dxa"/>
            <w:tcBorders>
              <w:top w:val="nil"/>
              <w:left w:val="nil"/>
              <w:bottom w:val="nil"/>
              <w:right w:val="nil"/>
            </w:tcBorders>
            <w:shd w:val="clear" w:color="auto" w:fill="auto"/>
            <w:vAlign w:val="center"/>
          </w:tcPr>
          <w:p w14:paraId="75819F51" w14:textId="77777777" w:rsidR="00EE7C5D" w:rsidRPr="00D22A73" w:rsidRDefault="00EE7C5D" w:rsidP="004005FF">
            <w:pPr>
              <w:rPr>
                <w:szCs w:val="22"/>
              </w:rPr>
            </w:pPr>
            <w:r w:rsidRPr="00D22A73">
              <w:rPr>
                <w:szCs w:val="22"/>
              </w:rPr>
              <w:t>3 (1)</w:t>
            </w:r>
          </w:p>
        </w:tc>
        <w:tc>
          <w:tcPr>
            <w:tcW w:w="1518" w:type="dxa"/>
            <w:tcBorders>
              <w:top w:val="nil"/>
              <w:left w:val="nil"/>
              <w:bottom w:val="nil"/>
              <w:right w:val="nil"/>
            </w:tcBorders>
            <w:shd w:val="clear" w:color="auto" w:fill="auto"/>
            <w:vAlign w:val="center"/>
          </w:tcPr>
          <w:p w14:paraId="08C9CD4E" w14:textId="77777777" w:rsidR="00EE7C5D" w:rsidRPr="00D22A73" w:rsidRDefault="00EE7C5D" w:rsidP="004005FF">
            <w:pPr>
              <w:rPr>
                <w:szCs w:val="22"/>
              </w:rPr>
            </w:pPr>
            <w:r w:rsidRPr="00D22A73">
              <w:rPr>
                <w:szCs w:val="22"/>
              </w:rPr>
              <w:t>0 (0)</w:t>
            </w:r>
          </w:p>
        </w:tc>
      </w:tr>
      <w:tr w:rsidR="00EE7C5D" w:rsidRPr="00D22A73" w14:paraId="7798AC68" w14:textId="77777777" w:rsidTr="004005FF">
        <w:trPr>
          <w:trHeight w:val="20"/>
        </w:trPr>
        <w:tc>
          <w:tcPr>
            <w:tcW w:w="4285" w:type="dxa"/>
            <w:tcBorders>
              <w:top w:val="nil"/>
              <w:left w:val="nil"/>
              <w:bottom w:val="nil"/>
              <w:right w:val="nil"/>
            </w:tcBorders>
            <w:shd w:val="clear" w:color="auto" w:fill="auto"/>
            <w:vAlign w:val="center"/>
          </w:tcPr>
          <w:p w14:paraId="69C98F1C" w14:textId="77777777" w:rsidR="00EE7C5D" w:rsidRPr="00D22A73" w:rsidRDefault="00EE7C5D" w:rsidP="004005FF">
            <w:pPr>
              <w:rPr>
                <w:szCs w:val="22"/>
              </w:rPr>
            </w:pPr>
            <w:r w:rsidRPr="00D22A73">
              <w:rPr>
                <w:szCs w:val="22"/>
              </w:rPr>
              <w:t xml:space="preserve">     Prefer not to answer</w:t>
            </w:r>
          </w:p>
        </w:tc>
        <w:tc>
          <w:tcPr>
            <w:tcW w:w="1769" w:type="dxa"/>
            <w:tcBorders>
              <w:top w:val="nil"/>
              <w:left w:val="nil"/>
              <w:bottom w:val="nil"/>
              <w:right w:val="nil"/>
            </w:tcBorders>
          </w:tcPr>
          <w:p w14:paraId="74840A19" w14:textId="77777777" w:rsidR="00EE7C5D" w:rsidRPr="00D22A73" w:rsidRDefault="00EE7C5D" w:rsidP="004005FF">
            <w:pPr>
              <w:rPr>
                <w:szCs w:val="22"/>
              </w:rPr>
            </w:pPr>
            <w:r w:rsidRPr="00D22A73">
              <w:rPr>
                <w:szCs w:val="22"/>
              </w:rPr>
              <w:t>1 (1)</w:t>
            </w:r>
          </w:p>
        </w:tc>
        <w:tc>
          <w:tcPr>
            <w:tcW w:w="1788" w:type="dxa"/>
            <w:tcBorders>
              <w:top w:val="nil"/>
              <w:left w:val="nil"/>
              <w:bottom w:val="nil"/>
              <w:right w:val="nil"/>
            </w:tcBorders>
            <w:shd w:val="clear" w:color="auto" w:fill="auto"/>
            <w:vAlign w:val="center"/>
          </w:tcPr>
          <w:p w14:paraId="088454A0" w14:textId="77777777" w:rsidR="00EE7C5D" w:rsidRPr="00D22A73" w:rsidRDefault="00EE7C5D" w:rsidP="004005FF">
            <w:pPr>
              <w:rPr>
                <w:szCs w:val="22"/>
              </w:rPr>
            </w:pPr>
            <w:r w:rsidRPr="00D22A73">
              <w:rPr>
                <w:szCs w:val="22"/>
              </w:rPr>
              <w:t>3 (1)</w:t>
            </w:r>
          </w:p>
        </w:tc>
        <w:tc>
          <w:tcPr>
            <w:tcW w:w="1518" w:type="dxa"/>
            <w:tcBorders>
              <w:top w:val="nil"/>
              <w:left w:val="nil"/>
              <w:bottom w:val="nil"/>
              <w:right w:val="nil"/>
            </w:tcBorders>
            <w:shd w:val="clear" w:color="auto" w:fill="auto"/>
            <w:vAlign w:val="center"/>
          </w:tcPr>
          <w:p w14:paraId="57AF3532" w14:textId="77777777" w:rsidR="00EE7C5D" w:rsidRPr="00D22A73" w:rsidRDefault="00EE7C5D" w:rsidP="004005FF">
            <w:pPr>
              <w:rPr>
                <w:szCs w:val="22"/>
              </w:rPr>
            </w:pPr>
            <w:r w:rsidRPr="00D22A73">
              <w:rPr>
                <w:szCs w:val="22"/>
              </w:rPr>
              <w:t>0 (0)</w:t>
            </w:r>
          </w:p>
        </w:tc>
      </w:tr>
      <w:tr w:rsidR="00EE7C5D" w:rsidRPr="00D22A73" w14:paraId="286E57E7" w14:textId="77777777" w:rsidTr="004005FF">
        <w:trPr>
          <w:trHeight w:val="20"/>
        </w:trPr>
        <w:tc>
          <w:tcPr>
            <w:tcW w:w="4285" w:type="dxa"/>
            <w:tcBorders>
              <w:top w:val="nil"/>
              <w:left w:val="nil"/>
              <w:bottom w:val="nil"/>
              <w:right w:val="nil"/>
            </w:tcBorders>
            <w:shd w:val="clear" w:color="auto" w:fill="auto"/>
            <w:vAlign w:val="center"/>
            <w:hideMark/>
          </w:tcPr>
          <w:p w14:paraId="371B0B8A" w14:textId="77777777" w:rsidR="00EE7C5D" w:rsidRPr="00D22A73" w:rsidRDefault="00EE7C5D" w:rsidP="004005FF">
            <w:pPr>
              <w:rPr>
                <w:szCs w:val="22"/>
              </w:rPr>
            </w:pPr>
            <w:r w:rsidRPr="00D22A73">
              <w:rPr>
                <w:szCs w:val="22"/>
              </w:rPr>
              <w:t>Caregiver education, % (n)</w:t>
            </w:r>
          </w:p>
        </w:tc>
        <w:tc>
          <w:tcPr>
            <w:tcW w:w="1769" w:type="dxa"/>
            <w:tcBorders>
              <w:top w:val="nil"/>
              <w:left w:val="nil"/>
              <w:bottom w:val="nil"/>
              <w:right w:val="nil"/>
            </w:tcBorders>
          </w:tcPr>
          <w:p w14:paraId="23968D6B" w14:textId="77777777" w:rsidR="00EE7C5D" w:rsidRPr="00D22A73" w:rsidRDefault="00EE7C5D" w:rsidP="004005FF">
            <w:pPr>
              <w:rPr>
                <w:szCs w:val="22"/>
              </w:rPr>
            </w:pPr>
          </w:p>
        </w:tc>
        <w:tc>
          <w:tcPr>
            <w:tcW w:w="1788" w:type="dxa"/>
            <w:tcBorders>
              <w:top w:val="nil"/>
              <w:left w:val="nil"/>
              <w:bottom w:val="nil"/>
              <w:right w:val="nil"/>
            </w:tcBorders>
            <w:shd w:val="clear" w:color="auto" w:fill="auto"/>
            <w:vAlign w:val="center"/>
            <w:hideMark/>
          </w:tcPr>
          <w:p w14:paraId="61BC0501" w14:textId="77777777" w:rsidR="00EE7C5D" w:rsidRPr="00D22A73" w:rsidRDefault="00EE7C5D" w:rsidP="004005FF">
            <w:pPr>
              <w:rPr>
                <w:szCs w:val="22"/>
              </w:rPr>
            </w:pPr>
          </w:p>
        </w:tc>
        <w:tc>
          <w:tcPr>
            <w:tcW w:w="1518" w:type="dxa"/>
            <w:tcBorders>
              <w:top w:val="nil"/>
              <w:left w:val="nil"/>
              <w:bottom w:val="nil"/>
              <w:right w:val="nil"/>
            </w:tcBorders>
            <w:shd w:val="clear" w:color="auto" w:fill="auto"/>
            <w:vAlign w:val="center"/>
            <w:hideMark/>
          </w:tcPr>
          <w:p w14:paraId="0518EDFB" w14:textId="77777777" w:rsidR="00EE7C5D" w:rsidRPr="00D22A73" w:rsidRDefault="00EE7C5D" w:rsidP="004005FF">
            <w:pPr>
              <w:rPr>
                <w:szCs w:val="22"/>
              </w:rPr>
            </w:pPr>
          </w:p>
        </w:tc>
      </w:tr>
      <w:tr w:rsidR="00EE7C5D" w:rsidRPr="00D22A73" w14:paraId="145DF1A3" w14:textId="77777777" w:rsidTr="004005FF">
        <w:trPr>
          <w:trHeight w:val="20"/>
        </w:trPr>
        <w:tc>
          <w:tcPr>
            <w:tcW w:w="4285" w:type="dxa"/>
            <w:tcBorders>
              <w:top w:val="nil"/>
              <w:left w:val="nil"/>
              <w:right w:val="nil"/>
            </w:tcBorders>
            <w:shd w:val="clear" w:color="auto" w:fill="auto"/>
            <w:vAlign w:val="center"/>
            <w:hideMark/>
          </w:tcPr>
          <w:p w14:paraId="2C2F08B8" w14:textId="77777777" w:rsidR="00EE7C5D" w:rsidRPr="00D22A73" w:rsidRDefault="00EE7C5D" w:rsidP="004005FF">
            <w:pPr>
              <w:rPr>
                <w:szCs w:val="22"/>
              </w:rPr>
            </w:pPr>
            <w:r w:rsidRPr="00D22A73">
              <w:rPr>
                <w:szCs w:val="22"/>
              </w:rPr>
              <w:t xml:space="preserve">     College education/Graduate degree</w:t>
            </w:r>
          </w:p>
        </w:tc>
        <w:tc>
          <w:tcPr>
            <w:tcW w:w="1769" w:type="dxa"/>
            <w:tcBorders>
              <w:top w:val="nil"/>
              <w:left w:val="nil"/>
              <w:right w:val="nil"/>
            </w:tcBorders>
          </w:tcPr>
          <w:p w14:paraId="236E3F7B" w14:textId="77777777" w:rsidR="00EE7C5D" w:rsidRPr="00D22A73" w:rsidRDefault="00EE7C5D" w:rsidP="004005FF">
            <w:pPr>
              <w:rPr>
                <w:szCs w:val="22"/>
              </w:rPr>
            </w:pPr>
            <w:r w:rsidRPr="00D22A73">
              <w:rPr>
                <w:szCs w:val="22"/>
              </w:rPr>
              <w:t>82 (64)</w:t>
            </w:r>
          </w:p>
        </w:tc>
        <w:tc>
          <w:tcPr>
            <w:tcW w:w="1788" w:type="dxa"/>
            <w:tcBorders>
              <w:top w:val="nil"/>
              <w:left w:val="nil"/>
              <w:right w:val="nil"/>
            </w:tcBorders>
            <w:shd w:val="clear" w:color="auto" w:fill="auto"/>
            <w:vAlign w:val="center"/>
            <w:hideMark/>
          </w:tcPr>
          <w:p w14:paraId="578613D8" w14:textId="77777777" w:rsidR="00EE7C5D" w:rsidRPr="00D22A73" w:rsidRDefault="00EE7C5D" w:rsidP="004005FF">
            <w:pPr>
              <w:rPr>
                <w:szCs w:val="22"/>
              </w:rPr>
            </w:pPr>
            <w:r w:rsidRPr="00D22A73">
              <w:rPr>
                <w:szCs w:val="22"/>
              </w:rPr>
              <w:t>81 (30)</w:t>
            </w:r>
          </w:p>
        </w:tc>
        <w:tc>
          <w:tcPr>
            <w:tcW w:w="1518" w:type="dxa"/>
            <w:tcBorders>
              <w:top w:val="nil"/>
              <w:left w:val="nil"/>
              <w:right w:val="nil"/>
            </w:tcBorders>
            <w:shd w:val="clear" w:color="auto" w:fill="auto"/>
            <w:vAlign w:val="center"/>
            <w:hideMark/>
          </w:tcPr>
          <w:p w14:paraId="4DB42E38" w14:textId="77777777" w:rsidR="00EE7C5D" w:rsidRPr="00D22A73" w:rsidRDefault="00EE7C5D" w:rsidP="004005FF">
            <w:pPr>
              <w:rPr>
                <w:szCs w:val="22"/>
              </w:rPr>
            </w:pPr>
            <w:r w:rsidRPr="00D22A73">
              <w:rPr>
                <w:szCs w:val="22"/>
              </w:rPr>
              <w:t>83 (34)</w:t>
            </w:r>
          </w:p>
        </w:tc>
      </w:tr>
      <w:tr w:rsidR="00EE7C5D" w:rsidRPr="00D22A73" w14:paraId="6F4D0F96" w14:textId="77777777" w:rsidTr="004005FF">
        <w:trPr>
          <w:trHeight w:val="20"/>
        </w:trPr>
        <w:tc>
          <w:tcPr>
            <w:tcW w:w="4285" w:type="dxa"/>
            <w:tcBorders>
              <w:left w:val="nil"/>
              <w:right w:val="nil"/>
            </w:tcBorders>
            <w:shd w:val="clear" w:color="auto" w:fill="auto"/>
            <w:vAlign w:val="center"/>
            <w:hideMark/>
          </w:tcPr>
          <w:p w14:paraId="730BC524" w14:textId="77777777" w:rsidR="00EE7C5D" w:rsidRPr="00D22A73" w:rsidRDefault="00EE7C5D" w:rsidP="004005FF">
            <w:pPr>
              <w:ind w:left="260" w:hanging="260"/>
              <w:rPr>
                <w:szCs w:val="22"/>
              </w:rPr>
            </w:pPr>
            <w:r w:rsidRPr="00D22A73">
              <w:rPr>
                <w:szCs w:val="22"/>
              </w:rPr>
              <w:t xml:space="preserve">     High school graduate/Partial college (at          least one year)</w:t>
            </w:r>
          </w:p>
        </w:tc>
        <w:tc>
          <w:tcPr>
            <w:tcW w:w="1769" w:type="dxa"/>
            <w:tcBorders>
              <w:left w:val="nil"/>
              <w:right w:val="nil"/>
            </w:tcBorders>
          </w:tcPr>
          <w:p w14:paraId="2596E87F" w14:textId="77777777" w:rsidR="00EE7C5D" w:rsidRPr="00D22A73" w:rsidRDefault="00EE7C5D" w:rsidP="004005FF">
            <w:pPr>
              <w:rPr>
                <w:szCs w:val="22"/>
              </w:rPr>
            </w:pPr>
            <w:r w:rsidRPr="00D22A73">
              <w:rPr>
                <w:szCs w:val="22"/>
              </w:rPr>
              <w:t>18 (14)</w:t>
            </w:r>
          </w:p>
        </w:tc>
        <w:tc>
          <w:tcPr>
            <w:tcW w:w="1788" w:type="dxa"/>
            <w:tcBorders>
              <w:left w:val="nil"/>
              <w:right w:val="nil"/>
            </w:tcBorders>
            <w:shd w:val="clear" w:color="auto" w:fill="auto"/>
            <w:vAlign w:val="center"/>
            <w:hideMark/>
          </w:tcPr>
          <w:p w14:paraId="296211B3" w14:textId="77777777" w:rsidR="00EE7C5D" w:rsidRPr="00D22A73" w:rsidRDefault="00EE7C5D" w:rsidP="004005FF">
            <w:pPr>
              <w:rPr>
                <w:szCs w:val="22"/>
              </w:rPr>
            </w:pPr>
            <w:r w:rsidRPr="00D22A73">
              <w:rPr>
                <w:szCs w:val="22"/>
              </w:rPr>
              <w:t>19 (7)</w:t>
            </w:r>
          </w:p>
        </w:tc>
        <w:tc>
          <w:tcPr>
            <w:tcW w:w="1518" w:type="dxa"/>
            <w:tcBorders>
              <w:left w:val="nil"/>
              <w:right w:val="nil"/>
            </w:tcBorders>
            <w:shd w:val="clear" w:color="auto" w:fill="auto"/>
            <w:vAlign w:val="center"/>
            <w:hideMark/>
          </w:tcPr>
          <w:p w14:paraId="324DD765" w14:textId="77777777" w:rsidR="00EE7C5D" w:rsidRPr="00D22A73" w:rsidRDefault="00EE7C5D" w:rsidP="004005FF">
            <w:pPr>
              <w:rPr>
                <w:szCs w:val="22"/>
              </w:rPr>
            </w:pPr>
            <w:r w:rsidRPr="00D22A73">
              <w:rPr>
                <w:szCs w:val="22"/>
              </w:rPr>
              <w:t>17 (7)</w:t>
            </w:r>
          </w:p>
        </w:tc>
      </w:tr>
      <w:tr w:rsidR="00EE7C5D" w:rsidRPr="00D22A73" w14:paraId="7F6153B7" w14:textId="77777777" w:rsidTr="004005FF">
        <w:trPr>
          <w:trHeight w:val="20"/>
        </w:trPr>
        <w:tc>
          <w:tcPr>
            <w:tcW w:w="4285" w:type="dxa"/>
            <w:tcBorders>
              <w:left w:val="nil"/>
              <w:bottom w:val="nil"/>
              <w:right w:val="nil"/>
            </w:tcBorders>
            <w:shd w:val="clear" w:color="auto" w:fill="auto"/>
            <w:vAlign w:val="center"/>
            <w:hideMark/>
          </w:tcPr>
          <w:p w14:paraId="7A5BDBC9" w14:textId="77777777" w:rsidR="00EE7C5D" w:rsidRPr="00D22A73" w:rsidRDefault="00EE7C5D" w:rsidP="004005FF">
            <w:pPr>
              <w:rPr>
                <w:szCs w:val="22"/>
              </w:rPr>
            </w:pPr>
            <w:r w:rsidRPr="00D22A73">
              <w:rPr>
                <w:szCs w:val="22"/>
              </w:rPr>
              <w:t>Family annual income, % (n)</w:t>
            </w:r>
          </w:p>
        </w:tc>
        <w:tc>
          <w:tcPr>
            <w:tcW w:w="1769" w:type="dxa"/>
            <w:tcBorders>
              <w:left w:val="nil"/>
              <w:bottom w:val="nil"/>
              <w:right w:val="nil"/>
            </w:tcBorders>
          </w:tcPr>
          <w:p w14:paraId="310B963F" w14:textId="77777777" w:rsidR="00EE7C5D" w:rsidRPr="00D22A73" w:rsidRDefault="00EE7C5D" w:rsidP="004005FF">
            <w:pPr>
              <w:rPr>
                <w:szCs w:val="22"/>
              </w:rPr>
            </w:pPr>
          </w:p>
        </w:tc>
        <w:tc>
          <w:tcPr>
            <w:tcW w:w="1788" w:type="dxa"/>
            <w:tcBorders>
              <w:left w:val="nil"/>
              <w:bottom w:val="nil"/>
              <w:right w:val="nil"/>
            </w:tcBorders>
            <w:shd w:val="clear" w:color="auto" w:fill="auto"/>
            <w:vAlign w:val="center"/>
            <w:hideMark/>
          </w:tcPr>
          <w:p w14:paraId="248FBBD7" w14:textId="77777777" w:rsidR="00EE7C5D" w:rsidRPr="00D22A73" w:rsidRDefault="00EE7C5D" w:rsidP="004005FF">
            <w:pPr>
              <w:rPr>
                <w:szCs w:val="22"/>
              </w:rPr>
            </w:pPr>
          </w:p>
        </w:tc>
        <w:tc>
          <w:tcPr>
            <w:tcW w:w="1518" w:type="dxa"/>
            <w:tcBorders>
              <w:left w:val="nil"/>
              <w:bottom w:val="nil"/>
              <w:right w:val="nil"/>
            </w:tcBorders>
            <w:shd w:val="clear" w:color="auto" w:fill="auto"/>
            <w:vAlign w:val="center"/>
            <w:hideMark/>
          </w:tcPr>
          <w:p w14:paraId="3925EF7D" w14:textId="77777777" w:rsidR="00EE7C5D" w:rsidRPr="00D22A73" w:rsidRDefault="00EE7C5D" w:rsidP="004005FF">
            <w:pPr>
              <w:rPr>
                <w:szCs w:val="22"/>
              </w:rPr>
            </w:pPr>
          </w:p>
        </w:tc>
      </w:tr>
      <w:tr w:rsidR="00EE7C5D" w:rsidRPr="00D22A73" w14:paraId="7124DBE3" w14:textId="77777777" w:rsidTr="004005FF">
        <w:trPr>
          <w:trHeight w:val="20"/>
        </w:trPr>
        <w:tc>
          <w:tcPr>
            <w:tcW w:w="4285" w:type="dxa"/>
            <w:tcBorders>
              <w:top w:val="nil"/>
              <w:left w:val="nil"/>
              <w:bottom w:val="nil"/>
              <w:right w:val="nil"/>
            </w:tcBorders>
            <w:shd w:val="clear" w:color="auto" w:fill="auto"/>
            <w:vAlign w:val="center"/>
            <w:hideMark/>
          </w:tcPr>
          <w:p w14:paraId="53D5945B" w14:textId="77777777" w:rsidR="00EE7C5D" w:rsidRPr="00D22A73" w:rsidRDefault="00EE7C5D" w:rsidP="004005FF">
            <w:pPr>
              <w:rPr>
                <w:szCs w:val="22"/>
              </w:rPr>
            </w:pPr>
            <w:r w:rsidRPr="00D22A73">
              <w:rPr>
                <w:szCs w:val="22"/>
              </w:rPr>
              <w:t xml:space="preserve">     More than $80,000</w:t>
            </w:r>
          </w:p>
        </w:tc>
        <w:tc>
          <w:tcPr>
            <w:tcW w:w="1769" w:type="dxa"/>
            <w:tcBorders>
              <w:top w:val="nil"/>
              <w:left w:val="nil"/>
              <w:bottom w:val="nil"/>
              <w:right w:val="nil"/>
            </w:tcBorders>
          </w:tcPr>
          <w:p w14:paraId="43A95115" w14:textId="77777777" w:rsidR="00EE7C5D" w:rsidRPr="00D22A73" w:rsidRDefault="00EE7C5D" w:rsidP="004005FF">
            <w:pPr>
              <w:rPr>
                <w:szCs w:val="22"/>
              </w:rPr>
            </w:pPr>
            <w:r w:rsidRPr="00D22A73">
              <w:rPr>
                <w:szCs w:val="22"/>
              </w:rPr>
              <w:t>49 (38)</w:t>
            </w:r>
          </w:p>
        </w:tc>
        <w:tc>
          <w:tcPr>
            <w:tcW w:w="1788" w:type="dxa"/>
            <w:tcBorders>
              <w:top w:val="nil"/>
              <w:left w:val="nil"/>
              <w:bottom w:val="nil"/>
              <w:right w:val="nil"/>
            </w:tcBorders>
            <w:shd w:val="clear" w:color="auto" w:fill="auto"/>
            <w:vAlign w:val="center"/>
            <w:hideMark/>
          </w:tcPr>
          <w:p w14:paraId="51986D4B" w14:textId="77777777" w:rsidR="00EE7C5D" w:rsidRPr="00D22A73" w:rsidRDefault="00EE7C5D" w:rsidP="004005FF">
            <w:pPr>
              <w:rPr>
                <w:szCs w:val="22"/>
              </w:rPr>
            </w:pPr>
            <w:r w:rsidRPr="00D22A73">
              <w:rPr>
                <w:szCs w:val="22"/>
              </w:rPr>
              <w:t>49 (18)</w:t>
            </w:r>
          </w:p>
        </w:tc>
        <w:tc>
          <w:tcPr>
            <w:tcW w:w="1518" w:type="dxa"/>
            <w:tcBorders>
              <w:top w:val="nil"/>
              <w:left w:val="nil"/>
              <w:bottom w:val="nil"/>
              <w:right w:val="nil"/>
            </w:tcBorders>
            <w:shd w:val="clear" w:color="auto" w:fill="auto"/>
            <w:vAlign w:val="center"/>
            <w:hideMark/>
          </w:tcPr>
          <w:p w14:paraId="5FA5A7D7" w14:textId="77777777" w:rsidR="00EE7C5D" w:rsidRPr="00D22A73" w:rsidRDefault="00EE7C5D" w:rsidP="004005FF">
            <w:pPr>
              <w:rPr>
                <w:szCs w:val="22"/>
              </w:rPr>
            </w:pPr>
            <w:r w:rsidRPr="00D22A73">
              <w:rPr>
                <w:szCs w:val="22"/>
              </w:rPr>
              <w:t>49 (20)</w:t>
            </w:r>
          </w:p>
        </w:tc>
      </w:tr>
      <w:tr w:rsidR="00EE7C5D" w:rsidRPr="00D22A73" w14:paraId="45E2D99B" w14:textId="77777777" w:rsidTr="004005FF">
        <w:trPr>
          <w:trHeight w:val="20"/>
        </w:trPr>
        <w:tc>
          <w:tcPr>
            <w:tcW w:w="4285" w:type="dxa"/>
            <w:tcBorders>
              <w:top w:val="nil"/>
              <w:left w:val="nil"/>
              <w:bottom w:val="nil"/>
              <w:right w:val="nil"/>
            </w:tcBorders>
            <w:shd w:val="clear" w:color="auto" w:fill="auto"/>
            <w:vAlign w:val="center"/>
            <w:hideMark/>
          </w:tcPr>
          <w:p w14:paraId="2E148C2D" w14:textId="77777777" w:rsidR="00EE7C5D" w:rsidRPr="00D22A73" w:rsidRDefault="00EE7C5D" w:rsidP="004005FF">
            <w:pPr>
              <w:rPr>
                <w:szCs w:val="22"/>
              </w:rPr>
            </w:pPr>
            <w:r w:rsidRPr="00D22A73">
              <w:rPr>
                <w:szCs w:val="22"/>
              </w:rPr>
              <w:t xml:space="preserve">     $41,000 to $80,000</w:t>
            </w:r>
          </w:p>
        </w:tc>
        <w:tc>
          <w:tcPr>
            <w:tcW w:w="1769" w:type="dxa"/>
            <w:tcBorders>
              <w:top w:val="nil"/>
              <w:left w:val="nil"/>
              <w:bottom w:val="nil"/>
              <w:right w:val="nil"/>
            </w:tcBorders>
          </w:tcPr>
          <w:p w14:paraId="655265CC" w14:textId="77777777" w:rsidR="00EE7C5D" w:rsidRPr="00D22A73" w:rsidRDefault="00EE7C5D" w:rsidP="004005FF">
            <w:pPr>
              <w:rPr>
                <w:szCs w:val="22"/>
              </w:rPr>
            </w:pPr>
            <w:r w:rsidRPr="00D22A73">
              <w:rPr>
                <w:szCs w:val="22"/>
              </w:rPr>
              <w:t>31 (24)</w:t>
            </w:r>
          </w:p>
        </w:tc>
        <w:tc>
          <w:tcPr>
            <w:tcW w:w="1788" w:type="dxa"/>
            <w:tcBorders>
              <w:top w:val="nil"/>
              <w:left w:val="nil"/>
              <w:bottom w:val="nil"/>
              <w:right w:val="nil"/>
            </w:tcBorders>
            <w:shd w:val="clear" w:color="auto" w:fill="auto"/>
            <w:vAlign w:val="center"/>
            <w:hideMark/>
          </w:tcPr>
          <w:p w14:paraId="25183FF1" w14:textId="77777777" w:rsidR="00EE7C5D" w:rsidRPr="00D22A73" w:rsidRDefault="00EE7C5D" w:rsidP="004005FF">
            <w:pPr>
              <w:rPr>
                <w:szCs w:val="22"/>
              </w:rPr>
            </w:pPr>
            <w:r w:rsidRPr="00D22A73">
              <w:rPr>
                <w:szCs w:val="22"/>
              </w:rPr>
              <w:t>27 (10)</w:t>
            </w:r>
          </w:p>
        </w:tc>
        <w:tc>
          <w:tcPr>
            <w:tcW w:w="1518" w:type="dxa"/>
            <w:tcBorders>
              <w:top w:val="nil"/>
              <w:left w:val="nil"/>
              <w:bottom w:val="nil"/>
              <w:right w:val="nil"/>
            </w:tcBorders>
            <w:shd w:val="clear" w:color="auto" w:fill="auto"/>
            <w:vAlign w:val="center"/>
            <w:hideMark/>
          </w:tcPr>
          <w:p w14:paraId="2E59CB8E" w14:textId="77777777" w:rsidR="00EE7C5D" w:rsidRPr="00D22A73" w:rsidRDefault="00EE7C5D" w:rsidP="004005FF">
            <w:pPr>
              <w:rPr>
                <w:szCs w:val="22"/>
              </w:rPr>
            </w:pPr>
            <w:r w:rsidRPr="00D22A73">
              <w:rPr>
                <w:szCs w:val="22"/>
              </w:rPr>
              <w:t>34 (14)</w:t>
            </w:r>
          </w:p>
        </w:tc>
      </w:tr>
      <w:tr w:rsidR="00EE7C5D" w:rsidRPr="00D22A73" w14:paraId="27F1FD6E" w14:textId="77777777" w:rsidTr="004005FF">
        <w:trPr>
          <w:trHeight w:val="20"/>
        </w:trPr>
        <w:tc>
          <w:tcPr>
            <w:tcW w:w="4285" w:type="dxa"/>
            <w:tcBorders>
              <w:top w:val="nil"/>
              <w:left w:val="nil"/>
              <w:bottom w:val="nil"/>
              <w:right w:val="nil"/>
            </w:tcBorders>
            <w:shd w:val="clear" w:color="auto" w:fill="auto"/>
            <w:vAlign w:val="center"/>
            <w:hideMark/>
          </w:tcPr>
          <w:p w14:paraId="2AC2F30A" w14:textId="77777777" w:rsidR="00EE7C5D" w:rsidRPr="00D22A73" w:rsidRDefault="00EE7C5D" w:rsidP="004005FF">
            <w:pPr>
              <w:rPr>
                <w:szCs w:val="22"/>
              </w:rPr>
            </w:pPr>
            <w:r w:rsidRPr="00D22A73">
              <w:rPr>
                <w:szCs w:val="22"/>
              </w:rPr>
              <w:t xml:space="preserve">     Less than $40,000</w:t>
            </w:r>
          </w:p>
        </w:tc>
        <w:tc>
          <w:tcPr>
            <w:tcW w:w="1769" w:type="dxa"/>
            <w:tcBorders>
              <w:top w:val="nil"/>
              <w:left w:val="nil"/>
              <w:bottom w:val="nil"/>
              <w:right w:val="nil"/>
            </w:tcBorders>
          </w:tcPr>
          <w:p w14:paraId="13F29769" w14:textId="77777777" w:rsidR="00EE7C5D" w:rsidRPr="00D22A73" w:rsidRDefault="00EE7C5D" w:rsidP="004005FF">
            <w:pPr>
              <w:rPr>
                <w:szCs w:val="22"/>
              </w:rPr>
            </w:pPr>
            <w:r w:rsidRPr="00D22A73">
              <w:rPr>
                <w:szCs w:val="22"/>
              </w:rPr>
              <w:t>13 (10)</w:t>
            </w:r>
          </w:p>
        </w:tc>
        <w:tc>
          <w:tcPr>
            <w:tcW w:w="1788" w:type="dxa"/>
            <w:tcBorders>
              <w:top w:val="nil"/>
              <w:left w:val="nil"/>
              <w:bottom w:val="nil"/>
              <w:right w:val="nil"/>
            </w:tcBorders>
            <w:shd w:val="clear" w:color="auto" w:fill="auto"/>
            <w:vAlign w:val="center"/>
            <w:hideMark/>
          </w:tcPr>
          <w:p w14:paraId="5CA74347" w14:textId="77777777" w:rsidR="00EE7C5D" w:rsidRPr="00D22A73" w:rsidRDefault="00EE7C5D" w:rsidP="004005FF">
            <w:pPr>
              <w:rPr>
                <w:szCs w:val="22"/>
              </w:rPr>
            </w:pPr>
            <w:r w:rsidRPr="00D22A73">
              <w:rPr>
                <w:szCs w:val="22"/>
              </w:rPr>
              <w:t>19 (7)</w:t>
            </w:r>
          </w:p>
        </w:tc>
        <w:tc>
          <w:tcPr>
            <w:tcW w:w="1518" w:type="dxa"/>
            <w:tcBorders>
              <w:top w:val="nil"/>
              <w:left w:val="nil"/>
              <w:bottom w:val="nil"/>
              <w:right w:val="nil"/>
            </w:tcBorders>
            <w:shd w:val="clear" w:color="auto" w:fill="auto"/>
            <w:vAlign w:val="center"/>
            <w:hideMark/>
          </w:tcPr>
          <w:p w14:paraId="17CCD41C" w14:textId="77777777" w:rsidR="00EE7C5D" w:rsidRPr="00D22A73" w:rsidRDefault="00EE7C5D" w:rsidP="004005FF">
            <w:pPr>
              <w:rPr>
                <w:szCs w:val="22"/>
              </w:rPr>
            </w:pPr>
            <w:r w:rsidRPr="00D22A73">
              <w:rPr>
                <w:szCs w:val="22"/>
              </w:rPr>
              <w:t>7 (3)</w:t>
            </w:r>
          </w:p>
        </w:tc>
      </w:tr>
      <w:tr w:rsidR="00EE7C5D" w:rsidRPr="00D22A73" w14:paraId="1E302AFD" w14:textId="77777777" w:rsidTr="004005FF">
        <w:trPr>
          <w:trHeight w:val="20"/>
        </w:trPr>
        <w:tc>
          <w:tcPr>
            <w:tcW w:w="4285" w:type="dxa"/>
            <w:tcBorders>
              <w:top w:val="nil"/>
              <w:left w:val="nil"/>
              <w:bottom w:val="single" w:sz="4" w:space="0" w:color="auto"/>
              <w:right w:val="nil"/>
            </w:tcBorders>
            <w:shd w:val="clear" w:color="auto" w:fill="auto"/>
            <w:vAlign w:val="center"/>
            <w:hideMark/>
          </w:tcPr>
          <w:p w14:paraId="099434D7" w14:textId="77777777" w:rsidR="00EE7C5D" w:rsidRPr="00D22A73" w:rsidRDefault="00EE7C5D" w:rsidP="004005FF">
            <w:pPr>
              <w:rPr>
                <w:szCs w:val="22"/>
              </w:rPr>
            </w:pPr>
            <w:r w:rsidRPr="00D22A73">
              <w:rPr>
                <w:szCs w:val="22"/>
              </w:rPr>
              <w:t xml:space="preserve">     Prefer not to answer</w:t>
            </w:r>
          </w:p>
        </w:tc>
        <w:tc>
          <w:tcPr>
            <w:tcW w:w="1769" w:type="dxa"/>
            <w:tcBorders>
              <w:top w:val="nil"/>
              <w:left w:val="nil"/>
              <w:bottom w:val="single" w:sz="4" w:space="0" w:color="auto"/>
              <w:right w:val="nil"/>
            </w:tcBorders>
          </w:tcPr>
          <w:p w14:paraId="15BBC159" w14:textId="77777777" w:rsidR="00EE7C5D" w:rsidRPr="00D22A73" w:rsidRDefault="00EE7C5D" w:rsidP="004005FF">
            <w:pPr>
              <w:rPr>
                <w:szCs w:val="22"/>
              </w:rPr>
            </w:pPr>
            <w:r w:rsidRPr="00D22A73">
              <w:rPr>
                <w:szCs w:val="22"/>
              </w:rPr>
              <w:t>8 (6)</w:t>
            </w:r>
          </w:p>
        </w:tc>
        <w:tc>
          <w:tcPr>
            <w:tcW w:w="1788" w:type="dxa"/>
            <w:tcBorders>
              <w:top w:val="nil"/>
              <w:left w:val="nil"/>
              <w:bottom w:val="single" w:sz="4" w:space="0" w:color="auto"/>
              <w:right w:val="nil"/>
            </w:tcBorders>
            <w:shd w:val="clear" w:color="auto" w:fill="auto"/>
            <w:vAlign w:val="center"/>
            <w:hideMark/>
          </w:tcPr>
          <w:p w14:paraId="5EF5315F" w14:textId="77777777" w:rsidR="00EE7C5D" w:rsidRPr="00D22A73" w:rsidRDefault="00EE7C5D" w:rsidP="004005FF">
            <w:pPr>
              <w:rPr>
                <w:szCs w:val="22"/>
              </w:rPr>
            </w:pPr>
            <w:r w:rsidRPr="00D22A73">
              <w:rPr>
                <w:szCs w:val="22"/>
              </w:rPr>
              <w:t>5 (2)</w:t>
            </w:r>
          </w:p>
        </w:tc>
        <w:tc>
          <w:tcPr>
            <w:tcW w:w="1518" w:type="dxa"/>
            <w:tcBorders>
              <w:top w:val="nil"/>
              <w:left w:val="nil"/>
              <w:bottom w:val="single" w:sz="4" w:space="0" w:color="auto"/>
              <w:right w:val="nil"/>
            </w:tcBorders>
            <w:shd w:val="clear" w:color="auto" w:fill="auto"/>
            <w:vAlign w:val="center"/>
            <w:hideMark/>
          </w:tcPr>
          <w:p w14:paraId="7F73F2A2" w14:textId="77777777" w:rsidR="00EE7C5D" w:rsidRPr="00D22A73" w:rsidRDefault="00EE7C5D" w:rsidP="004005FF">
            <w:pPr>
              <w:rPr>
                <w:szCs w:val="22"/>
              </w:rPr>
            </w:pPr>
            <w:r w:rsidRPr="00D22A73">
              <w:rPr>
                <w:szCs w:val="22"/>
              </w:rPr>
              <w:t>10 (4)</w:t>
            </w:r>
          </w:p>
        </w:tc>
      </w:tr>
      <w:tr w:rsidR="00EE7C5D" w:rsidRPr="00D22A73" w14:paraId="7B62943A" w14:textId="77777777" w:rsidTr="004005FF">
        <w:trPr>
          <w:trHeight w:val="20"/>
        </w:trPr>
        <w:tc>
          <w:tcPr>
            <w:tcW w:w="9360" w:type="dxa"/>
            <w:gridSpan w:val="4"/>
            <w:tcBorders>
              <w:top w:val="single" w:sz="4" w:space="0" w:color="auto"/>
              <w:left w:val="nil"/>
              <w:right w:val="nil"/>
            </w:tcBorders>
            <w:shd w:val="clear" w:color="auto" w:fill="auto"/>
            <w:vAlign w:val="center"/>
          </w:tcPr>
          <w:p w14:paraId="38EDE262" w14:textId="77777777" w:rsidR="00EE7C5D" w:rsidRPr="00D22A73" w:rsidRDefault="00EE7C5D" w:rsidP="004005FF">
            <w:pPr>
              <w:spacing w:line="480" w:lineRule="auto"/>
              <w:rPr>
                <w:i/>
                <w:iCs/>
                <w:szCs w:val="22"/>
              </w:rPr>
            </w:pPr>
            <w:r w:rsidRPr="00D22A73">
              <w:rPr>
                <w:i/>
                <w:iCs/>
                <w:szCs w:val="22"/>
              </w:rPr>
              <w:t>Note: TAU = Treatment as Usual. *</w:t>
            </w:r>
            <w:proofErr w:type="gramStart"/>
            <w:r w:rsidRPr="00D22A73">
              <w:rPr>
                <w:i/>
                <w:iCs/>
                <w:szCs w:val="22"/>
              </w:rPr>
              <w:t>includes</w:t>
            </w:r>
            <w:proofErr w:type="gramEnd"/>
            <w:r w:rsidRPr="00D22A73">
              <w:rPr>
                <w:i/>
                <w:iCs/>
                <w:szCs w:val="22"/>
              </w:rPr>
              <w:t xml:space="preserve"> American Indian, Alaskan Native, Indigenous</w:t>
            </w:r>
          </w:p>
          <w:p w14:paraId="1912A577" w14:textId="77777777" w:rsidR="00EE7C5D" w:rsidRPr="00D22A73" w:rsidRDefault="00EE7C5D" w:rsidP="004005FF">
            <w:pPr>
              <w:rPr>
                <w:szCs w:val="22"/>
              </w:rPr>
            </w:pPr>
          </w:p>
        </w:tc>
      </w:tr>
    </w:tbl>
    <w:p w14:paraId="0FDD78A6" w14:textId="77777777" w:rsidR="00EE7C5D" w:rsidRPr="00D22A73" w:rsidRDefault="00EE7C5D" w:rsidP="00EE7C5D">
      <w:pPr>
        <w:spacing w:line="480" w:lineRule="auto"/>
      </w:pPr>
    </w:p>
    <w:p w14:paraId="3E6A2A48" w14:textId="77777777" w:rsidR="00EE7C5D" w:rsidRPr="00D22A73" w:rsidRDefault="00EE7C5D" w:rsidP="00EE7C5D">
      <w:pPr>
        <w:spacing w:line="480" w:lineRule="auto"/>
      </w:pPr>
    </w:p>
    <w:p w14:paraId="09E4EBEB" w14:textId="77777777" w:rsidR="00EE7C5D" w:rsidRPr="00D22A73" w:rsidRDefault="00EE7C5D" w:rsidP="00EE7C5D">
      <w:pPr>
        <w:spacing w:line="480" w:lineRule="auto"/>
      </w:pPr>
    </w:p>
    <w:p w14:paraId="2E3B4F18" w14:textId="77777777" w:rsidR="00EE7C5D" w:rsidRPr="00D22A73" w:rsidRDefault="00EE7C5D" w:rsidP="00EE7C5D">
      <w:pPr>
        <w:spacing w:line="480" w:lineRule="auto"/>
      </w:pPr>
    </w:p>
    <w:p w14:paraId="34561274" w14:textId="77777777" w:rsidR="00EE7C5D" w:rsidRPr="00D22A73" w:rsidRDefault="00EE7C5D" w:rsidP="00EE7C5D">
      <w:pPr>
        <w:spacing w:line="480" w:lineRule="auto"/>
      </w:pPr>
    </w:p>
    <w:p w14:paraId="650EB199" w14:textId="77777777" w:rsidR="00EE7C5D" w:rsidRPr="00D22A73" w:rsidRDefault="00EE7C5D" w:rsidP="00EE7C5D">
      <w:pPr>
        <w:spacing w:line="480" w:lineRule="auto"/>
      </w:pPr>
    </w:p>
    <w:p w14:paraId="7FC02307" w14:textId="77777777" w:rsidR="00EE7C5D" w:rsidRPr="00D22A73" w:rsidRDefault="00EE7C5D" w:rsidP="00EE7C5D">
      <w:pPr>
        <w:spacing w:line="480" w:lineRule="auto"/>
      </w:pPr>
    </w:p>
    <w:p w14:paraId="090CCBB1" w14:textId="77777777" w:rsidR="00EE7C5D" w:rsidRPr="00D22A73" w:rsidRDefault="00EE7C5D" w:rsidP="00EE7C5D">
      <w:pPr>
        <w:spacing w:line="480" w:lineRule="auto"/>
      </w:pPr>
    </w:p>
    <w:p w14:paraId="4AEEFA6D" w14:textId="77777777" w:rsidR="00EE7C5D" w:rsidRPr="00D22A73" w:rsidRDefault="00EE7C5D" w:rsidP="00EE7C5D">
      <w:pPr>
        <w:spacing w:line="480" w:lineRule="auto"/>
      </w:pPr>
    </w:p>
    <w:p w14:paraId="4D09F91F" w14:textId="77777777" w:rsidR="00EE7C5D" w:rsidRPr="00D22A73" w:rsidRDefault="00EE7C5D" w:rsidP="00EE7C5D">
      <w:pPr>
        <w:spacing w:line="480" w:lineRule="auto"/>
      </w:pPr>
    </w:p>
    <w:p w14:paraId="12A6E5B8" w14:textId="77777777" w:rsidR="00EE7C5D" w:rsidRPr="00D22A73" w:rsidRDefault="00EE7C5D" w:rsidP="00EE7C5D">
      <w:pPr>
        <w:spacing w:line="480" w:lineRule="auto"/>
      </w:pPr>
    </w:p>
    <w:p w14:paraId="27C773F3" w14:textId="77777777" w:rsidR="00EE7C5D" w:rsidRPr="00D22A73" w:rsidRDefault="00EE7C5D" w:rsidP="00EE7C5D">
      <w:pPr>
        <w:spacing w:line="480" w:lineRule="auto"/>
      </w:pPr>
      <w:r w:rsidRPr="00D22A73">
        <w:t>Table 2. Results of the linear mixed effects modeling testing for moderation of the effect of the intervention on each listed outcome using likelihood ratio tests.</w:t>
      </w:r>
    </w:p>
    <w:tbl>
      <w:tblPr>
        <w:tblW w:w="7450" w:type="dxa"/>
        <w:tblLook w:val="04A0" w:firstRow="1" w:lastRow="0" w:firstColumn="1" w:lastColumn="0" w:noHBand="0" w:noVBand="1"/>
      </w:tblPr>
      <w:tblGrid>
        <w:gridCol w:w="4320"/>
        <w:gridCol w:w="1080"/>
        <w:gridCol w:w="750"/>
        <w:gridCol w:w="1300"/>
      </w:tblGrid>
      <w:tr w:rsidR="00EE7C5D" w:rsidRPr="00D22A73" w14:paraId="5E67E121" w14:textId="77777777" w:rsidTr="004005FF">
        <w:trPr>
          <w:trHeight w:val="320"/>
        </w:trPr>
        <w:tc>
          <w:tcPr>
            <w:tcW w:w="4320" w:type="dxa"/>
            <w:tcBorders>
              <w:top w:val="single" w:sz="4" w:space="0" w:color="auto"/>
              <w:left w:val="nil"/>
              <w:bottom w:val="single" w:sz="4" w:space="0" w:color="auto"/>
              <w:right w:val="nil"/>
            </w:tcBorders>
            <w:shd w:val="clear" w:color="auto" w:fill="auto"/>
            <w:noWrap/>
            <w:vAlign w:val="bottom"/>
            <w:hideMark/>
          </w:tcPr>
          <w:p w14:paraId="29B7FC48" w14:textId="77777777" w:rsidR="00EE7C5D" w:rsidRPr="00D22A73" w:rsidRDefault="00EE7C5D" w:rsidP="004005FF">
            <w:pPr>
              <w:rPr>
                <w:b/>
                <w:bCs/>
              </w:rPr>
            </w:pPr>
          </w:p>
        </w:tc>
        <w:tc>
          <w:tcPr>
            <w:tcW w:w="1080" w:type="dxa"/>
            <w:tcBorders>
              <w:top w:val="single" w:sz="4" w:space="0" w:color="auto"/>
              <w:left w:val="nil"/>
              <w:bottom w:val="single" w:sz="4" w:space="0" w:color="auto"/>
              <w:right w:val="nil"/>
            </w:tcBorders>
            <w:shd w:val="clear" w:color="auto" w:fill="auto"/>
            <w:noWrap/>
            <w:vAlign w:val="bottom"/>
            <w:hideMark/>
          </w:tcPr>
          <w:p w14:paraId="1256292E" w14:textId="77777777" w:rsidR="00EE7C5D" w:rsidRPr="00D22A73" w:rsidRDefault="00EE7C5D" w:rsidP="004005FF">
            <w:pPr>
              <w:rPr>
                <w:b/>
                <w:bCs/>
              </w:rPr>
            </w:pPr>
            <w:r w:rsidRPr="00D22A73">
              <w:rPr>
                <w:b/>
                <w:bCs/>
              </w:rPr>
              <w:t>Chi-Square</w:t>
            </w:r>
          </w:p>
        </w:tc>
        <w:tc>
          <w:tcPr>
            <w:tcW w:w="750" w:type="dxa"/>
            <w:tcBorders>
              <w:top w:val="single" w:sz="4" w:space="0" w:color="auto"/>
              <w:left w:val="nil"/>
              <w:bottom w:val="single" w:sz="4" w:space="0" w:color="auto"/>
              <w:right w:val="nil"/>
            </w:tcBorders>
            <w:shd w:val="clear" w:color="auto" w:fill="auto"/>
            <w:noWrap/>
            <w:vAlign w:val="bottom"/>
            <w:hideMark/>
          </w:tcPr>
          <w:p w14:paraId="0E768715" w14:textId="77777777" w:rsidR="00EE7C5D" w:rsidRPr="00D22A73" w:rsidRDefault="00EE7C5D" w:rsidP="004005FF">
            <w:pPr>
              <w:rPr>
                <w:b/>
                <w:bCs/>
              </w:rPr>
            </w:pPr>
            <w:r w:rsidRPr="00D22A73">
              <w:rPr>
                <w:b/>
                <w:bCs/>
              </w:rPr>
              <w:t>df</w:t>
            </w:r>
          </w:p>
        </w:tc>
        <w:tc>
          <w:tcPr>
            <w:tcW w:w="1300" w:type="dxa"/>
            <w:tcBorders>
              <w:top w:val="single" w:sz="4" w:space="0" w:color="auto"/>
              <w:left w:val="nil"/>
              <w:bottom w:val="single" w:sz="4" w:space="0" w:color="auto"/>
              <w:right w:val="nil"/>
            </w:tcBorders>
            <w:shd w:val="clear" w:color="auto" w:fill="auto"/>
            <w:noWrap/>
            <w:vAlign w:val="bottom"/>
            <w:hideMark/>
          </w:tcPr>
          <w:p w14:paraId="7428DB09" w14:textId="77777777" w:rsidR="00EE7C5D" w:rsidRPr="00D22A73" w:rsidRDefault="00EE7C5D" w:rsidP="004005FF">
            <w:pPr>
              <w:rPr>
                <w:b/>
                <w:bCs/>
              </w:rPr>
            </w:pPr>
            <w:r w:rsidRPr="00D22A73">
              <w:rPr>
                <w:b/>
                <w:bCs/>
              </w:rPr>
              <w:t>P-Value</w:t>
            </w:r>
          </w:p>
        </w:tc>
      </w:tr>
      <w:tr w:rsidR="00EE7C5D" w:rsidRPr="00D22A73" w14:paraId="1D004390" w14:textId="77777777" w:rsidTr="004005FF">
        <w:trPr>
          <w:trHeight w:val="320"/>
        </w:trPr>
        <w:tc>
          <w:tcPr>
            <w:tcW w:w="4320" w:type="dxa"/>
            <w:tcBorders>
              <w:top w:val="single" w:sz="4" w:space="0" w:color="auto"/>
              <w:left w:val="nil"/>
              <w:bottom w:val="nil"/>
              <w:right w:val="nil"/>
            </w:tcBorders>
            <w:shd w:val="clear" w:color="auto" w:fill="auto"/>
            <w:noWrap/>
            <w:vAlign w:val="bottom"/>
            <w:hideMark/>
          </w:tcPr>
          <w:p w14:paraId="52348860" w14:textId="77777777" w:rsidR="00EE7C5D" w:rsidRPr="00D22A73" w:rsidRDefault="00EE7C5D" w:rsidP="004005FF">
            <w:pPr>
              <w:rPr>
                <w:b/>
                <w:bCs/>
              </w:rPr>
            </w:pPr>
            <w:r w:rsidRPr="00D22A73">
              <w:rPr>
                <w:b/>
                <w:bCs/>
              </w:rPr>
              <w:t>Moderator: AAQ-MCHL</w:t>
            </w:r>
          </w:p>
        </w:tc>
        <w:tc>
          <w:tcPr>
            <w:tcW w:w="1080" w:type="dxa"/>
            <w:tcBorders>
              <w:top w:val="single" w:sz="4" w:space="0" w:color="auto"/>
              <w:left w:val="nil"/>
              <w:bottom w:val="nil"/>
              <w:right w:val="nil"/>
            </w:tcBorders>
            <w:shd w:val="clear" w:color="auto" w:fill="auto"/>
            <w:noWrap/>
            <w:vAlign w:val="bottom"/>
            <w:hideMark/>
          </w:tcPr>
          <w:p w14:paraId="4460BF77" w14:textId="77777777" w:rsidR="00EE7C5D" w:rsidRPr="00D22A73" w:rsidRDefault="00EE7C5D" w:rsidP="004005FF">
            <w:pPr>
              <w:rPr>
                <w:b/>
                <w:bCs/>
              </w:rPr>
            </w:pPr>
          </w:p>
        </w:tc>
        <w:tc>
          <w:tcPr>
            <w:tcW w:w="750" w:type="dxa"/>
            <w:tcBorders>
              <w:top w:val="single" w:sz="4" w:space="0" w:color="auto"/>
              <w:left w:val="nil"/>
              <w:bottom w:val="nil"/>
              <w:right w:val="nil"/>
            </w:tcBorders>
            <w:shd w:val="clear" w:color="auto" w:fill="auto"/>
            <w:noWrap/>
            <w:vAlign w:val="bottom"/>
            <w:hideMark/>
          </w:tcPr>
          <w:p w14:paraId="4E9E03FB" w14:textId="77777777" w:rsidR="00EE7C5D" w:rsidRPr="00D22A73" w:rsidRDefault="00EE7C5D" w:rsidP="004005FF">
            <w:pPr>
              <w:rPr>
                <w:sz w:val="20"/>
                <w:szCs w:val="20"/>
              </w:rPr>
            </w:pPr>
          </w:p>
        </w:tc>
        <w:tc>
          <w:tcPr>
            <w:tcW w:w="1300" w:type="dxa"/>
            <w:tcBorders>
              <w:top w:val="single" w:sz="4" w:space="0" w:color="auto"/>
              <w:left w:val="nil"/>
              <w:bottom w:val="nil"/>
              <w:right w:val="nil"/>
            </w:tcBorders>
            <w:shd w:val="clear" w:color="auto" w:fill="auto"/>
            <w:noWrap/>
            <w:vAlign w:val="bottom"/>
            <w:hideMark/>
          </w:tcPr>
          <w:p w14:paraId="1F0BA687" w14:textId="77777777" w:rsidR="00EE7C5D" w:rsidRPr="00D22A73" w:rsidRDefault="00EE7C5D" w:rsidP="004005FF">
            <w:pPr>
              <w:rPr>
                <w:sz w:val="20"/>
                <w:szCs w:val="20"/>
              </w:rPr>
            </w:pPr>
          </w:p>
        </w:tc>
      </w:tr>
      <w:tr w:rsidR="00EE7C5D" w:rsidRPr="00D22A73" w14:paraId="5FF83956" w14:textId="77777777" w:rsidTr="004005FF">
        <w:trPr>
          <w:trHeight w:val="320"/>
        </w:trPr>
        <w:tc>
          <w:tcPr>
            <w:tcW w:w="4320" w:type="dxa"/>
            <w:tcBorders>
              <w:top w:val="nil"/>
              <w:left w:val="nil"/>
              <w:bottom w:val="nil"/>
              <w:right w:val="nil"/>
            </w:tcBorders>
            <w:shd w:val="clear" w:color="auto" w:fill="auto"/>
            <w:noWrap/>
            <w:vAlign w:val="bottom"/>
            <w:hideMark/>
          </w:tcPr>
          <w:p w14:paraId="2E2CBFD5" w14:textId="77777777" w:rsidR="00EE7C5D" w:rsidRPr="00D22A73" w:rsidRDefault="00EE7C5D" w:rsidP="004005FF">
            <w:pPr>
              <w:ind w:firstLineChars="100" w:firstLine="220"/>
            </w:pPr>
            <w:r w:rsidRPr="00D22A73">
              <w:t>Outcome: Knowledge</w:t>
            </w:r>
          </w:p>
        </w:tc>
        <w:tc>
          <w:tcPr>
            <w:tcW w:w="1080" w:type="dxa"/>
            <w:tcBorders>
              <w:top w:val="nil"/>
              <w:left w:val="nil"/>
              <w:bottom w:val="nil"/>
              <w:right w:val="nil"/>
            </w:tcBorders>
            <w:shd w:val="clear" w:color="auto" w:fill="auto"/>
            <w:noWrap/>
            <w:vAlign w:val="bottom"/>
            <w:hideMark/>
          </w:tcPr>
          <w:p w14:paraId="05C82407" w14:textId="77777777" w:rsidR="00EE7C5D" w:rsidRPr="00D22A73" w:rsidRDefault="00EE7C5D" w:rsidP="004005FF">
            <w:r w:rsidRPr="00D22A73">
              <w:t>4.643</w:t>
            </w:r>
          </w:p>
        </w:tc>
        <w:tc>
          <w:tcPr>
            <w:tcW w:w="750" w:type="dxa"/>
            <w:tcBorders>
              <w:top w:val="nil"/>
              <w:left w:val="nil"/>
              <w:bottom w:val="nil"/>
              <w:right w:val="nil"/>
            </w:tcBorders>
            <w:shd w:val="clear" w:color="auto" w:fill="auto"/>
            <w:noWrap/>
            <w:vAlign w:val="bottom"/>
            <w:hideMark/>
          </w:tcPr>
          <w:p w14:paraId="6A1AC541" w14:textId="77777777" w:rsidR="00EE7C5D" w:rsidRPr="00D22A73" w:rsidRDefault="00EE7C5D" w:rsidP="004005FF">
            <w:r w:rsidRPr="00D22A73">
              <w:t>5</w:t>
            </w:r>
          </w:p>
        </w:tc>
        <w:tc>
          <w:tcPr>
            <w:tcW w:w="1300" w:type="dxa"/>
            <w:tcBorders>
              <w:top w:val="nil"/>
              <w:left w:val="nil"/>
              <w:bottom w:val="nil"/>
              <w:right w:val="nil"/>
            </w:tcBorders>
            <w:shd w:val="clear" w:color="auto" w:fill="auto"/>
            <w:noWrap/>
            <w:vAlign w:val="bottom"/>
            <w:hideMark/>
          </w:tcPr>
          <w:p w14:paraId="200E4EF8" w14:textId="77777777" w:rsidR="00EE7C5D" w:rsidRPr="00D22A73" w:rsidRDefault="00EE7C5D" w:rsidP="004005FF">
            <w:r w:rsidRPr="00D22A73">
              <w:t>.461</w:t>
            </w:r>
          </w:p>
        </w:tc>
      </w:tr>
      <w:tr w:rsidR="00EE7C5D" w:rsidRPr="00D22A73" w14:paraId="6203EAE9" w14:textId="77777777" w:rsidTr="004005FF">
        <w:trPr>
          <w:trHeight w:val="320"/>
        </w:trPr>
        <w:tc>
          <w:tcPr>
            <w:tcW w:w="4320" w:type="dxa"/>
            <w:tcBorders>
              <w:top w:val="nil"/>
              <w:left w:val="nil"/>
              <w:bottom w:val="nil"/>
              <w:right w:val="nil"/>
            </w:tcBorders>
            <w:shd w:val="clear" w:color="auto" w:fill="auto"/>
            <w:noWrap/>
            <w:vAlign w:val="bottom"/>
            <w:hideMark/>
          </w:tcPr>
          <w:p w14:paraId="50BC8FC1" w14:textId="77777777" w:rsidR="00EE7C5D" w:rsidRPr="00D22A73" w:rsidRDefault="00EE7C5D" w:rsidP="004005FF">
            <w:pPr>
              <w:ind w:firstLineChars="100" w:firstLine="220"/>
            </w:pPr>
            <w:r w:rsidRPr="00D22A73">
              <w:t>Outcome: Monitoring</w:t>
            </w:r>
          </w:p>
        </w:tc>
        <w:tc>
          <w:tcPr>
            <w:tcW w:w="1080" w:type="dxa"/>
            <w:tcBorders>
              <w:top w:val="nil"/>
              <w:left w:val="nil"/>
              <w:bottom w:val="nil"/>
              <w:right w:val="nil"/>
            </w:tcBorders>
            <w:shd w:val="clear" w:color="auto" w:fill="auto"/>
            <w:noWrap/>
            <w:vAlign w:val="bottom"/>
            <w:hideMark/>
          </w:tcPr>
          <w:p w14:paraId="6CE3AE16" w14:textId="77777777" w:rsidR="00EE7C5D" w:rsidRPr="00D22A73" w:rsidRDefault="00EE7C5D" w:rsidP="004005FF">
            <w:r w:rsidRPr="00D22A73">
              <w:t>12.55</w:t>
            </w:r>
          </w:p>
        </w:tc>
        <w:tc>
          <w:tcPr>
            <w:tcW w:w="750" w:type="dxa"/>
            <w:tcBorders>
              <w:top w:val="nil"/>
              <w:left w:val="nil"/>
              <w:bottom w:val="nil"/>
              <w:right w:val="nil"/>
            </w:tcBorders>
            <w:shd w:val="clear" w:color="auto" w:fill="auto"/>
            <w:noWrap/>
            <w:vAlign w:val="bottom"/>
            <w:hideMark/>
          </w:tcPr>
          <w:p w14:paraId="759A6D10" w14:textId="77777777" w:rsidR="00EE7C5D" w:rsidRPr="00D22A73" w:rsidRDefault="00EE7C5D" w:rsidP="004005FF">
            <w:r w:rsidRPr="00D22A73">
              <w:t>5</w:t>
            </w:r>
          </w:p>
        </w:tc>
        <w:tc>
          <w:tcPr>
            <w:tcW w:w="1300" w:type="dxa"/>
            <w:tcBorders>
              <w:top w:val="nil"/>
              <w:left w:val="nil"/>
              <w:bottom w:val="nil"/>
              <w:right w:val="nil"/>
            </w:tcBorders>
            <w:shd w:val="clear" w:color="auto" w:fill="auto"/>
            <w:noWrap/>
            <w:vAlign w:val="bottom"/>
            <w:hideMark/>
          </w:tcPr>
          <w:p w14:paraId="4056EE62" w14:textId="77777777" w:rsidR="00EE7C5D" w:rsidRPr="00D22A73" w:rsidRDefault="00EE7C5D" w:rsidP="004005FF">
            <w:pPr>
              <w:rPr>
                <w:b/>
                <w:bCs/>
              </w:rPr>
            </w:pPr>
            <w:r w:rsidRPr="00D22A73">
              <w:rPr>
                <w:b/>
                <w:bCs/>
              </w:rPr>
              <w:t>.028</w:t>
            </w:r>
          </w:p>
        </w:tc>
      </w:tr>
      <w:tr w:rsidR="00EE7C5D" w:rsidRPr="00D22A73" w14:paraId="5D00DBC1" w14:textId="77777777" w:rsidTr="004005FF">
        <w:trPr>
          <w:trHeight w:val="320"/>
        </w:trPr>
        <w:tc>
          <w:tcPr>
            <w:tcW w:w="4320" w:type="dxa"/>
            <w:tcBorders>
              <w:top w:val="nil"/>
              <w:left w:val="nil"/>
              <w:bottom w:val="nil"/>
              <w:right w:val="nil"/>
            </w:tcBorders>
            <w:shd w:val="clear" w:color="auto" w:fill="auto"/>
            <w:noWrap/>
            <w:vAlign w:val="bottom"/>
            <w:hideMark/>
          </w:tcPr>
          <w:p w14:paraId="4B57C728" w14:textId="77777777" w:rsidR="00EE7C5D" w:rsidRPr="00D22A73" w:rsidRDefault="00EE7C5D" w:rsidP="004005FF">
            <w:pPr>
              <w:ind w:firstLineChars="100" w:firstLine="220"/>
            </w:pPr>
            <w:r w:rsidRPr="00D22A73">
              <w:t>Outcome: Parent Perceptions (Scale 1)</w:t>
            </w:r>
          </w:p>
        </w:tc>
        <w:tc>
          <w:tcPr>
            <w:tcW w:w="1080" w:type="dxa"/>
            <w:tcBorders>
              <w:top w:val="nil"/>
              <w:left w:val="nil"/>
              <w:bottom w:val="nil"/>
              <w:right w:val="nil"/>
            </w:tcBorders>
            <w:shd w:val="clear" w:color="auto" w:fill="auto"/>
            <w:noWrap/>
            <w:vAlign w:val="bottom"/>
            <w:hideMark/>
          </w:tcPr>
          <w:p w14:paraId="0180338F" w14:textId="77777777" w:rsidR="00EE7C5D" w:rsidRPr="00D22A73" w:rsidRDefault="00EE7C5D" w:rsidP="004005FF">
            <w:r w:rsidRPr="00D22A73">
              <w:t>8.743</w:t>
            </w:r>
          </w:p>
        </w:tc>
        <w:tc>
          <w:tcPr>
            <w:tcW w:w="750" w:type="dxa"/>
            <w:tcBorders>
              <w:top w:val="nil"/>
              <w:left w:val="nil"/>
              <w:bottom w:val="nil"/>
              <w:right w:val="nil"/>
            </w:tcBorders>
            <w:shd w:val="clear" w:color="auto" w:fill="auto"/>
            <w:noWrap/>
            <w:vAlign w:val="bottom"/>
            <w:hideMark/>
          </w:tcPr>
          <w:p w14:paraId="2E46A940" w14:textId="77777777" w:rsidR="00EE7C5D" w:rsidRPr="00D22A73" w:rsidRDefault="00EE7C5D" w:rsidP="004005FF">
            <w:r w:rsidRPr="00D22A73">
              <w:t>5</w:t>
            </w:r>
          </w:p>
        </w:tc>
        <w:tc>
          <w:tcPr>
            <w:tcW w:w="1300" w:type="dxa"/>
            <w:tcBorders>
              <w:top w:val="nil"/>
              <w:left w:val="nil"/>
              <w:bottom w:val="nil"/>
              <w:right w:val="nil"/>
            </w:tcBorders>
            <w:shd w:val="clear" w:color="auto" w:fill="auto"/>
            <w:noWrap/>
            <w:vAlign w:val="bottom"/>
            <w:hideMark/>
          </w:tcPr>
          <w:p w14:paraId="67D7CDD9" w14:textId="77777777" w:rsidR="00EE7C5D" w:rsidRPr="00D22A73" w:rsidRDefault="00EE7C5D" w:rsidP="004005FF">
            <w:r w:rsidRPr="00D22A73">
              <w:t>.120</w:t>
            </w:r>
          </w:p>
        </w:tc>
      </w:tr>
      <w:tr w:rsidR="00EE7C5D" w:rsidRPr="00D22A73" w14:paraId="3EE2C1F5" w14:textId="77777777" w:rsidTr="004005FF">
        <w:trPr>
          <w:trHeight w:val="320"/>
        </w:trPr>
        <w:tc>
          <w:tcPr>
            <w:tcW w:w="4320" w:type="dxa"/>
            <w:tcBorders>
              <w:top w:val="nil"/>
              <w:left w:val="nil"/>
              <w:bottom w:val="nil"/>
              <w:right w:val="nil"/>
            </w:tcBorders>
            <w:shd w:val="clear" w:color="auto" w:fill="auto"/>
            <w:noWrap/>
            <w:vAlign w:val="bottom"/>
            <w:hideMark/>
          </w:tcPr>
          <w:p w14:paraId="04FB5C13" w14:textId="77777777" w:rsidR="00EE7C5D" w:rsidRPr="00D22A73" w:rsidRDefault="00EE7C5D" w:rsidP="004005FF">
            <w:pPr>
              <w:ind w:firstLineChars="100" w:firstLine="220"/>
            </w:pPr>
            <w:r w:rsidRPr="00D22A73">
              <w:t>Outcome: Parent Perceptions (Scale 2)</w:t>
            </w:r>
          </w:p>
        </w:tc>
        <w:tc>
          <w:tcPr>
            <w:tcW w:w="1080" w:type="dxa"/>
            <w:tcBorders>
              <w:top w:val="nil"/>
              <w:left w:val="nil"/>
              <w:bottom w:val="nil"/>
              <w:right w:val="nil"/>
            </w:tcBorders>
            <w:shd w:val="clear" w:color="auto" w:fill="auto"/>
            <w:noWrap/>
            <w:vAlign w:val="bottom"/>
            <w:hideMark/>
          </w:tcPr>
          <w:p w14:paraId="3A07FA07" w14:textId="77777777" w:rsidR="00EE7C5D" w:rsidRPr="00D22A73" w:rsidRDefault="00EE7C5D" w:rsidP="004005FF">
            <w:r w:rsidRPr="00D22A73">
              <w:t>3.628</w:t>
            </w:r>
          </w:p>
        </w:tc>
        <w:tc>
          <w:tcPr>
            <w:tcW w:w="750" w:type="dxa"/>
            <w:tcBorders>
              <w:top w:val="nil"/>
              <w:left w:val="nil"/>
              <w:bottom w:val="nil"/>
              <w:right w:val="nil"/>
            </w:tcBorders>
            <w:shd w:val="clear" w:color="auto" w:fill="auto"/>
            <w:noWrap/>
            <w:vAlign w:val="bottom"/>
            <w:hideMark/>
          </w:tcPr>
          <w:p w14:paraId="5F0FB010" w14:textId="77777777" w:rsidR="00EE7C5D" w:rsidRPr="00D22A73" w:rsidRDefault="00EE7C5D" w:rsidP="004005FF">
            <w:r w:rsidRPr="00D22A73">
              <w:t>5</w:t>
            </w:r>
          </w:p>
        </w:tc>
        <w:tc>
          <w:tcPr>
            <w:tcW w:w="1300" w:type="dxa"/>
            <w:tcBorders>
              <w:top w:val="nil"/>
              <w:left w:val="nil"/>
              <w:bottom w:val="nil"/>
              <w:right w:val="nil"/>
            </w:tcBorders>
            <w:shd w:val="clear" w:color="auto" w:fill="auto"/>
            <w:noWrap/>
            <w:vAlign w:val="bottom"/>
            <w:hideMark/>
          </w:tcPr>
          <w:p w14:paraId="77E247A0" w14:textId="77777777" w:rsidR="00EE7C5D" w:rsidRPr="00D22A73" w:rsidRDefault="00EE7C5D" w:rsidP="004005FF">
            <w:r w:rsidRPr="00D22A73">
              <w:t>.604</w:t>
            </w:r>
          </w:p>
        </w:tc>
      </w:tr>
      <w:tr w:rsidR="00EE7C5D" w:rsidRPr="00D22A73" w14:paraId="45AEF914" w14:textId="77777777" w:rsidTr="004005FF">
        <w:trPr>
          <w:trHeight w:val="320"/>
        </w:trPr>
        <w:tc>
          <w:tcPr>
            <w:tcW w:w="5400" w:type="dxa"/>
            <w:gridSpan w:val="2"/>
            <w:tcBorders>
              <w:top w:val="nil"/>
              <w:left w:val="nil"/>
              <w:bottom w:val="nil"/>
              <w:right w:val="nil"/>
            </w:tcBorders>
            <w:shd w:val="clear" w:color="auto" w:fill="auto"/>
            <w:noWrap/>
            <w:vAlign w:val="bottom"/>
            <w:hideMark/>
          </w:tcPr>
          <w:p w14:paraId="1C379F29" w14:textId="77777777" w:rsidR="00EE7C5D" w:rsidRPr="00D22A73" w:rsidRDefault="00EE7C5D" w:rsidP="004005FF">
            <w:pPr>
              <w:rPr>
                <w:b/>
                <w:bCs/>
              </w:rPr>
            </w:pPr>
            <w:r w:rsidRPr="00D22A73">
              <w:rPr>
                <w:b/>
                <w:bCs/>
              </w:rPr>
              <w:t>Moderator: Parent Activation</w:t>
            </w:r>
          </w:p>
        </w:tc>
        <w:tc>
          <w:tcPr>
            <w:tcW w:w="750" w:type="dxa"/>
            <w:tcBorders>
              <w:top w:val="nil"/>
              <w:left w:val="nil"/>
              <w:bottom w:val="nil"/>
              <w:right w:val="nil"/>
            </w:tcBorders>
            <w:shd w:val="clear" w:color="auto" w:fill="auto"/>
            <w:noWrap/>
            <w:vAlign w:val="bottom"/>
            <w:hideMark/>
          </w:tcPr>
          <w:p w14:paraId="1CE1A27E" w14:textId="77777777" w:rsidR="00EE7C5D" w:rsidRPr="00D22A73" w:rsidRDefault="00EE7C5D" w:rsidP="004005FF">
            <w:pPr>
              <w:rPr>
                <w:b/>
                <w:bCs/>
              </w:rPr>
            </w:pPr>
          </w:p>
        </w:tc>
        <w:tc>
          <w:tcPr>
            <w:tcW w:w="1300" w:type="dxa"/>
            <w:tcBorders>
              <w:top w:val="nil"/>
              <w:left w:val="nil"/>
              <w:bottom w:val="nil"/>
              <w:right w:val="nil"/>
            </w:tcBorders>
            <w:shd w:val="clear" w:color="auto" w:fill="auto"/>
            <w:noWrap/>
            <w:vAlign w:val="bottom"/>
            <w:hideMark/>
          </w:tcPr>
          <w:p w14:paraId="172370E7" w14:textId="77777777" w:rsidR="00EE7C5D" w:rsidRPr="00D22A73" w:rsidRDefault="00EE7C5D" w:rsidP="004005FF">
            <w:pPr>
              <w:rPr>
                <w:sz w:val="20"/>
                <w:szCs w:val="20"/>
              </w:rPr>
            </w:pPr>
          </w:p>
        </w:tc>
      </w:tr>
      <w:tr w:rsidR="00EE7C5D" w:rsidRPr="00D22A73" w14:paraId="18B848C4" w14:textId="77777777" w:rsidTr="004005FF">
        <w:trPr>
          <w:trHeight w:val="320"/>
        </w:trPr>
        <w:tc>
          <w:tcPr>
            <w:tcW w:w="4320" w:type="dxa"/>
            <w:tcBorders>
              <w:top w:val="nil"/>
              <w:left w:val="nil"/>
              <w:bottom w:val="nil"/>
              <w:right w:val="nil"/>
            </w:tcBorders>
            <w:shd w:val="clear" w:color="auto" w:fill="auto"/>
            <w:noWrap/>
            <w:vAlign w:val="bottom"/>
            <w:hideMark/>
          </w:tcPr>
          <w:p w14:paraId="64963FB7" w14:textId="77777777" w:rsidR="00EE7C5D" w:rsidRPr="00D22A73" w:rsidRDefault="00EE7C5D" w:rsidP="004005FF">
            <w:pPr>
              <w:ind w:firstLineChars="100" w:firstLine="220"/>
            </w:pPr>
            <w:r w:rsidRPr="00D22A73">
              <w:t>Outcome: Knowledge</w:t>
            </w:r>
          </w:p>
        </w:tc>
        <w:tc>
          <w:tcPr>
            <w:tcW w:w="1080" w:type="dxa"/>
            <w:tcBorders>
              <w:top w:val="nil"/>
              <w:left w:val="nil"/>
              <w:bottom w:val="nil"/>
              <w:right w:val="nil"/>
            </w:tcBorders>
            <w:shd w:val="clear" w:color="auto" w:fill="auto"/>
            <w:noWrap/>
            <w:vAlign w:val="bottom"/>
            <w:hideMark/>
          </w:tcPr>
          <w:p w14:paraId="73174C4F" w14:textId="77777777" w:rsidR="00EE7C5D" w:rsidRPr="00D22A73" w:rsidRDefault="00EE7C5D" w:rsidP="004005FF">
            <w:r w:rsidRPr="00D22A73">
              <w:t>15.34</w:t>
            </w:r>
          </w:p>
        </w:tc>
        <w:tc>
          <w:tcPr>
            <w:tcW w:w="750" w:type="dxa"/>
            <w:tcBorders>
              <w:top w:val="nil"/>
              <w:left w:val="nil"/>
              <w:bottom w:val="nil"/>
              <w:right w:val="nil"/>
            </w:tcBorders>
            <w:shd w:val="clear" w:color="auto" w:fill="auto"/>
            <w:noWrap/>
            <w:vAlign w:val="bottom"/>
            <w:hideMark/>
          </w:tcPr>
          <w:p w14:paraId="5FD76410" w14:textId="77777777" w:rsidR="00EE7C5D" w:rsidRPr="00D22A73" w:rsidRDefault="00EE7C5D" w:rsidP="004005FF">
            <w:r w:rsidRPr="00D22A73">
              <w:t>5</w:t>
            </w:r>
          </w:p>
        </w:tc>
        <w:tc>
          <w:tcPr>
            <w:tcW w:w="1300" w:type="dxa"/>
            <w:tcBorders>
              <w:top w:val="nil"/>
              <w:left w:val="nil"/>
              <w:bottom w:val="nil"/>
              <w:right w:val="nil"/>
            </w:tcBorders>
            <w:shd w:val="clear" w:color="auto" w:fill="auto"/>
            <w:noWrap/>
            <w:vAlign w:val="bottom"/>
            <w:hideMark/>
          </w:tcPr>
          <w:p w14:paraId="6526B345" w14:textId="77777777" w:rsidR="00EE7C5D" w:rsidRPr="00D22A73" w:rsidRDefault="00EE7C5D" w:rsidP="004005FF">
            <w:pPr>
              <w:rPr>
                <w:b/>
                <w:bCs/>
              </w:rPr>
            </w:pPr>
            <w:r w:rsidRPr="00D22A73">
              <w:rPr>
                <w:b/>
                <w:bCs/>
              </w:rPr>
              <w:t>.009</w:t>
            </w:r>
          </w:p>
        </w:tc>
      </w:tr>
      <w:tr w:rsidR="00EE7C5D" w:rsidRPr="00D22A73" w14:paraId="6F13B884" w14:textId="77777777" w:rsidTr="004005FF">
        <w:trPr>
          <w:trHeight w:val="320"/>
        </w:trPr>
        <w:tc>
          <w:tcPr>
            <w:tcW w:w="4320" w:type="dxa"/>
            <w:tcBorders>
              <w:top w:val="nil"/>
              <w:left w:val="nil"/>
              <w:bottom w:val="nil"/>
              <w:right w:val="nil"/>
            </w:tcBorders>
            <w:shd w:val="clear" w:color="auto" w:fill="auto"/>
            <w:noWrap/>
            <w:vAlign w:val="bottom"/>
            <w:hideMark/>
          </w:tcPr>
          <w:p w14:paraId="70CC53DA" w14:textId="77777777" w:rsidR="00EE7C5D" w:rsidRPr="00D22A73" w:rsidRDefault="00EE7C5D" w:rsidP="004005FF">
            <w:pPr>
              <w:ind w:firstLineChars="100" w:firstLine="220"/>
            </w:pPr>
            <w:r w:rsidRPr="00D22A73">
              <w:t>Outcome: Monitoring</w:t>
            </w:r>
          </w:p>
        </w:tc>
        <w:tc>
          <w:tcPr>
            <w:tcW w:w="1080" w:type="dxa"/>
            <w:tcBorders>
              <w:top w:val="nil"/>
              <w:left w:val="nil"/>
              <w:bottom w:val="nil"/>
              <w:right w:val="nil"/>
            </w:tcBorders>
            <w:shd w:val="clear" w:color="auto" w:fill="auto"/>
            <w:noWrap/>
            <w:vAlign w:val="bottom"/>
            <w:hideMark/>
          </w:tcPr>
          <w:p w14:paraId="69B9CB6D" w14:textId="77777777" w:rsidR="00EE7C5D" w:rsidRPr="00D22A73" w:rsidRDefault="00EE7C5D" w:rsidP="004005FF">
            <w:r w:rsidRPr="00D22A73">
              <w:t>1.901</w:t>
            </w:r>
          </w:p>
        </w:tc>
        <w:tc>
          <w:tcPr>
            <w:tcW w:w="750" w:type="dxa"/>
            <w:tcBorders>
              <w:top w:val="nil"/>
              <w:left w:val="nil"/>
              <w:bottom w:val="nil"/>
              <w:right w:val="nil"/>
            </w:tcBorders>
            <w:shd w:val="clear" w:color="auto" w:fill="auto"/>
            <w:noWrap/>
            <w:vAlign w:val="bottom"/>
            <w:hideMark/>
          </w:tcPr>
          <w:p w14:paraId="17BE10E8" w14:textId="77777777" w:rsidR="00EE7C5D" w:rsidRPr="00D22A73" w:rsidRDefault="00EE7C5D" w:rsidP="004005FF">
            <w:r w:rsidRPr="00D22A73">
              <w:t>5</w:t>
            </w:r>
          </w:p>
        </w:tc>
        <w:tc>
          <w:tcPr>
            <w:tcW w:w="1300" w:type="dxa"/>
            <w:tcBorders>
              <w:top w:val="nil"/>
              <w:left w:val="nil"/>
              <w:bottom w:val="nil"/>
              <w:right w:val="nil"/>
            </w:tcBorders>
            <w:shd w:val="clear" w:color="auto" w:fill="auto"/>
            <w:noWrap/>
            <w:vAlign w:val="bottom"/>
            <w:hideMark/>
          </w:tcPr>
          <w:p w14:paraId="719B54DE" w14:textId="77777777" w:rsidR="00EE7C5D" w:rsidRPr="00D22A73" w:rsidRDefault="00EE7C5D" w:rsidP="004005FF">
            <w:r w:rsidRPr="00D22A73">
              <w:t>.863</w:t>
            </w:r>
          </w:p>
        </w:tc>
      </w:tr>
      <w:tr w:rsidR="00EE7C5D" w:rsidRPr="00D22A73" w14:paraId="7B312CCA" w14:textId="77777777" w:rsidTr="004005FF">
        <w:trPr>
          <w:trHeight w:val="320"/>
        </w:trPr>
        <w:tc>
          <w:tcPr>
            <w:tcW w:w="4320" w:type="dxa"/>
            <w:tcBorders>
              <w:top w:val="nil"/>
              <w:left w:val="nil"/>
              <w:bottom w:val="nil"/>
              <w:right w:val="nil"/>
            </w:tcBorders>
            <w:shd w:val="clear" w:color="auto" w:fill="auto"/>
            <w:noWrap/>
            <w:vAlign w:val="bottom"/>
            <w:hideMark/>
          </w:tcPr>
          <w:p w14:paraId="629A8122" w14:textId="77777777" w:rsidR="00EE7C5D" w:rsidRPr="00D22A73" w:rsidRDefault="00EE7C5D" w:rsidP="004005FF">
            <w:pPr>
              <w:ind w:firstLineChars="100" w:firstLine="220"/>
            </w:pPr>
            <w:r w:rsidRPr="00D22A73">
              <w:t>Outcome: Parent Perceptions (Scale 1)</w:t>
            </w:r>
          </w:p>
        </w:tc>
        <w:tc>
          <w:tcPr>
            <w:tcW w:w="1080" w:type="dxa"/>
            <w:tcBorders>
              <w:top w:val="nil"/>
              <w:left w:val="nil"/>
              <w:bottom w:val="nil"/>
              <w:right w:val="nil"/>
            </w:tcBorders>
            <w:shd w:val="clear" w:color="auto" w:fill="auto"/>
            <w:noWrap/>
            <w:vAlign w:val="bottom"/>
            <w:hideMark/>
          </w:tcPr>
          <w:p w14:paraId="5C58E5D1" w14:textId="77777777" w:rsidR="00EE7C5D" w:rsidRPr="00D22A73" w:rsidRDefault="00EE7C5D" w:rsidP="004005FF">
            <w:r w:rsidRPr="00D22A73">
              <w:t>7.899</w:t>
            </w:r>
          </w:p>
        </w:tc>
        <w:tc>
          <w:tcPr>
            <w:tcW w:w="750" w:type="dxa"/>
            <w:tcBorders>
              <w:top w:val="nil"/>
              <w:left w:val="nil"/>
              <w:bottom w:val="nil"/>
              <w:right w:val="nil"/>
            </w:tcBorders>
            <w:shd w:val="clear" w:color="auto" w:fill="auto"/>
            <w:noWrap/>
            <w:vAlign w:val="bottom"/>
            <w:hideMark/>
          </w:tcPr>
          <w:p w14:paraId="5975756A" w14:textId="77777777" w:rsidR="00EE7C5D" w:rsidRPr="00D22A73" w:rsidRDefault="00EE7C5D" w:rsidP="004005FF">
            <w:r w:rsidRPr="00D22A73">
              <w:t>5</w:t>
            </w:r>
          </w:p>
        </w:tc>
        <w:tc>
          <w:tcPr>
            <w:tcW w:w="1300" w:type="dxa"/>
            <w:tcBorders>
              <w:top w:val="nil"/>
              <w:left w:val="nil"/>
              <w:bottom w:val="nil"/>
              <w:right w:val="nil"/>
            </w:tcBorders>
            <w:shd w:val="clear" w:color="auto" w:fill="auto"/>
            <w:noWrap/>
            <w:vAlign w:val="bottom"/>
            <w:hideMark/>
          </w:tcPr>
          <w:p w14:paraId="0A265255" w14:textId="77777777" w:rsidR="00EE7C5D" w:rsidRPr="00D22A73" w:rsidRDefault="00EE7C5D" w:rsidP="004005FF">
            <w:r w:rsidRPr="00D22A73">
              <w:t>.162</w:t>
            </w:r>
          </w:p>
        </w:tc>
      </w:tr>
      <w:tr w:rsidR="00EE7C5D" w:rsidRPr="00D22A73" w14:paraId="28A2D164" w14:textId="77777777" w:rsidTr="004005FF">
        <w:trPr>
          <w:trHeight w:val="320"/>
        </w:trPr>
        <w:tc>
          <w:tcPr>
            <w:tcW w:w="4320" w:type="dxa"/>
            <w:tcBorders>
              <w:top w:val="nil"/>
              <w:left w:val="nil"/>
              <w:bottom w:val="nil"/>
              <w:right w:val="nil"/>
            </w:tcBorders>
            <w:shd w:val="clear" w:color="auto" w:fill="auto"/>
            <w:noWrap/>
            <w:vAlign w:val="bottom"/>
            <w:hideMark/>
          </w:tcPr>
          <w:p w14:paraId="28903E24" w14:textId="77777777" w:rsidR="00EE7C5D" w:rsidRPr="00D22A73" w:rsidRDefault="00EE7C5D" w:rsidP="004005FF">
            <w:pPr>
              <w:ind w:firstLineChars="100" w:firstLine="220"/>
            </w:pPr>
            <w:r w:rsidRPr="00D22A73">
              <w:t>Outcome: Parent Perceptions (Scale 2)</w:t>
            </w:r>
          </w:p>
        </w:tc>
        <w:tc>
          <w:tcPr>
            <w:tcW w:w="1080" w:type="dxa"/>
            <w:tcBorders>
              <w:top w:val="nil"/>
              <w:left w:val="nil"/>
              <w:bottom w:val="nil"/>
              <w:right w:val="nil"/>
            </w:tcBorders>
            <w:shd w:val="clear" w:color="auto" w:fill="auto"/>
            <w:noWrap/>
            <w:vAlign w:val="bottom"/>
            <w:hideMark/>
          </w:tcPr>
          <w:p w14:paraId="40ACAF30" w14:textId="77777777" w:rsidR="00EE7C5D" w:rsidRPr="00D22A73" w:rsidRDefault="00EE7C5D" w:rsidP="004005FF">
            <w:r w:rsidRPr="00D22A73">
              <w:t>7.202</w:t>
            </w:r>
          </w:p>
        </w:tc>
        <w:tc>
          <w:tcPr>
            <w:tcW w:w="750" w:type="dxa"/>
            <w:tcBorders>
              <w:top w:val="nil"/>
              <w:left w:val="nil"/>
              <w:bottom w:val="nil"/>
              <w:right w:val="nil"/>
            </w:tcBorders>
            <w:shd w:val="clear" w:color="auto" w:fill="auto"/>
            <w:noWrap/>
            <w:vAlign w:val="bottom"/>
            <w:hideMark/>
          </w:tcPr>
          <w:p w14:paraId="3BC9A28C" w14:textId="77777777" w:rsidR="00EE7C5D" w:rsidRPr="00D22A73" w:rsidRDefault="00EE7C5D" w:rsidP="004005FF">
            <w:r w:rsidRPr="00D22A73">
              <w:t>5</w:t>
            </w:r>
          </w:p>
        </w:tc>
        <w:tc>
          <w:tcPr>
            <w:tcW w:w="1300" w:type="dxa"/>
            <w:tcBorders>
              <w:top w:val="nil"/>
              <w:left w:val="nil"/>
              <w:bottom w:val="nil"/>
              <w:right w:val="nil"/>
            </w:tcBorders>
            <w:shd w:val="clear" w:color="auto" w:fill="auto"/>
            <w:noWrap/>
            <w:vAlign w:val="bottom"/>
            <w:hideMark/>
          </w:tcPr>
          <w:p w14:paraId="416DB418" w14:textId="77777777" w:rsidR="00EE7C5D" w:rsidRPr="00D22A73" w:rsidRDefault="00EE7C5D" w:rsidP="004005FF">
            <w:r w:rsidRPr="00D22A73">
              <w:t>.206</w:t>
            </w:r>
          </w:p>
        </w:tc>
      </w:tr>
      <w:tr w:rsidR="00EE7C5D" w:rsidRPr="00D22A73" w14:paraId="1CCD0BB3" w14:textId="77777777" w:rsidTr="004005FF">
        <w:trPr>
          <w:trHeight w:val="320"/>
        </w:trPr>
        <w:tc>
          <w:tcPr>
            <w:tcW w:w="7450" w:type="dxa"/>
            <w:gridSpan w:val="4"/>
            <w:tcBorders>
              <w:top w:val="nil"/>
              <w:left w:val="nil"/>
              <w:bottom w:val="nil"/>
              <w:right w:val="nil"/>
            </w:tcBorders>
            <w:shd w:val="clear" w:color="auto" w:fill="auto"/>
            <w:noWrap/>
            <w:vAlign w:val="bottom"/>
            <w:hideMark/>
          </w:tcPr>
          <w:p w14:paraId="0947A68C" w14:textId="77777777" w:rsidR="00EE7C5D" w:rsidRPr="00D22A73" w:rsidRDefault="00EE7C5D" w:rsidP="004005FF">
            <w:pPr>
              <w:rPr>
                <w:b/>
                <w:bCs/>
              </w:rPr>
            </w:pPr>
            <w:r w:rsidRPr="00D22A73">
              <w:rPr>
                <w:b/>
                <w:bCs/>
              </w:rPr>
              <w:t>Moderator: Parent Reported Hours of Hearing Aid Use</w:t>
            </w:r>
          </w:p>
        </w:tc>
      </w:tr>
      <w:tr w:rsidR="00EE7C5D" w:rsidRPr="00D22A73" w14:paraId="64818897" w14:textId="77777777" w:rsidTr="004005FF">
        <w:trPr>
          <w:trHeight w:val="320"/>
        </w:trPr>
        <w:tc>
          <w:tcPr>
            <w:tcW w:w="4320" w:type="dxa"/>
            <w:tcBorders>
              <w:top w:val="nil"/>
              <w:left w:val="nil"/>
              <w:bottom w:val="nil"/>
              <w:right w:val="nil"/>
            </w:tcBorders>
            <w:shd w:val="clear" w:color="auto" w:fill="auto"/>
            <w:noWrap/>
            <w:vAlign w:val="bottom"/>
            <w:hideMark/>
          </w:tcPr>
          <w:p w14:paraId="01468668" w14:textId="77777777" w:rsidR="00EE7C5D" w:rsidRPr="00D22A73" w:rsidRDefault="00EE7C5D" w:rsidP="004005FF">
            <w:pPr>
              <w:ind w:firstLineChars="100" w:firstLine="220"/>
            </w:pPr>
            <w:r w:rsidRPr="00D22A73">
              <w:t>Outcome: Knowledge</w:t>
            </w:r>
          </w:p>
        </w:tc>
        <w:tc>
          <w:tcPr>
            <w:tcW w:w="1080" w:type="dxa"/>
            <w:tcBorders>
              <w:top w:val="nil"/>
              <w:left w:val="nil"/>
              <w:bottom w:val="nil"/>
              <w:right w:val="nil"/>
            </w:tcBorders>
            <w:shd w:val="clear" w:color="auto" w:fill="auto"/>
            <w:noWrap/>
            <w:vAlign w:val="bottom"/>
            <w:hideMark/>
          </w:tcPr>
          <w:p w14:paraId="099EF5FD" w14:textId="77777777" w:rsidR="00EE7C5D" w:rsidRPr="00D22A73" w:rsidRDefault="00EE7C5D" w:rsidP="004005FF">
            <w:r w:rsidRPr="00D22A73">
              <w:t>14.49</w:t>
            </w:r>
          </w:p>
        </w:tc>
        <w:tc>
          <w:tcPr>
            <w:tcW w:w="750" w:type="dxa"/>
            <w:tcBorders>
              <w:top w:val="nil"/>
              <w:left w:val="nil"/>
              <w:bottom w:val="nil"/>
              <w:right w:val="nil"/>
            </w:tcBorders>
            <w:shd w:val="clear" w:color="auto" w:fill="auto"/>
            <w:noWrap/>
            <w:vAlign w:val="bottom"/>
            <w:hideMark/>
          </w:tcPr>
          <w:p w14:paraId="324F92D9" w14:textId="77777777" w:rsidR="00EE7C5D" w:rsidRPr="00D22A73" w:rsidRDefault="00EE7C5D" w:rsidP="004005FF">
            <w:pPr>
              <w:rPr>
                <w:b/>
                <w:bCs/>
              </w:rPr>
            </w:pPr>
            <w:r w:rsidRPr="00D22A73">
              <w:rPr>
                <w:b/>
                <w:bCs/>
              </w:rPr>
              <w:t>5</w:t>
            </w:r>
          </w:p>
        </w:tc>
        <w:tc>
          <w:tcPr>
            <w:tcW w:w="1300" w:type="dxa"/>
            <w:tcBorders>
              <w:top w:val="nil"/>
              <w:left w:val="nil"/>
              <w:bottom w:val="nil"/>
              <w:right w:val="nil"/>
            </w:tcBorders>
            <w:shd w:val="clear" w:color="auto" w:fill="auto"/>
            <w:noWrap/>
            <w:vAlign w:val="bottom"/>
            <w:hideMark/>
          </w:tcPr>
          <w:p w14:paraId="31C16D0E" w14:textId="77777777" w:rsidR="00EE7C5D" w:rsidRPr="00D22A73" w:rsidRDefault="00EE7C5D" w:rsidP="004005FF">
            <w:pPr>
              <w:rPr>
                <w:b/>
                <w:bCs/>
              </w:rPr>
            </w:pPr>
            <w:r w:rsidRPr="00D22A73">
              <w:rPr>
                <w:b/>
                <w:bCs/>
              </w:rPr>
              <w:t>.013</w:t>
            </w:r>
          </w:p>
        </w:tc>
      </w:tr>
      <w:tr w:rsidR="00EE7C5D" w:rsidRPr="00D22A73" w14:paraId="7CB5C1F9" w14:textId="77777777" w:rsidTr="004005FF">
        <w:trPr>
          <w:trHeight w:val="320"/>
        </w:trPr>
        <w:tc>
          <w:tcPr>
            <w:tcW w:w="4320" w:type="dxa"/>
            <w:tcBorders>
              <w:top w:val="nil"/>
              <w:left w:val="nil"/>
              <w:bottom w:val="nil"/>
              <w:right w:val="nil"/>
            </w:tcBorders>
            <w:shd w:val="clear" w:color="auto" w:fill="auto"/>
            <w:noWrap/>
            <w:vAlign w:val="bottom"/>
            <w:hideMark/>
          </w:tcPr>
          <w:p w14:paraId="5861EA86" w14:textId="77777777" w:rsidR="00EE7C5D" w:rsidRPr="00D22A73" w:rsidRDefault="00EE7C5D" w:rsidP="004005FF">
            <w:pPr>
              <w:ind w:firstLineChars="100" w:firstLine="220"/>
            </w:pPr>
            <w:r w:rsidRPr="00D22A73">
              <w:t>Outcome: Monitoring</w:t>
            </w:r>
          </w:p>
        </w:tc>
        <w:tc>
          <w:tcPr>
            <w:tcW w:w="1080" w:type="dxa"/>
            <w:tcBorders>
              <w:top w:val="nil"/>
              <w:left w:val="nil"/>
              <w:bottom w:val="nil"/>
              <w:right w:val="nil"/>
            </w:tcBorders>
            <w:shd w:val="clear" w:color="auto" w:fill="auto"/>
            <w:noWrap/>
            <w:vAlign w:val="bottom"/>
            <w:hideMark/>
          </w:tcPr>
          <w:p w14:paraId="3F6EFAC9" w14:textId="77777777" w:rsidR="00EE7C5D" w:rsidRPr="00D22A73" w:rsidRDefault="00EE7C5D" w:rsidP="004005FF">
            <w:r w:rsidRPr="00D22A73">
              <w:t>23.78</w:t>
            </w:r>
          </w:p>
        </w:tc>
        <w:tc>
          <w:tcPr>
            <w:tcW w:w="750" w:type="dxa"/>
            <w:tcBorders>
              <w:top w:val="nil"/>
              <w:left w:val="nil"/>
              <w:bottom w:val="nil"/>
              <w:right w:val="nil"/>
            </w:tcBorders>
            <w:shd w:val="clear" w:color="auto" w:fill="auto"/>
            <w:noWrap/>
            <w:vAlign w:val="bottom"/>
            <w:hideMark/>
          </w:tcPr>
          <w:p w14:paraId="1F97BE46" w14:textId="77777777" w:rsidR="00EE7C5D" w:rsidRPr="00D22A73" w:rsidRDefault="00EE7C5D" w:rsidP="004005FF">
            <w:pPr>
              <w:rPr>
                <w:b/>
                <w:bCs/>
              </w:rPr>
            </w:pPr>
            <w:r w:rsidRPr="00D22A73">
              <w:rPr>
                <w:b/>
                <w:bCs/>
              </w:rPr>
              <w:t>5</w:t>
            </w:r>
          </w:p>
        </w:tc>
        <w:tc>
          <w:tcPr>
            <w:tcW w:w="1300" w:type="dxa"/>
            <w:tcBorders>
              <w:top w:val="nil"/>
              <w:left w:val="nil"/>
              <w:bottom w:val="nil"/>
              <w:right w:val="nil"/>
            </w:tcBorders>
            <w:shd w:val="clear" w:color="auto" w:fill="auto"/>
            <w:noWrap/>
            <w:vAlign w:val="bottom"/>
            <w:hideMark/>
          </w:tcPr>
          <w:p w14:paraId="1B6B4153" w14:textId="77777777" w:rsidR="00EE7C5D" w:rsidRPr="00D22A73" w:rsidRDefault="00EE7C5D" w:rsidP="004005FF">
            <w:pPr>
              <w:rPr>
                <w:b/>
                <w:bCs/>
              </w:rPr>
            </w:pPr>
            <w:r w:rsidRPr="00D22A73">
              <w:rPr>
                <w:b/>
                <w:bCs/>
              </w:rPr>
              <w:t>&lt;.001</w:t>
            </w:r>
          </w:p>
        </w:tc>
      </w:tr>
      <w:tr w:rsidR="00EE7C5D" w:rsidRPr="00D22A73" w14:paraId="30B43A5F" w14:textId="77777777" w:rsidTr="004005FF">
        <w:trPr>
          <w:trHeight w:val="320"/>
        </w:trPr>
        <w:tc>
          <w:tcPr>
            <w:tcW w:w="4320" w:type="dxa"/>
            <w:tcBorders>
              <w:top w:val="nil"/>
              <w:left w:val="nil"/>
              <w:right w:val="nil"/>
            </w:tcBorders>
            <w:shd w:val="clear" w:color="auto" w:fill="auto"/>
            <w:noWrap/>
            <w:vAlign w:val="bottom"/>
            <w:hideMark/>
          </w:tcPr>
          <w:p w14:paraId="63DF6FD5" w14:textId="77777777" w:rsidR="00EE7C5D" w:rsidRPr="00D22A73" w:rsidRDefault="00EE7C5D" w:rsidP="004005FF">
            <w:pPr>
              <w:ind w:firstLineChars="100" w:firstLine="220"/>
            </w:pPr>
            <w:r w:rsidRPr="00D22A73">
              <w:t>Outcome: Parent Perceptions (Scale 1)</w:t>
            </w:r>
          </w:p>
        </w:tc>
        <w:tc>
          <w:tcPr>
            <w:tcW w:w="1080" w:type="dxa"/>
            <w:tcBorders>
              <w:top w:val="nil"/>
              <w:left w:val="nil"/>
              <w:right w:val="nil"/>
            </w:tcBorders>
            <w:shd w:val="clear" w:color="auto" w:fill="auto"/>
            <w:noWrap/>
            <w:vAlign w:val="bottom"/>
            <w:hideMark/>
          </w:tcPr>
          <w:p w14:paraId="0DD21A52" w14:textId="77777777" w:rsidR="00EE7C5D" w:rsidRPr="00D22A73" w:rsidRDefault="00EE7C5D" w:rsidP="004005FF">
            <w:r w:rsidRPr="00D22A73">
              <w:t>2.791</w:t>
            </w:r>
          </w:p>
        </w:tc>
        <w:tc>
          <w:tcPr>
            <w:tcW w:w="750" w:type="dxa"/>
            <w:tcBorders>
              <w:top w:val="nil"/>
              <w:left w:val="nil"/>
              <w:right w:val="nil"/>
            </w:tcBorders>
            <w:shd w:val="clear" w:color="auto" w:fill="auto"/>
            <w:noWrap/>
            <w:vAlign w:val="bottom"/>
            <w:hideMark/>
          </w:tcPr>
          <w:p w14:paraId="50486A65" w14:textId="77777777" w:rsidR="00EE7C5D" w:rsidRPr="00D22A73" w:rsidRDefault="00EE7C5D" w:rsidP="004005FF">
            <w:r w:rsidRPr="00D22A73">
              <w:t>5</w:t>
            </w:r>
          </w:p>
        </w:tc>
        <w:tc>
          <w:tcPr>
            <w:tcW w:w="1300" w:type="dxa"/>
            <w:tcBorders>
              <w:top w:val="nil"/>
              <w:left w:val="nil"/>
              <w:right w:val="nil"/>
            </w:tcBorders>
            <w:shd w:val="clear" w:color="auto" w:fill="auto"/>
            <w:noWrap/>
            <w:vAlign w:val="bottom"/>
            <w:hideMark/>
          </w:tcPr>
          <w:p w14:paraId="05267DC9" w14:textId="77777777" w:rsidR="00EE7C5D" w:rsidRPr="00D22A73" w:rsidRDefault="00EE7C5D" w:rsidP="004005FF">
            <w:r w:rsidRPr="00D22A73">
              <w:t>.732</w:t>
            </w:r>
          </w:p>
        </w:tc>
      </w:tr>
      <w:tr w:rsidR="00EE7C5D" w:rsidRPr="00D22A73" w14:paraId="413C61FC" w14:textId="77777777" w:rsidTr="004005FF">
        <w:trPr>
          <w:trHeight w:val="320"/>
        </w:trPr>
        <w:tc>
          <w:tcPr>
            <w:tcW w:w="4320" w:type="dxa"/>
            <w:tcBorders>
              <w:top w:val="nil"/>
              <w:left w:val="nil"/>
              <w:bottom w:val="single" w:sz="2" w:space="0" w:color="auto"/>
              <w:right w:val="nil"/>
            </w:tcBorders>
            <w:shd w:val="clear" w:color="auto" w:fill="auto"/>
            <w:noWrap/>
            <w:vAlign w:val="bottom"/>
            <w:hideMark/>
          </w:tcPr>
          <w:p w14:paraId="0D302AC0" w14:textId="77777777" w:rsidR="00EE7C5D" w:rsidRPr="00D22A73" w:rsidRDefault="00EE7C5D" w:rsidP="004005FF">
            <w:pPr>
              <w:ind w:firstLineChars="100" w:firstLine="220"/>
            </w:pPr>
            <w:r w:rsidRPr="00D22A73">
              <w:t>Outcome: Parent Perceptions (Scale 2)</w:t>
            </w:r>
          </w:p>
        </w:tc>
        <w:tc>
          <w:tcPr>
            <w:tcW w:w="1080" w:type="dxa"/>
            <w:tcBorders>
              <w:top w:val="nil"/>
              <w:left w:val="nil"/>
              <w:bottom w:val="single" w:sz="2" w:space="0" w:color="auto"/>
              <w:right w:val="nil"/>
            </w:tcBorders>
            <w:shd w:val="clear" w:color="auto" w:fill="auto"/>
            <w:noWrap/>
            <w:vAlign w:val="bottom"/>
            <w:hideMark/>
          </w:tcPr>
          <w:p w14:paraId="0BE4D23B" w14:textId="77777777" w:rsidR="00EE7C5D" w:rsidRPr="00D22A73" w:rsidRDefault="00EE7C5D" w:rsidP="004005FF">
            <w:r w:rsidRPr="00D22A73">
              <w:t>9.499</w:t>
            </w:r>
          </w:p>
        </w:tc>
        <w:tc>
          <w:tcPr>
            <w:tcW w:w="750" w:type="dxa"/>
            <w:tcBorders>
              <w:top w:val="nil"/>
              <w:left w:val="nil"/>
              <w:bottom w:val="single" w:sz="2" w:space="0" w:color="auto"/>
              <w:right w:val="nil"/>
            </w:tcBorders>
            <w:shd w:val="clear" w:color="auto" w:fill="auto"/>
            <w:noWrap/>
            <w:vAlign w:val="bottom"/>
            <w:hideMark/>
          </w:tcPr>
          <w:p w14:paraId="6461EA0A" w14:textId="77777777" w:rsidR="00EE7C5D" w:rsidRPr="00D22A73" w:rsidRDefault="00EE7C5D" w:rsidP="004005FF">
            <w:r w:rsidRPr="00D22A73">
              <w:t>5</w:t>
            </w:r>
          </w:p>
        </w:tc>
        <w:tc>
          <w:tcPr>
            <w:tcW w:w="1300" w:type="dxa"/>
            <w:tcBorders>
              <w:top w:val="nil"/>
              <w:left w:val="nil"/>
              <w:bottom w:val="single" w:sz="2" w:space="0" w:color="auto"/>
              <w:right w:val="nil"/>
            </w:tcBorders>
            <w:shd w:val="clear" w:color="auto" w:fill="auto"/>
            <w:noWrap/>
            <w:vAlign w:val="bottom"/>
            <w:hideMark/>
          </w:tcPr>
          <w:p w14:paraId="1B5C5BD9" w14:textId="77777777" w:rsidR="00EE7C5D" w:rsidRPr="00D22A73" w:rsidRDefault="00EE7C5D" w:rsidP="004005FF">
            <w:r w:rsidRPr="00D22A73">
              <w:t>.091</w:t>
            </w:r>
          </w:p>
        </w:tc>
      </w:tr>
    </w:tbl>
    <w:p w14:paraId="4487C555" w14:textId="77777777" w:rsidR="00EE7C5D" w:rsidRPr="00D22A73" w:rsidRDefault="00EE7C5D" w:rsidP="00EE7C5D">
      <w:pPr>
        <w:spacing w:line="480" w:lineRule="auto"/>
      </w:pPr>
    </w:p>
    <w:p w14:paraId="27AA1DFB" w14:textId="77777777" w:rsidR="00EE7C5D" w:rsidRPr="00D22A73" w:rsidRDefault="00EE7C5D" w:rsidP="00EE7C5D">
      <w:pPr>
        <w:spacing w:line="480" w:lineRule="auto"/>
      </w:pPr>
    </w:p>
    <w:p w14:paraId="444CE054" w14:textId="77777777" w:rsidR="00EE7C5D" w:rsidRPr="00D22A73" w:rsidRDefault="00EE7C5D" w:rsidP="00EE7C5D">
      <w:pPr>
        <w:spacing w:line="480" w:lineRule="auto"/>
      </w:pPr>
    </w:p>
    <w:p w14:paraId="5446CE8E" w14:textId="77777777" w:rsidR="00EE7C5D" w:rsidRPr="00D22A73" w:rsidRDefault="00EE7C5D" w:rsidP="00EE7C5D">
      <w:pPr>
        <w:spacing w:line="480" w:lineRule="auto"/>
      </w:pPr>
    </w:p>
    <w:p w14:paraId="3B6F07D6" w14:textId="77777777" w:rsidR="00EE7C5D" w:rsidRPr="00D22A73" w:rsidRDefault="00EE7C5D" w:rsidP="00EE7C5D">
      <w:pPr>
        <w:spacing w:line="480" w:lineRule="auto"/>
      </w:pPr>
    </w:p>
    <w:p w14:paraId="2D8C65F3" w14:textId="77777777" w:rsidR="00EE7C5D" w:rsidRPr="00D22A73" w:rsidRDefault="00EE7C5D" w:rsidP="00EE7C5D">
      <w:pPr>
        <w:spacing w:line="480" w:lineRule="auto"/>
      </w:pPr>
    </w:p>
    <w:p w14:paraId="7E2FE082" w14:textId="77777777" w:rsidR="00EE7C5D" w:rsidRPr="00D22A73" w:rsidRDefault="00EE7C5D" w:rsidP="00EE7C5D">
      <w:pPr>
        <w:spacing w:line="480" w:lineRule="auto"/>
      </w:pPr>
    </w:p>
    <w:p w14:paraId="0DC4D523" w14:textId="77777777" w:rsidR="00EE7C5D" w:rsidRPr="00D22A73" w:rsidRDefault="00EE7C5D" w:rsidP="00EE7C5D">
      <w:pPr>
        <w:spacing w:line="480" w:lineRule="auto"/>
      </w:pPr>
    </w:p>
    <w:p w14:paraId="53316792" w14:textId="77777777" w:rsidR="00EE7C5D" w:rsidRPr="00D22A73" w:rsidRDefault="00EE7C5D" w:rsidP="00EE7C5D">
      <w:pPr>
        <w:spacing w:line="480" w:lineRule="auto"/>
      </w:pPr>
    </w:p>
    <w:p w14:paraId="295F2D4C" w14:textId="77777777" w:rsidR="00EE7C5D" w:rsidRPr="00D22A73" w:rsidRDefault="00EE7C5D" w:rsidP="00EE7C5D">
      <w:pPr>
        <w:spacing w:line="480" w:lineRule="auto"/>
      </w:pPr>
    </w:p>
    <w:p w14:paraId="43598D9B" w14:textId="77777777" w:rsidR="00EE7C5D" w:rsidRPr="00D22A73" w:rsidRDefault="00EE7C5D" w:rsidP="00EE7C5D">
      <w:pPr>
        <w:spacing w:line="480" w:lineRule="auto"/>
      </w:pPr>
      <w:r w:rsidRPr="00D22A73">
        <w:t>Table 3. Results of the linear mixed effects modeling testing whether AAQ-MCHL and Parent Activation predict outcomes over time on each listed outcome using likelihood ratio tests.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1416"/>
        <w:gridCol w:w="1338"/>
        <w:gridCol w:w="1509"/>
        <w:gridCol w:w="1509"/>
      </w:tblGrid>
      <w:tr w:rsidR="00EE7C5D" w:rsidRPr="00D22A73" w14:paraId="1BFE9741" w14:textId="77777777" w:rsidTr="004005FF">
        <w:trPr>
          <w:trHeight w:val="360"/>
        </w:trPr>
        <w:tc>
          <w:tcPr>
            <w:tcW w:w="3180" w:type="dxa"/>
            <w:tcBorders>
              <w:top w:val="single" w:sz="4" w:space="0" w:color="auto"/>
              <w:bottom w:val="single" w:sz="4" w:space="0" w:color="auto"/>
            </w:tcBorders>
            <w:noWrap/>
            <w:vAlign w:val="center"/>
            <w:hideMark/>
          </w:tcPr>
          <w:p w14:paraId="5D9A5AB5" w14:textId="77777777" w:rsidR="00EE7C5D" w:rsidRPr="00D22A73" w:rsidRDefault="00EE7C5D" w:rsidP="004005FF"/>
        </w:tc>
        <w:tc>
          <w:tcPr>
            <w:tcW w:w="1416" w:type="dxa"/>
            <w:tcBorders>
              <w:top w:val="single" w:sz="4" w:space="0" w:color="auto"/>
              <w:bottom w:val="single" w:sz="4" w:space="0" w:color="auto"/>
            </w:tcBorders>
            <w:noWrap/>
            <w:vAlign w:val="center"/>
            <w:hideMark/>
          </w:tcPr>
          <w:p w14:paraId="0596C513" w14:textId="77777777" w:rsidR="00EE7C5D" w:rsidRPr="00D22A73" w:rsidRDefault="00EE7C5D" w:rsidP="004005FF">
            <w:r w:rsidRPr="00D22A73">
              <w:t>Knowledge</w:t>
            </w:r>
          </w:p>
        </w:tc>
        <w:tc>
          <w:tcPr>
            <w:tcW w:w="1338" w:type="dxa"/>
            <w:tcBorders>
              <w:top w:val="single" w:sz="4" w:space="0" w:color="auto"/>
              <w:bottom w:val="single" w:sz="4" w:space="0" w:color="auto"/>
            </w:tcBorders>
            <w:noWrap/>
            <w:vAlign w:val="center"/>
            <w:hideMark/>
          </w:tcPr>
          <w:p w14:paraId="04130BEC" w14:textId="77777777" w:rsidR="00EE7C5D" w:rsidRPr="00D22A73" w:rsidRDefault="00EE7C5D" w:rsidP="004005FF">
            <w:r w:rsidRPr="00D22A73">
              <w:t>Monitoring</w:t>
            </w:r>
          </w:p>
        </w:tc>
        <w:tc>
          <w:tcPr>
            <w:tcW w:w="1509" w:type="dxa"/>
            <w:tcBorders>
              <w:top w:val="single" w:sz="4" w:space="0" w:color="auto"/>
              <w:bottom w:val="single" w:sz="4" w:space="0" w:color="auto"/>
            </w:tcBorders>
            <w:noWrap/>
            <w:vAlign w:val="center"/>
            <w:hideMark/>
          </w:tcPr>
          <w:p w14:paraId="69BD220A" w14:textId="77777777" w:rsidR="00EE7C5D" w:rsidRPr="00D22A73" w:rsidRDefault="00EE7C5D" w:rsidP="004005FF">
            <w:r w:rsidRPr="00D22A73">
              <w:t>Parent Perceptions (Scale 1)</w:t>
            </w:r>
          </w:p>
        </w:tc>
        <w:tc>
          <w:tcPr>
            <w:tcW w:w="1509" w:type="dxa"/>
            <w:tcBorders>
              <w:top w:val="single" w:sz="4" w:space="0" w:color="auto"/>
              <w:bottom w:val="single" w:sz="4" w:space="0" w:color="auto"/>
            </w:tcBorders>
            <w:noWrap/>
            <w:vAlign w:val="center"/>
            <w:hideMark/>
          </w:tcPr>
          <w:p w14:paraId="17CFDA83" w14:textId="77777777" w:rsidR="00EE7C5D" w:rsidRPr="00D22A73" w:rsidRDefault="00EE7C5D" w:rsidP="004005FF">
            <w:r w:rsidRPr="00D22A73">
              <w:t>Parent Perceptions (Scale 2)</w:t>
            </w:r>
          </w:p>
        </w:tc>
      </w:tr>
      <w:tr w:rsidR="00EE7C5D" w:rsidRPr="00D22A73" w14:paraId="46C32A6B" w14:textId="77777777" w:rsidTr="004005FF">
        <w:trPr>
          <w:trHeight w:val="320"/>
        </w:trPr>
        <w:tc>
          <w:tcPr>
            <w:tcW w:w="3180" w:type="dxa"/>
            <w:tcBorders>
              <w:top w:val="single" w:sz="4" w:space="0" w:color="auto"/>
            </w:tcBorders>
            <w:noWrap/>
            <w:vAlign w:val="center"/>
            <w:hideMark/>
          </w:tcPr>
          <w:p w14:paraId="10FD4CEB" w14:textId="77777777" w:rsidR="00EE7C5D" w:rsidRPr="00D22A73" w:rsidRDefault="00EE7C5D" w:rsidP="004005FF">
            <w:r w:rsidRPr="00D22A73">
              <w:t>(Intercept)</w:t>
            </w:r>
          </w:p>
        </w:tc>
        <w:tc>
          <w:tcPr>
            <w:tcW w:w="1416" w:type="dxa"/>
            <w:tcBorders>
              <w:top w:val="single" w:sz="4" w:space="0" w:color="auto"/>
            </w:tcBorders>
            <w:noWrap/>
            <w:vAlign w:val="center"/>
            <w:hideMark/>
          </w:tcPr>
          <w:p w14:paraId="607C7E9A" w14:textId="77777777" w:rsidR="00EE7C5D" w:rsidRPr="00D22A73" w:rsidRDefault="00EE7C5D" w:rsidP="004005FF">
            <w:r w:rsidRPr="00D22A73">
              <w:t>49.20***</w:t>
            </w:r>
          </w:p>
        </w:tc>
        <w:tc>
          <w:tcPr>
            <w:tcW w:w="1338" w:type="dxa"/>
            <w:tcBorders>
              <w:top w:val="single" w:sz="4" w:space="0" w:color="auto"/>
            </w:tcBorders>
            <w:noWrap/>
            <w:vAlign w:val="center"/>
            <w:hideMark/>
          </w:tcPr>
          <w:p w14:paraId="2311D2BB" w14:textId="77777777" w:rsidR="00EE7C5D" w:rsidRPr="00D22A73" w:rsidRDefault="00EE7C5D" w:rsidP="004005FF">
            <w:r w:rsidRPr="00D22A73">
              <w:t>11.35***</w:t>
            </w:r>
          </w:p>
        </w:tc>
        <w:tc>
          <w:tcPr>
            <w:tcW w:w="1509" w:type="dxa"/>
            <w:tcBorders>
              <w:top w:val="single" w:sz="4" w:space="0" w:color="auto"/>
            </w:tcBorders>
            <w:noWrap/>
            <w:vAlign w:val="center"/>
            <w:hideMark/>
          </w:tcPr>
          <w:p w14:paraId="7DCE2247" w14:textId="77777777" w:rsidR="00EE7C5D" w:rsidRPr="00D22A73" w:rsidRDefault="00EE7C5D" w:rsidP="004005FF">
            <w:r w:rsidRPr="00D22A73">
              <w:t>42.16***</w:t>
            </w:r>
          </w:p>
        </w:tc>
        <w:tc>
          <w:tcPr>
            <w:tcW w:w="1509" w:type="dxa"/>
            <w:tcBorders>
              <w:top w:val="single" w:sz="4" w:space="0" w:color="auto"/>
            </w:tcBorders>
            <w:noWrap/>
            <w:vAlign w:val="center"/>
            <w:hideMark/>
          </w:tcPr>
          <w:p w14:paraId="6805EF88" w14:textId="77777777" w:rsidR="00EE7C5D" w:rsidRPr="00D22A73" w:rsidRDefault="00EE7C5D" w:rsidP="004005FF">
            <w:r w:rsidRPr="00D22A73">
              <w:t>578.92***</w:t>
            </w:r>
          </w:p>
        </w:tc>
      </w:tr>
      <w:tr w:rsidR="00EE7C5D" w:rsidRPr="00D22A73" w14:paraId="71A7D69F" w14:textId="77777777" w:rsidTr="004005FF">
        <w:trPr>
          <w:trHeight w:val="320"/>
        </w:trPr>
        <w:tc>
          <w:tcPr>
            <w:tcW w:w="3180" w:type="dxa"/>
            <w:noWrap/>
            <w:vAlign w:val="center"/>
            <w:hideMark/>
          </w:tcPr>
          <w:p w14:paraId="483F27EF" w14:textId="77777777" w:rsidR="00EE7C5D" w:rsidRPr="00D22A73" w:rsidRDefault="00EE7C5D" w:rsidP="004005FF">
            <w:r w:rsidRPr="00D22A73">
              <w:t>AAQ-MCHL</w:t>
            </w:r>
          </w:p>
        </w:tc>
        <w:tc>
          <w:tcPr>
            <w:tcW w:w="1416" w:type="dxa"/>
            <w:noWrap/>
            <w:vAlign w:val="center"/>
            <w:hideMark/>
          </w:tcPr>
          <w:p w14:paraId="39EBC63B" w14:textId="77777777" w:rsidR="00EE7C5D" w:rsidRPr="00D22A73" w:rsidRDefault="00EE7C5D" w:rsidP="004005FF">
            <w:r w:rsidRPr="00D22A73">
              <w:t>-0.35***</w:t>
            </w:r>
          </w:p>
        </w:tc>
        <w:tc>
          <w:tcPr>
            <w:tcW w:w="1338" w:type="dxa"/>
            <w:noWrap/>
            <w:vAlign w:val="center"/>
            <w:hideMark/>
          </w:tcPr>
          <w:p w14:paraId="25208713" w14:textId="77777777" w:rsidR="00EE7C5D" w:rsidRPr="00D22A73" w:rsidRDefault="00EE7C5D" w:rsidP="004005FF">
            <w:r w:rsidRPr="00D22A73">
              <w:t>-0.09*</w:t>
            </w:r>
          </w:p>
        </w:tc>
        <w:tc>
          <w:tcPr>
            <w:tcW w:w="1509" w:type="dxa"/>
            <w:noWrap/>
            <w:vAlign w:val="center"/>
            <w:hideMark/>
          </w:tcPr>
          <w:p w14:paraId="6BEA9BDF" w14:textId="77777777" w:rsidR="00EE7C5D" w:rsidRPr="00D22A73" w:rsidRDefault="00EE7C5D" w:rsidP="004005FF">
            <w:r w:rsidRPr="00D22A73">
              <w:t>-0.17***</w:t>
            </w:r>
          </w:p>
        </w:tc>
        <w:tc>
          <w:tcPr>
            <w:tcW w:w="1509" w:type="dxa"/>
            <w:noWrap/>
            <w:vAlign w:val="center"/>
            <w:hideMark/>
          </w:tcPr>
          <w:p w14:paraId="226AAE27" w14:textId="77777777" w:rsidR="00EE7C5D" w:rsidRPr="00D22A73" w:rsidRDefault="00EE7C5D" w:rsidP="004005FF">
            <w:r w:rsidRPr="00D22A73">
              <w:t>-5.38**</w:t>
            </w:r>
          </w:p>
        </w:tc>
      </w:tr>
      <w:tr w:rsidR="00EE7C5D" w:rsidRPr="00D22A73" w14:paraId="5537DB58" w14:textId="77777777" w:rsidTr="004005FF">
        <w:trPr>
          <w:trHeight w:val="320"/>
        </w:trPr>
        <w:tc>
          <w:tcPr>
            <w:tcW w:w="3180" w:type="dxa"/>
            <w:noWrap/>
            <w:vAlign w:val="center"/>
            <w:hideMark/>
          </w:tcPr>
          <w:p w14:paraId="4EE18467" w14:textId="77777777" w:rsidR="00EE7C5D" w:rsidRPr="00D22A73" w:rsidRDefault="00EE7C5D" w:rsidP="004005FF">
            <w:r w:rsidRPr="00D22A73">
              <w:t>Parent Activation</w:t>
            </w:r>
          </w:p>
        </w:tc>
        <w:tc>
          <w:tcPr>
            <w:tcW w:w="1416" w:type="dxa"/>
            <w:noWrap/>
            <w:vAlign w:val="center"/>
            <w:hideMark/>
          </w:tcPr>
          <w:p w14:paraId="3CA139F6" w14:textId="77777777" w:rsidR="00EE7C5D" w:rsidRPr="00D22A73" w:rsidRDefault="00EE7C5D" w:rsidP="004005FF">
            <w:r w:rsidRPr="00D22A73">
              <w:t>0.53**</w:t>
            </w:r>
          </w:p>
        </w:tc>
        <w:tc>
          <w:tcPr>
            <w:tcW w:w="1338" w:type="dxa"/>
            <w:noWrap/>
            <w:vAlign w:val="center"/>
            <w:hideMark/>
          </w:tcPr>
          <w:p w14:paraId="10396458" w14:textId="77777777" w:rsidR="00EE7C5D" w:rsidRPr="00D22A73" w:rsidRDefault="00EE7C5D" w:rsidP="004005FF">
            <w:r w:rsidRPr="00D22A73">
              <w:t>0.14*</w:t>
            </w:r>
          </w:p>
        </w:tc>
        <w:tc>
          <w:tcPr>
            <w:tcW w:w="1509" w:type="dxa"/>
            <w:noWrap/>
            <w:vAlign w:val="center"/>
            <w:hideMark/>
          </w:tcPr>
          <w:p w14:paraId="04CB2C82" w14:textId="77777777" w:rsidR="00EE7C5D" w:rsidRPr="00D22A73" w:rsidRDefault="00EE7C5D" w:rsidP="004005FF">
            <w:r w:rsidRPr="00D22A73">
              <w:t>0.02</w:t>
            </w:r>
          </w:p>
        </w:tc>
        <w:tc>
          <w:tcPr>
            <w:tcW w:w="1509" w:type="dxa"/>
            <w:noWrap/>
            <w:vAlign w:val="center"/>
            <w:hideMark/>
          </w:tcPr>
          <w:p w14:paraId="017734F9" w14:textId="77777777" w:rsidR="00EE7C5D" w:rsidRPr="00D22A73" w:rsidRDefault="00EE7C5D" w:rsidP="004005FF">
            <w:r w:rsidRPr="00D22A73">
              <w:t>4.38</w:t>
            </w:r>
          </w:p>
        </w:tc>
      </w:tr>
      <w:tr w:rsidR="00EE7C5D" w:rsidRPr="00D22A73" w14:paraId="0E687C19" w14:textId="77777777" w:rsidTr="004005FF">
        <w:trPr>
          <w:trHeight w:val="320"/>
        </w:trPr>
        <w:tc>
          <w:tcPr>
            <w:tcW w:w="3180" w:type="dxa"/>
            <w:noWrap/>
            <w:vAlign w:val="center"/>
            <w:hideMark/>
          </w:tcPr>
          <w:p w14:paraId="5AE6A339" w14:textId="77777777" w:rsidR="00EE7C5D" w:rsidRPr="00D22A73" w:rsidRDefault="00EE7C5D" w:rsidP="004005FF">
            <w:r w:rsidRPr="00D22A73">
              <w:t>Time (Reference = Pre)</w:t>
            </w:r>
          </w:p>
        </w:tc>
        <w:tc>
          <w:tcPr>
            <w:tcW w:w="1416" w:type="dxa"/>
            <w:noWrap/>
            <w:vAlign w:val="center"/>
            <w:hideMark/>
          </w:tcPr>
          <w:p w14:paraId="5D10A85B" w14:textId="77777777" w:rsidR="00EE7C5D" w:rsidRPr="00D22A73" w:rsidRDefault="00EE7C5D" w:rsidP="004005FF"/>
        </w:tc>
        <w:tc>
          <w:tcPr>
            <w:tcW w:w="1338" w:type="dxa"/>
            <w:noWrap/>
            <w:vAlign w:val="center"/>
            <w:hideMark/>
          </w:tcPr>
          <w:p w14:paraId="6317A56A" w14:textId="77777777" w:rsidR="00EE7C5D" w:rsidRPr="00D22A73" w:rsidRDefault="00EE7C5D" w:rsidP="004005FF"/>
        </w:tc>
        <w:tc>
          <w:tcPr>
            <w:tcW w:w="1509" w:type="dxa"/>
            <w:noWrap/>
            <w:vAlign w:val="center"/>
            <w:hideMark/>
          </w:tcPr>
          <w:p w14:paraId="1D31C51A" w14:textId="77777777" w:rsidR="00EE7C5D" w:rsidRPr="00D22A73" w:rsidRDefault="00EE7C5D" w:rsidP="004005FF"/>
        </w:tc>
        <w:tc>
          <w:tcPr>
            <w:tcW w:w="1509" w:type="dxa"/>
            <w:noWrap/>
            <w:vAlign w:val="center"/>
            <w:hideMark/>
          </w:tcPr>
          <w:p w14:paraId="19633803" w14:textId="77777777" w:rsidR="00EE7C5D" w:rsidRPr="00D22A73" w:rsidRDefault="00EE7C5D" w:rsidP="004005FF"/>
        </w:tc>
      </w:tr>
      <w:tr w:rsidR="00EE7C5D" w:rsidRPr="00D22A73" w14:paraId="6A8B2F0C" w14:textId="77777777" w:rsidTr="004005FF">
        <w:trPr>
          <w:trHeight w:val="320"/>
        </w:trPr>
        <w:tc>
          <w:tcPr>
            <w:tcW w:w="3180" w:type="dxa"/>
            <w:noWrap/>
            <w:vAlign w:val="center"/>
            <w:hideMark/>
          </w:tcPr>
          <w:p w14:paraId="596D769D" w14:textId="77777777" w:rsidR="00EE7C5D" w:rsidRPr="00D22A73" w:rsidRDefault="00EE7C5D" w:rsidP="004005FF">
            <w:r w:rsidRPr="00D22A73">
              <w:t xml:space="preserve">    Post</w:t>
            </w:r>
          </w:p>
        </w:tc>
        <w:tc>
          <w:tcPr>
            <w:tcW w:w="1416" w:type="dxa"/>
            <w:noWrap/>
            <w:vAlign w:val="center"/>
            <w:hideMark/>
          </w:tcPr>
          <w:p w14:paraId="576C5354" w14:textId="77777777" w:rsidR="00EE7C5D" w:rsidRPr="00D22A73" w:rsidRDefault="00EE7C5D" w:rsidP="004005FF">
            <w:r w:rsidRPr="00D22A73">
              <w:t>4.46***</w:t>
            </w:r>
          </w:p>
        </w:tc>
        <w:tc>
          <w:tcPr>
            <w:tcW w:w="1338" w:type="dxa"/>
            <w:noWrap/>
            <w:vAlign w:val="center"/>
            <w:hideMark/>
          </w:tcPr>
          <w:p w14:paraId="71C5A5BD" w14:textId="77777777" w:rsidR="00EE7C5D" w:rsidRPr="00D22A73" w:rsidRDefault="00EE7C5D" w:rsidP="004005FF">
            <w:r w:rsidRPr="00D22A73">
              <w:t>1.62***</w:t>
            </w:r>
          </w:p>
        </w:tc>
        <w:tc>
          <w:tcPr>
            <w:tcW w:w="1509" w:type="dxa"/>
            <w:noWrap/>
            <w:vAlign w:val="center"/>
            <w:hideMark/>
          </w:tcPr>
          <w:p w14:paraId="467436E6" w14:textId="77777777" w:rsidR="00EE7C5D" w:rsidRPr="00D22A73" w:rsidRDefault="00EE7C5D" w:rsidP="004005FF">
            <w:r w:rsidRPr="00D22A73">
              <w:t>1.39**</w:t>
            </w:r>
          </w:p>
        </w:tc>
        <w:tc>
          <w:tcPr>
            <w:tcW w:w="1509" w:type="dxa"/>
            <w:noWrap/>
            <w:vAlign w:val="center"/>
            <w:hideMark/>
          </w:tcPr>
          <w:p w14:paraId="736AFD7A" w14:textId="77777777" w:rsidR="00EE7C5D" w:rsidRPr="00D22A73" w:rsidRDefault="00EE7C5D" w:rsidP="004005FF">
            <w:r w:rsidRPr="00D22A73">
              <w:t>87.81***</w:t>
            </w:r>
          </w:p>
        </w:tc>
      </w:tr>
      <w:tr w:rsidR="00EE7C5D" w:rsidRPr="00D22A73" w14:paraId="67FE1F73" w14:textId="77777777" w:rsidTr="004005FF">
        <w:trPr>
          <w:trHeight w:val="320"/>
        </w:trPr>
        <w:tc>
          <w:tcPr>
            <w:tcW w:w="3180" w:type="dxa"/>
            <w:noWrap/>
            <w:vAlign w:val="center"/>
            <w:hideMark/>
          </w:tcPr>
          <w:p w14:paraId="7898D7C4" w14:textId="77777777" w:rsidR="00EE7C5D" w:rsidRPr="00D22A73" w:rsidRDefault="00EE7C5D" w:rsidP="004005FF">
            <w:r w:rsidRPr="00D22A73">
              <w:t xml:space="preserve">    Follow Up</w:t>
            </w:r>
          </w:p>
        </w:tc>
        <w:tc>
          <w:tcPr>
            <w:tcW w:w="1416" w:type="dxa"/>
            <w:noWrap/>
            <w:vAlign w:val="center"/>
            <w:hideMark/>
          </w:tcPr>
          <w:p w14:paraId="1A9A7670" w14:textId="77777777" w:rsidR="00EE7C5D" w:rsidRPr="00D22A73" w:rsidRDefault="00EE7C5D" w:rsidP="004005FF">
            <w:r w:rsidRPr="00D22A73">
              <w:t>3.98***</w:t>
            </w:r>
          </w:p>
        </w:tc>
        <w:tc>
          <w:tcPr>
            <w:tcW w:w="1338" w:type="dxa"/>
            <w:noWrap/>
            <w:vAlign w:val="center"/>
            <w:hideMark/>
          </w:tcPr>
          <w:p w14:paraId="32BE6075" w14:textId="77777777" w:rsidR="00EE7C5D" w:rsidRPr="00D22A73" w:rsidRDefault="00EE7C5D" w:rsidP="004005FF">
            <w:r w:rsidRPr="00D22A73">
              <w:t>2.00***</w:t>
            </w:r>
          </w:p>
        </w:tc>
        <w:tc>
          <w:tcPr>
            <w:tcW w:w="1509" w:type="dxa"/>
            <w:noWrap/>
            <w:vAlign w:val="center"/>
            <w:hideMark/>
          </w:tcPr>
          <w:p w14:paraId="4C874411" w14:textId="77777777" w:rsidR="00EE7C5D" w:rsidRPr="00D22A73" w:rsidRDefault="00EE7C5D" w:rsidP="004005FF">
            <w:r w:rsidRPr="00D22A73">
              <w:t>0.82</w:t>
            </w:r>
          </w:p>
        </w:tc>
        <w:tc>
          <w:tcPr>
            <w:tcW w:w="1509" w:type="dxa"/>
            <w:noWrap/>
            <w:vAlign w:val="center"/>
            <w:hideMark/>
          </w:tcPr>
          <w:p w14:paraId="7C4B18AA" w14:textId="77777777" w:rsidR="00EE7C5D" w:rsidRPr="00D22A73" w:rsidRDefault="00EE7C5D" w:rsidP="004005FF">
            <w:r w:rsidRPr="00D22A73">
              <w:t>88.01***</w:t>
            </w:r>
          </w:p>
        </w:tc>
      </w:tr>
      <w:tr w:rsidR="00EE7C5D" w:rsidRPr="00D22A73" w14:paraId="1806631F" w14:textId="77777777" w:rsidTr="004005FF">
        <w:trPr>
          <w:trHeight w:val="320"/>
        </w:trPr>
        <w:tc>
          <w:tcPr>
            <w:tcW w:w="3180" w:type="dxa"/>
            <w:noWrap/>
            <w:vAlign w:val="center"/>
          </w:tcPr>
          <w:p w14:paraId="1B097BFC" w14:textId="77777777" w:rsidR="00EE7C5D" w:rsidRPr="00D22A73" w:rsidRDefault="00EE7C5D" w:rsidP="004005FF">
            <w:r w:rsidRPr="00D22A73">
              <w:t>Group (Reference = TAU)</w:t>
            </w:r>
          </w:p>
        </w:tc>
        <w:tc>
          <w:tcPr>
            <w:tcW w:w="1416" w:type="dxa"/>
            <w:noWrap/>
            <w:vAlign w:val="center"/>
          </w:tcPr>
          <w:p w14:paraId="55E63A07" w14:textId="77777777" w:rsidR="00EE7C5D" w:rsidRPr="00D22A73" w:rsidRDefault="00EE7C5D" w:rsidP="004005FF"/>
        </w:tc>
        <w:tc>
          <w:tcPr>
            <w:tcW w:w="1338" w:type="dxa"/>
            <w:noWrap/>
            <w:vAlign w:val="center"/>
          </w:tcPr>
          <w:p w14:paraId="7C4D0351" w14:textId="77777777" w:rsidR="00EE7C5D" w:rsidRPr="00D22A73" w:rsidRDefault="00EE7C5D" w:rsidP="004005FF"/>
        </w:tc>
        <w:tc>
          <w:tcPr>
            <w:tcW w:w="1509" w:type="dxa"/>
            <w:noWrap/>
            <w:vAlign w:val="center"/>
          </w:tcPr>
          <w:p w14:paraId="31854665" w14:textId="77777777" w:rsidR="00EE7C5D" w:rsidRPr="00D22A73" w:rsidRDefault="00EE7C5D" w:rsidP="004005FF"/>
        </w:tc>
        <w:tc>
          <w:tcPr>
            <w:tcW w:w="1509" w:type="dxa"/>
            <w:noWrap/>
            <w:vAlign w:val="center"/>
          </w:tcPr>
          <w:p w14:paraId="60EA4FDB" w14:textId="77777777" w:rsidR="00EE7C5D" w:rsidRPr="00D22A73" w:rsidRDefault="00EE7C5D" w:rsidP="004005FF"/>
        </w:tc>
      </w:tr>
      <w:tr w:rsidR="00EE7C5D" w:rsidRPr="00D22A73" w14:paraId="3C84D3FA" w14:textId="77777777" w:rsidTr="004005FF">
        <w:trPr>
          <w:trHeight w:val="320"/>
        </w:trPr>
        <w:tc>
          <w:tcPr>
            <w:tcW w:w="3180" w:type="dxa"/>
            <w:noWrap/>
            <w:vAlign w:val="center"/>
          </w:tcPr>
          <w:p w14:paraId="48155894" w14:textId="77777777" w:rsidR="00EE7C5D" w:rsidRPr="00D22A73" w:rsidRDefault="00EE7C5D" w:rsidP="004005FF">
            <w:r w:rsidRPr="00D22A73">
              <w:t xml:space="preserve">    Intervention</w:t>
            </w:r>
          </w:p>
        </w:tc>
        <w:tc>
          <w:tcPr>
            <w:tcW w:w="1416" w:type="dxa"/>
            <w:noWrap/>
            <w:vAlign w:val="center"/>
          </w:tcPr>
          <w:p w14:paraId="75F40812" w14:textId="77777777" w:rsidR="00EE7C5D" w:rsidRPr="00D22A73" w:rsidRDefault="00EE7C5D" w:rsidP="004005FF">
            <w:r w:rsidRPr="00D22A73">
              <w:t>5.22***</w:t>
            </w:r>
          </w:p>
        </w:tc>
        <w:tc>
          <w:tcPr>
            <w:tcW w:w="1338" w:type="dxa"/>
            <w:noWrap/>
            <w:vAlign w:val="center"/>
          </w:tcPr>
          <w:p w14:paraId="2DE6805E" w14:textId="77777777" w:rsidR="00EE7C5D" w:rsidRPr="00D22A73" w:rsidRDefault="00EE7C5D" w:rsidP="004005FF">
            <w:r w:rsidRPr="00D22A73">
              <w:t>-0.08</w:t>
            </w:r>
          </w:p>
        </w:tc>
        <w:tc>
          <w:tcPr>
            <w:tcW w:w="1509" w:type="dxa"/>
            <w:noWrap/>
            <w:vAlign w:val="center"/>
          </w:tcPr>
          <w:p w14:paraId="7ED76A4A" w14:textId="77777777" w:rsidR="00EE7C5D" w:rsidRPr="00D22A73" w:rsidRDefault="00EE7C5D" w:rsidP="004005FF">
            <w:r w:rsidRPr="00D22A73">
              <w:t>0.77</w:t>
            </w:r>
          </w:p>
        </w:tc>
        <w:tc>
          <w:tcPr>
            <w:tcW w:w="1509" w:type="dxa"/>
            <w:noWrap/>
            <w:vAlign w:val="center"/>
          </w:tcPr>
          <w:p w14:paraId="2915986A" w14:textId="77777777" w:rsidR="00EE7C5D" w:rsidRPr="00D22A73" w:rsidRDefault="00EE7C5D" w:rsidP="004005FF">
            <w:r w:rsidRPr="00D22A73">
              <w:t>45.95</w:t>
            </w:r>
          </w:p>
        </w:tc>
      </w:tr>
      <w:tr w:rsidR="00EE7C5D" w:rsidRPr="00D22A73" w14:paraId="468FF236" w14:textId="77777777" w:rsidTr="004005FF">
        <w:trPr>
          <w:trHeight w:val="320"/>
        </w:trPr>
        <w:tc>
          <w:tcPr>
            <w:tcW w:w="3180" w:type="dxa"/>
            <w:noWrap/>
            <w:vAlign w:val="center"/>
            <w:hideMark/>
          </w:tcPr>
          <w:p w14:paraId="4EC503DF" w14:textId="77777777" w:rsidR="00EE7C5D" w:rsidRPr="00D22A73" w:rsidRDefault="00EE7C5D" w:rsidP="004005FF">
            <w:r w:rsidRPr="00D22A73">
              <w:t>DASS</w:t>
            </w:r>
          </w:p>
        </w:tc>
        <w:tc>
          <w:tcPr>
            <w:tcW w:w="1416" w:type="dxa"/>
            <w:noWrap/>
            <w:vAlign w:val="center"/>
            <w:hideMark/>
          </w:tcPr>
          <w:p w14:paraId="77326AFC" w14:textId="77777777" w:rsidR="00EE7C5D" w:rsidRPr="00D22A73" w:rsidRDefault="00EE7C5D" w:rsidP="004005FF">
            <w:r w:rsidRPr="00D22A73">
              <w:t>0.01</w:t>
            </w:r>
          </w:p>
        </w:tc>
        <w:tc>
          <w:tcPr>
            <w:tcW w:w="1338" w:type="dxa"/>
            <w:noWrap/>
            <w:vAlign w:val="center"/>
            <w:hideMark/>
          </w:tcPr>
          <w:p w14:paraId="643F31BE" w14:textId="77777777" w:rsidR="00EE7C5D" w:rsidRPr="00D22A73" w:rsidRDefault="00EE7C5D" w:rsidP="004005FF">
            <w:r w:rsidRPr="00D22A73">
              <w:t>0</w:t>
            </w:r>
          </w:p>
        </w:tc>
        <w:tc>
          <w:tcPr>
            <w:tcW w:w="1509" w:type="dxa"/>
            <w:noWrap/>
            <w:vAlign w:val="center"/>
            <w:hideMark/>
          </w:tcPr>
          <w:p w14:paraId="67642AF3" w14:textId="77777777" w:rsidR="00EE7C5D" w:rsidRPr="00D22A73" w:rsidRDefault="00EE7C5D" w:rsidP="004005FF">
            <w:r w:rsidRPr="00D22A73">
              <w:t>0.03</w:t>
            </w:r>
          </w:p>
        </w:tc>
        <w:tc>
          <w:tcPr>
            <w:tcW w:w="1509" w:type="dxa"/>
            <w:noWrap/>
            <w:vAlign w:val="center"/>
            <w:hideMark/>
          </w:tcPr>
          <w:p w14:paraId="08D09FD2" w14:textId="77777777" w:rsidR="00EE7C5D" w:rsidRPr="00D22A73" w:rsidRDefault="00EE7C5D" w:rsidP="004005FF">
            <w:r w:rsidRPr="00D22A73">
              <w:t>1.09</w:t>
            </w:r>
          </w:p>
        </w:tc>
      </w:tr>
      <w:tr w:rsidR="00EE7C5D" w:rsidRPr="00D22A73" w14:paraId="5B6F207D" w14:textId="77777777" w:rsidTr="004005FF">
        <w:trPr>
          <w:trHeight w:val="320"/>
        </w:trPr>
        <w:tc>
          <w:tcPr>
            <w:tcW w:w="3180" w:type="dxa"/>
            <w:tcBorders>
              <w:top w:val="single" w:sz="4" w:space="0" w:color="auto"/>
            </w:tcBorders>
            <w:noWrap/>
            <w:vAlign w:val="center"/>
            <w:hideMark/>
          </w:tcPr>
          <w:p w14:paraId="1B4BE0EE" w14:textId="77777777" w:rsidR="00EE7C5D" w:rsidRPr="00D22A73" w:rsidRDefault="00EE7C5D" w:rsidP="004005FF">
            <w:r w:rsidRPr="00D22A73">
              <w:t>AIC</w:t>
            </w:r>
          </w:p>
        </w:tc>
        <w:tc>
          <w:tcPr>
            <w:tcW w:w="1416" w:type="dxa"/>
            <w:tcBorders>
              <w:top w:val="single" w:sz="4" w:space="0" w:color="auto"/>
            </w:tcBorders>
            <w:noWrap/>
            <w:vAlign w:val="center"/>
            <w:hideMark/>
          </w:tcPr>
          <w:p w14:paraId="4900BFBC" w14:textId="77777777" w:rsidR="00EE7C5D" w:rsidRPr="00D22A73" w:rsidRDefault="00EE7C5D" w:rsidP="004005FF">
            <w:r w:rsidRPr="00D22A73">
              <w:t>1617.7</w:t>
            </w:r>
          </w:p>
        </w:tc>
        <w:tc>
          <w:tcPr>
            <w:tcW w:w="1338" w:type="dxa"/>
            <w:tcBorders>
              <w:top w:val="single" w:sz="4" w:space="0" w:color="auto"/>
            </w:tcBorders>
            <w:noWrap/>
            <w:vAlign w:val="center"/>
            <w:hideMark/>
          </w:tcPr>
          <w:p w14:paraId="3CC86EC2" w14:textId="77777777" w:rsidR="00EE7C5D" w:rsidRPr="00D22A73" w:rsidRDefault="00EE7C5D" w:rsidP="004005FF">
            <w:r w:rsidRPr="00D22A73">
              <w:t>1220.12</w:t>
            </w:r>
          </w:p>
        </w:tc>
        <w:tc>
          <w:tcPr>
            <w:tcW w:w="1509" w:type="dxa"/>
            <w:tcBorders>
              <w:top w:val="single" w:sz="4" w:space="0" w:color="auto"/>
            </w:tcBorders>
            <w:noWrap/>
            <w:vAlign w:val="center"/>
            <w:hideMark/>
          </w:tcPr>
          <w:p w14:paraId="704DCBAF" w14:textId="77777777" w:rsidR="00EE7C5D" w:rsidRPr="00D22A73" w:rsidRDefault="00EE7C5D" w:rsidP="004005FF">
            <w:r w:rsidRPr="00D22A73">
              <w:t>1230.83</w:t>
            </w:r>
          </w:p>
        </w:tc>
        <w:tc>
          <w:tcPr>
            <w:tcW w:w="1509" w:type="dxa"/>
            <w:tcBorders>
              <w:top w:val="single" w:sz="4" w:space="0" w:color="auto"/>
            </w:tcBorders>
            <w:noWrap/>
            <w:vAlign w:val="center"/>
            <w:hideMark/>
          </w:tcPr>
          <w:p w14:paraId="738BF627" w14:textId="77777777" w:rsidR="00EE7C5D" w:rsidRPr="00D22A73" w:rsidRDefault="00EE7C5D" w:rsidP="004005FF">
            <w:r w:rsidRPr="00D22A73">
              <w:t>2898.94</w:t>
            </w:r>
          </w:p>
        </w:tc>
      </w:tr>
      <w:tr w:rsidR="00EE7C5D" w:rsidRPr="00D22A73" w14:paraId="4DF29D54" w14:textId="77777777" w:rsidTr="004005FF">
        <w:trPr>
          <w:trHeight w:val="320"/>
        </w:trPr>
        <w:tc>
          <w:tcPr>
            <w:tcW w:w="3180" w:type="dxa"/>
            <w:noWrap/>
            <w:vAlign w:val="center"/>
            <w:hideMark/>
          </w:tcPr>
          <w:p w14:paraId="513E5205" w14:textId="77777777" w:rsidR="00EE7C5D" w:rsidRPr="00D22A73" w:rsidRDefault="00EE7C5D" w:rsidP="004005FF">
            <w:r w:rsidRPr="00D22A73">
              <w:t>BIC</w:t>
            </w:r>
          </w:p>
        </w:tc>
        <w:tc>
          <w:tcPr>
            <w:tcW w:w="1416" w:type="dxa"/>
            <w:noWrap/>
            <w:vAlign w:val="center"/>
            <w:hideMark/>
          </w:tcPr>
          <w:p w14:paraId="5EDD7842" w14:textId="77777777" w:rsidR="00EE7C5D" w:rsidRPr="00D22A73" w:rsidRDefault="00EE7C5D" w:rsidP="004005FF">
            <w:r w:rsidRPr="00D22A73">
              <w:t>1645.21</w:t>
            </w:r>
          </w:p>
        </w:tc>
        <w:tc>
          <w:tcPr>
            <w:tcW w:w="1338" w:type="dxa"/>
            <w:noWrap/>
            <w:vAlign w:val="center"/>
            <w:hideMark/>
          </w:tcPr>
          <w:p w14:paraId="715B7223" w14:textId="77777777" w:rsidR="00EE7C5D" w:rsidRPr="00D22A73" w:rsidRDefault="00EE7C5D" w:rsidP="004005FF">
            <w:r w:rsidRPr="00D22A73">
              <w:t>1247.62</w:t>
            </w:r>
          </w:p>
        </w:tc>
        <w:tc>
          <w:tcPr>
            <w:tcW w:w="1509" w:type="dxa"/>
            <w:noWrap/>
            <w:vAlign w:val="center"/>
            <w:hideMark/>
          </w:tcPr>
          <w:p w14:paraId="5C3693B6" w14:textId="77777777" w:rsidR="00EE7C5D" w:rsidRPr="00D22A73" w:rsidRDefault="00EE7C5D" w:rsidP="004005FF">
            <w:r w:rsidRPr="00D22A73">
              <w:t>1258.34</w:t>
            </w:r>
          </w:p>
        </w:tc>
        <w:tc>
          <w:tcPr>
            <w:tcW w:w="1509" w:type="dxa"/>
            <w:noWrap/>
            <w:vAlign w:val="center"/>
            <w:hideMark/>
          </w:tcPr>
          <w:p w14:paraId="34CD95A5" w14:textId="77777777" w:rsidR="00EE7C5D" w:rsidRPr="00D22A73" w:rsidRDefault="00EE7C5D" w:rsidP="004005FF">
            <w:r w:rsidRPr="00D22A73">
              <w:t>2926.45</w:t>
            </w:r>
          </w:p>
        </w:tc>
      </w:tr>
      <w:tr w:rsidR="00EE7C5D" w:rsidRPr="00D22A73" w14:paraId="4AF23F6E" w14:textId="77777777" w:rsidTr="004005FF">
        <w:trPr>
          <w:trHeight w:val="320"/>
        </w:trPr>
        <w:tc>
          <w:tcPr>
            <w:tcW w:w="3180" w:type="dxa"/>
            <w:noWrap/>
            <w:vAlign w:val="center"/>
            <w:hideMark/>
          </w:tcPr>
          <w:p w14:paraId="6F8A76CE" w14:textId="77777777" w:rsidR="00EE7C5D" w:rsidRPr="00D22A73" w:rsidRDefault="00EE7C5D" w:rsidP="004005FF">
            <w:r w:rsidRPr="00D22A73">
              <w:t>Number of Observations</w:t>
            </w:r>
          </w:p>
        </w:tc>
        <w:tc>
          <w:tcPr>
            <w:tcW w:w="1416" w:type="dxa"/>
            <w:noWrap/>
            <w:vAlign w:val="center"/>
            <w:hideMark/>
          </w:tcPr>
          <w:p w14:paraId="2DFCAE21" w14:textId="77777777" w:rsidR="00EE7C5D" w:rsidRPr="00D22A73" w:rsidRDefault="00EE7C5D" w:rsidP="004005FF">
            <w:r w:rsidRPr="00D22A73">
              <w:t>230</w:t>
            </w:r>
          </w:p>
        </w:tc>
        <w:tc>
          <w:tcPr>
            <w:tcW w:w="1338" w:type="dxa"/>
            <w:noWrap/>
            <w:vAlign w:val="center"/>
            <w:hideMark/>
          </w:tcPr>
          <w:p w14:paraId="51B0F40A" w14:textId="77777777" w:rsidR="00EE7C5D" w:rsidRPr="00D22A73" w:rsidRDefault="00EE7C5D" w:rsidP="004005FF">
            <w:r w:rsidRPr="00D22A73">
              <w:t>230</w:t>
            </w:r>
          </w:p>
        </w:tc>
        <w:tc>
          <w:tcPr>
            <w:tcW w:w="1509" w:type="dxa"/>
            <w:noWrap/>
            <w:vAlign w:val="center"/>
            <w:hideMark/>
          </w:tcPr>
          <w:p w14:paraId="0C8F0B7D" w14:textId="77777777" w:rsidR="00EE7C5D" w:rsidRPr="00D22A73" w:rsidRDefault="00EE7C5D" w:rsidP="004005FF">
            <w:r w:rsidRPr="00D22A73">
              <w:t>230</w:t>
            </w:r>
          </w:p>
        </w:tc>
        <w:tc>
          <w:tcPr>
            <w:tcW w:w="1509" w:type="dxa"/>
            <w:noWrap/>
            <w:vAlign w:val="center"/>
            <w:hideMark/>
          </w:tcPr>
          <w:p w14:paraId="66B86471" w14:textId="77777777" w:rsidR="00EE7C5D" w:rsidRPr="00D22A73" w:rsidRDefault="00EE7C5D" w:rsidP="004005FF">
            <w:r w:rsidRPr="00D22A73">
              <w:t>230</w:t>
            </w:r>
          </w:p>
        </w:tc>
      </w:tr>
      <w:tr w:rsidR="00EE7C5D" w:rsidRPr="00D22A73" w14:paraId="0BC321B8" w14:textId="77777777" w:rsidTr="004005FF">
        <w:trPr>
          <w:trHeight w:val="320"/>
        </w:trPr>
        <w:tc>
          <w:tcPr>
            <w:tcW w:w="3180" w:type="dxa"/>
            <w:noWrap/>
            <w:vAlign w:val="center"/>
            <w:hideMark/>
          </w:tcPr>
          <w:p w14:paraId="4A784CE1" w14:textId="77777777" w:rsidR="00EE7C5D" w:rsidRPr="00D22A73" w:rsidRDefault="00EE7C5D" w:rsidP="004005FF">
            <w:r w:rsidRPr="00D22A73">
              <w:t>Number of Participants</w:t>
            </w:r>
          </w:p>
        </w:tc>
        <w:tc>
          <w:tcPr>
            <w:tcW w:w="1416" w:type="dxa"/>
            <w:noWrap/>
            <w:vAlign w:val="center"/>
            <w:hideMark/>
          </w:tcPr>
          <w:p w14:paraId="042A3F7D" w14:textId="77777777" w:rsidR="00EE7C5D" w:rsidRPr="00D22A73" w:rsidRDefault="00EE7C5D" w:rsidP="004005FF">
            <w:r w:rsidRPr="00D22A73">
              <w:t>78</w:t>
            </w:r>
          </w:p>
        </w:tc>
        <w:tc>
          <w:tcPr>
            <w:tcW w:w="1338" w:type="dxa"/>
            <w:noWrap/>
            <w:vAlign w:val="center"/>
            <w:hideMark/>
          </w:tcPr>
          <w:p w14:paraId="63D25987" w14:textId="77777777" w:rsidR="00EE7C5D" w:rsidRPr="00D22A73" w:rsidRDefault="00EE7C5D" w:rsidP="004005FF">
            <w:r w:rsidRPr="00D22A73">
              <w:t>78</w:t>
            </w:r>
          </w:p>
        </w:tc>
        <w:tc>
          <w:tcPr>
            <w:tcW w:w="1509" w:type="dxa"/>
            <w:noWrap/>
            <w:vAlign w:val="center"/>
            <w:hideMark/>
          </w:tcPr>
          <w:p w14:paraId="17C175F3" w14:textId="77777777" w:rsidR="00EE7C5D" w:rsidRPr="00D22A73" w:rsidRDefault="00EE7C5D" w:rsidP="004005FF">
            <w:r w:rsidRPr="00D22A73">
              <w:t>78</w:t>
            </w:r>
          </w:p>
        </w:tc>
        <w:tc>
          <w:tcPr>
            <w:tcW w:w="1509" w:type="dxa"/>
            <w:noWrap/>
            <w:vAlign w:val="center"/>
            <w:hideMark/>
          </w:tcPr>
          <w:p w14:paraId="73D69FF3" w14:textId="77777777" w:rsidR="00EE7C5D" w:rsidRPr="00D22A73" w:rsidRDefault="00EE7C5D" w:rsidP="004005FF">
            <w:r w:rsidRPr="00D22A73">
              <w:t>78</w:t>
            </w:r>
          </w:p>
        </w:tc>
      </w:tr>
      <w:tr w:rsidR="00EE7C5D" w:rsidRPr="00D22A73" w14:paraId="20D016D3" w14:textId="77777777" w:rsidTr="004005FF">
        <w:trPr>
          <w:trHeight w:val="320"/>
        </w:trPr>
        <w:tc>
          <w:tcPr>
            <w:tcW w:w="3180" w:type="dxa"/>
            <w:noWrap/>
            <w:vAlign w:val="center"/>
            <w:hideMark/>
          </w:tcPr>
          <w:p w14:paraId="57F14DCF" w14:textId="77777777" w:rsidR="00EE7C5D" w:rsidRPr="00D22A73" w:rsidRDefault="00EE7C5D" w:rsidP="004005FF">
            <w:r w:rsidRPr="00D22A73">
              <w:t>Variance of Random Intercept</w:t>
            </w:r>
          </w:p>
        </w:tc>
        <w:tc>
          <w:tcPr>
            <w:tcW w:w="1416" w:type="dxa"/>
            <w:noWrap/>
            <w:vAlign w:val="center"/>
            <w:hideMark/>
          </w:tcPr>
          <w:p w14:paraId="5F42E05B" w14:textId="77777777" w:rsidR="00EE7C5D" w:rsidRPr="00D22A73" w:rsidRDefault="00EE7C5D" w:rsidP="004005FF">
            <w:r w:rsidRPr="00D22A73">
              <w:t>37.36</w:t>
            </w:r>
          </w:p>
        </w:tc>
        <w:tc>
          <w:tcPr>
            <w:tcW w:w="1338" w:type="dxa"/>
            <w:noWrap/>
            <w:vAlign w:val="center"/>
            <w:hideMark/>
          </w:tcPr>
          <w:p w14:paraId="23A5DAF4" w14:textId="77777777" w:rsidR="00EE7C5D" w:rsidRPr="00D22A73" w:rsidRDefault="00EE7C5D" w:rsidP="004005FF">
            <w:r w:rsidRPr="00D22A73">
              <w:t>2.83</w:t>
            </w:r>
          </w:p>
        </w:tc>
        <w:tc>
          <w:tcPr>
            <w:tcW w:w="1509" w:type="dxa"/>
            <w:noWrap/>
            <w:vAlign w:val="center"/>
            <w:hideMark/>
          </w:tcPr>
          <w:p w14:paraId="2CCD7897" w14:textId="77777777" w:rsidR="00EE7C5D" w:rsidRPr="00D22A73" w:rsidRDefault="00EE7C5D" w:rsidP="004005FF">
            <w:r w:rsidRPr="00D22A73">
              <w:t>9.48</w:t>
            </w:r>
          </w:p>
        </w:tc>
        <w:tc>
          <w:tcPr>
            <w:tcW w:w="1509" w:type="dxa"/>
            <w:noWrap/>
            <w:vAlign w:val="center"/>
            <w:hideMark/>
          </w:tcPr>
          <w:p w14:paraId="61980A4D" w14:textId="77777777" w:rsidR="00EE7C5D" w:rsidRPr="00D22A73" w:rsidRDefault="00EE7C5D" w:rsidP="004005FF">
            <w:r w:rsidRPr="00D22A73">
              <w:t>8910.86</w:t>
            </w:r>
          </w:p>
        </w:tc>
      </w:tr>
      <w:tr w:rsidR="00EE7C5D" w:rsidRPr="00D22A73" w14:paraId="4D58BC5C" w14:textId="77777777" w:rsidTr="004005FF">
        <w:trPr>
          <w:trHeight w:val="320"/>
        </w:trPr>
        <w:tc>
          <w:tcPr>
            <w:tcW w:w="3180" w:type="dxa"/>
            <w:tcBorders>
              <w:bottom w:val="single" w:sz="4" w:space="0" w:color="auto"/>
            </w:tcBorders>
            <w:noWrap/>
            <w:vAlign w:val="center"/>
            <w:hideMark/>
          </w:tcPr>
          <w:p w14:paraId="6A0850E0" w14:textId="77777777" w:rsidR="00EE7C5D" w:rsidRPr="00D22A73" w:rsidRDefault="00EE7C5D" w:rsidP="004005FF">
            <w:r w:rsidRPr="00D22A73">
              <w:t>Residual Variance</w:t>
            </w:r>
          </w:p>
        </w:tc>
        <w:tc>
          <w:tcPr>
            <w:tcW w:w="1416" w:type="dxa"/>
            <w:tcBorders>
              <w:bottom w:val="single" w:sz="4" w:space="0" w:color="auto"/>
            </w:tcBorders>
            <w:noWrap/>
            <w:vAlign w:val="center"/>
            <w:hideMark/>
          </w:tcPr>
          <w:p w14:paraId="5C13925E" w14:textId="77777777" w:rsidR="00EE7C5D" w:rsidRPr="00D22A73" w:rsidRDefault="00EE7C5D" w:rsidP="004005FF">
            <w:r w:rsidRPr="00D22A73">
              <w:t>39.9</w:t>
            </w:r>
          </w:p>
        </w:tc>
        <w:tc>
          <w:tcPr>
            <w:tcW w:w="1338" w:type="dxa"/>
            <w:tcBorders>
              <w:bottom w:val="single" w:sz="4" w:space="0" w:color="auto"/>
            </w:tcBorders>
            <w:noWrap/>
            <w:vAlign w:val="center"/>
            <w:hideMark/>
          </w:tcPr>
          <w:p w14:paraId="75E2F6B0" w14:textId="77777777" w:rsidR="00EE7C5D" w:rsidRPr="00D22A73" w:rsidRDefault="00EE7C5D" w:rsidP="004005FF">
            <w:r w:rsidRPr="00D22A73">
              <w:t>8.37</w:t>
            </w:r>
          </w:p>
        </w:tc>
        <w:tc>
          <w:tcPr>
            <w:tcW w:w="1509" w:type="dxa"/>
            <w:tcBorders>
              <w:bottom w:val="single" w:sz="4" w:space="0" w:color="auto"/>
            </w:tcBorders>
            <w:noWrap/>
            <w:vAlign w:val="center"/>
            <w:hideMark/>
          </w:tcPr>
          <w:p w14:paraId="1F1EB646" w14:textId="77777777" w:rsidR="00EE7C5D" w:rsidRPr="00D22A73" w:rsidRDefault="00EE7C5D" w:rsidP="004005FF">
            <w:r w:rsidRPr="00D22A73">
              <w:t>6.25</w:t>
            </w:r>
          </w:p>
        </w:tc>
        <w:tc>
          <w:tcPr>
            <w:tcW w:w="1509" w:type="dxa"/>
            <w:tcBorders>
              <w:bottom w:val="single" w:sz="4" w:space="0" w:color="auto"/>
            </w:tcBorders>
            <w:noWrap/>
            <w:vAlign w:val="center"/>
            <w:hideMark/>
          </w:tcPr>
          <w:p w14:paraId="78436A7A" w14:textId="77777777" w:rsidR="00EE7C5D" w:rsidRPr="00D22A73" w:rsidRDefault="00EE7C5D" w:rsidP="004005FF">
            <w:r w:rsidRPr="00D22A73">
              <w:t>13124.41</w:t>
            </w:r>
          </w:p>
        </w:tc>
      </w:tr>
    </w:tbl>
    <w:p w14:paraId="603F00F1" w14:textId="77777777" w:rsidR="00EE7C5D" w:rsidRPr="00D22A73" w:rsidRDefault="00EE7C5D" w:rsidP="00EE7C5D">
      <w:pPr>
        <w:spacing w:line="480" w:lineRule="auto"/>
        <w:rPr>
          <w:szCs w:val="22"/>
        </w:rPr>
      </w:pPr>
      <w:r w:rsidRPr="00D22A73">
        <w:rPr>
          <w:i/>
          <w:iCs/>
          <w:szCs w:val="22"/>
        </w:rPr>
        <w:t>Note</w:t>
      </w:r>
      <w:r w:rsidRPr="00D22A73">
        <w:rPr>
          <w:szCs w:val="22"/>
        </w:rPr>
        <w:t>: *** p &lt; .001, ** p &lt; .01, * p &lt; .05</w:t>
      </w:r>
    </w:p>
    <w:p w14:paraId="6C14107D" w14:textId="77777777" w:rsidR="00EE7C5D" w:rsidRPr="00D22A73" w:rsidRDefault="00EE7C5D" w:rsidP="00EE7C5D"/>
    <w:p w14:paraId="58C97DAD" w14:textId="77777777" w:rsidR="00EE7C5D" w:rsidRPr="00D22A73" w:rsidRDefault="00EE7C5D" w:rsidP="00EE7C5D"/>
    <w:p w14:paraId="44E72FD6" w14:textId="77777777" w:rsidR="00EE7C5D" w:rsidRPr="00D22A73" w:rsidRDefault="00EE7C5D" w:rsidP="00EE7C5D"/>
    <w:p w14:paraId="3826B30A" w14:textId="5021CCFA" w:rsidR="00EE7C5D" w:rsidRDefault="00EE7C5D"/>
    <w:p w14:paraId="3BC17534" w14:textId="07BA1254" w:rsidR="00EE7C5D" w:rsidRDefault="00EE7C5D"/>
    <w:p w14:paraId="085DCA1B" w14:textId="111F1A05" w:rsidR="00EE7C5D" w:rsidRDefault="00EE7C5D"/>
    <w:p w14:paraId="7135EBBC" w14:textId="3CA174CC" w:rsidR="00EE7C5D" w:rsidRDefault="00EE7C5D"/>
    <w:p w14:paraId="190A865C" w14:textId="43D13F81" w:rsidR="00EE7C5D" w:rsidRDefault="00EE7C5D"/>
    <w:p w14:paraId="4D7E07A9" w14:textId="76F8C964" w:rsidR="00EE7C5D" w:rsidRDefault="00EE7C5D"/>
    <w:p w14:paraId="4152E9DA" w14:textId="24E23906" w:rsidR="00EE7C5D" w:rsidRDefault="00EE7C5D"/>
    <w:p w14:paraId="15B25314" w14:textId="7529ED12" w:rsidR="00EE7C5D" w:rsidRDefault="00EE7C5D"/>
    <w:p w14:paraId="6478BE54" w14:textId="072A80D9" w:rsidR="00EE7C5D" w:rsidRDefault="00EE7C5D"/>
    <w:p w14:paraId="049DC0A1" w14:textId="32F39204" w:rsidR="00EE7C5D" w:rsidRDefault="00EE7C5D"/>
    <w:p w14:paraId="45357FC4" w14:textId="307353A7" w:rsidR="00EE7C5D" w:rsidRDefault="00EE7C5D"/>
    <w:p w14:paraId="535CF227" w14:textId="2FC29CC2" w:rsidR="00EE7C5D" w:rsidRDefault="00EE7C5D"/>
    <w:p w14:paraId="49F20CD7" w14:textId="77777777" w:rsidR="00EE7C5D" w:rsidRPr="00EE7C5D" w:rsidRDefault="00EE7C5D" w:rsidP="00EE7C5D">
      <w:pPr>
        <w:spacing w:line="480" w:lineRule="auto"/>
      </w:pPr>
    </w:p>
    <w:p w14:paraId="65E35E95" w14:textId="77777777" w:rsidR="00EE7C5D" w:rsidRPr="00EE7C5D" w:rsidRDefault="00EE7C5D" w:rsidP="00EE7C5D">
      <w:pPr>
        <w:spacing w:line="480" w:lineRule="auto"/>
      </w:pPr>
      <w:r w:rsidRPr="00EE7C5D">
        <w:rPr>
          <w:noProof/>
        </w:rPr>
        <w:drawing>
          <wp:inline distT="0" distB="0" distL="0" distR="0" wp14:anchorId="30BCBE4C" wp14:editId="53DD37C2">
            <wp:extent cx="5943600" cy="4953000"/>
            <wp:effectExtent l="0" t="0" r="0" b="0"/>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953000"/>
                    </a:xfrm>
                    <a:prstGeom prst="rect">
                      <a:avLst/>
                    </a:prstGeom>
                  </pic:spPr>
                </pic:pic>
              </a:graphicData>
            </a:graphic>
          </wp:inline>
        </w:drawing>
      </w:r>
    </w:p>
    <w:p w14:paraId="5EB06919" w14:textId="77777777" w:rsidR="00EE7C5D" w:rsidRPr="00EE7C5D" w:rsidRDefault="00EE7C5D" w:rsidP="00EE7C5D">
      <w:pPr>
        <w:spacing w:line="480" w:lineRule="auto"/>
      </w:pPr>
      <w:r w:rsidRPr="00EE7C5D">
        <w:rPr>
          <w:i/>
          <w:iCs/>
        </w:rPr>
        <w:t>Figure 1.</w:t>
      </w:r>
      <w:r w:rsidRPr="00EE7C5D">
        <w:t xml:space="preserve"> Each significant moderation is shown, highlighting the estimated means of each outcome (monitoring and knowledge) for three moderators: AAQ-MCHL (a), Activation (b), and Parent Reported Hours of Hearing Aid Use (c) and (d). Low, mid, and high levels of the moderators were at 1 standard deviation below the mean (“low”), at the mean (“mid”), and at 1 standard deviation above the mean (“high”). Error bars show +/- 1 standard error of the mean.</w:t>
      </w:r>
    </w:p>
    <w:p w14:paraId="5804891B" w14:textId="77777777" w:rsidR="00EE7C5D" w:rsidRDefault="00EE7C5D"/>
    <w:sectPr w:rsidR="00EE7C5D" w:rsidSect="00E843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3780" w14:textId="77777777" w:rsidR="00D16467" w:rsidRDefault="00D16467" w:rsidP="00EE7C5D">
      <w:r>
        <w:separator/>
      </w:r>
    </w:p>
  </w:endnote>
  <w:endnote w:type="continuationSeparator" w:id="0">
    <w:p w14:paraId="3ABB7B21" w14:textId="77777777" w:rsidR="00D16467" w:rsidRDefault="00D16467" w:rsidP="00EE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C7F6" w14:textId="77777777" w:rsidR="00D16467" w:rsidRDefault="00D16467" w:rsidP="00EE7C5D">
      <w:r>
        <w:separator/>
      </w:r>
    </w:p>
  </w:footnote>
  <w:footnote w:type="continuationSeparator" w:id="0">
    <w:p w14:paraId="6D37B5E2" w14:textId="77777777" w:rsidR="00D16467" w:rsidRDefault="00D16467" w:rsidP="00EE7C5D">
      <w:r>
        <w:continuationSeparator/>
      </w:r>
    </w:p>
  </w:footnote>
  <w:footnote w:id="1">
    <w:p w14:paraId="74230459" w14:textId="77777777" w:rsidR="00EE7C5D" w:rsidRPr="004A7473" w:rsidRDefault="00EE7C5D" w:rsidP="00EE7C5D">
      <w:pPr>
        <w:pStyle w:val="FootnoteText"/>
      </w:pPr>
      <w:r w:rsidRPr="004A7473">
        <w:rPr>
          <w:rStyle w:val="FootnoteReference"/>
        </w:rPr>
        <w:footnoteRef/>
      </w:r>
      <w:r w:rsidRPr="004A7473">
        <w:t xml:space="preserve"> The intervention condition had 4 less individuals than the TAU condition because of 4 individuals that were included at pre-intervention did not provide data at subsequent time points.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5D"/>
    <w:rsid w:val="000461A8"/>
    <w:rsid w:val="000D263A"/>
    <w:rsid w:val="000D4856"/>
    <w:rsid w:val="000E5A53"/>
    <w:rsid w:val="00145379"/>
    <w:rsid w:val="0014715E"/>
    <w:rsid w:val="00186D78"/>
    <w:rsid w:val="001D2722"/>
    <w:rsid w:val="00220A98"/>
    <w:rsid w:val="00276968"/>
    <w:rsid w:val="00290A63"/>
    <w:rsid w:val="002A52D3"/>
    <w:rsid w:val="002F2726"/>
    <w:rsid w:val="002F608B"/>
    <w:rsid w:val="003171DB"/>
    <w:rsid w:val="00327055"/>
    <w:rsid w:val="00350DE5"/>
    <w:rsid w:val="003E1A64"/>
    <w:rsid w:val="003E7573"/>
    <w:rsid w:val="0045120D"/>
    <w:rsid w:val="004D43FD"/>
    <w:rsid w:val="004D78E5"/>
    <w:rsid w:val="004E3035"/>
    <w:rsid w:val="00524313"/>
    <w:rsid w:val="00525E93"/>
    <w:rsid w:val="00545DEA"/>
    <w:rsid w:val="00584528"/>
    <w:rsid w:val="005C6C82"/>
    <w:rsid w:val="005E27D6"/>
    <w:rsid w:val="00696763"/>
    <w:rsid w:val="006C3FFE"/>
    <w:rsid w:val="00710B07"/>
    <w:rsid w:val="00711AB2"/>
    <w:rsid w:val="00793E4C"/>
    <w:rsid w:val="007B7645"/>
    <w:rsid w:val="007E1DA2"/>
    <w:rsid w:val="0085506E"/>
    <w:rsid w:val="0088054A"/>
    <w:rsid w:val="00890E1A"/>
    <w:rsid w:val="008921DC"/>
    <w:rsid w:val="00955E44"/>
    <w:rsid w:val="009933AF"/>
    <w:rsid w:val="00995C04"/>
    <w:rsid w:val="009C3B7C"/>
    <w:rsid w:val="00A32D41"/>
    <w:rsid w:val="00AB22B6"/>
    <w:rsid w:val="00AB6846"/>
    <w:rsid w:val="00AF229E"/>
    <w:rsid w:val="00B33744"/>
    <w:rsid w:val="00B65A1C"/>
    <w:rsid w:val="00B77239"/>
    <w:rsid w:val="00C74B25"/>
    <w:rsid w:val="00CA025A"/>
    <w:rsid w:val="00D16467"/>
    <w:rsid w:val="00D75C18"/>
    <w:rsid w:val="00D9307D"/>
    <w:rsid w:val="00DF6132"/>
    <w:rsid w:val="00E004CA"/>
    <w:rsid w:val="00E04EB7"/>
    <w:rsid w:val="00E15BFB"/>
    <w:rsid w:val="00E56AB4"/>
    <w:rsid w:val="00EA46D3"/>
    <w:rsid w:val="00EE7948"/>
    <w:rsid w:val="00EE7C5D"/>
    <w:rsid w:val="00F937A4"/>
    <w:rsid w:val="00FE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00B014"/>
  <w15:chartTrackingRefBased/>
  <w15:docId w15:val="{84CCCB5E-0D96-1F48-8CAF-7A9540AF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EE7C5D"/>
    <w:rPr>
      <w:rFonts w:ascii="Calibri" w:eastAsia="Times New Roman" w:hAnsi="Calibri" w:cs="Calibri"/>
      <w:sz w:val="24"/>
    </w:rPr>
  </w:style>
  <w:style w:type="character" w:customStyle="1" w:styleId="EndNoteBibliographyChar">
    <w:name w:val="EndNote Bibliography Char"/>
    <w:basedOn w:val="DefaultParagraphFont"/>
    <w:link w:val="EndNoteBibliography"/>
    <w:rsid w:val="00EE7C5D"/>
    <w:rPr>
      <w:rFonts w:ascii="Calibri" w:eastAsia="Times New Roman" w:hAnsi="Calibri" w:cs="Calibri"/>
      <w:sz w:val="24"/>
    </w:rPr>
  </w:style>
  <w:style w:type="paragraph" w:styleId="FootnoteText">
    <w:name w:val="footnote text"/>
    <w:basedOn w:val="Normal"/>
    <w:link w:val="FootnoteTextChar"/>
    <w:uiPriority w:val="99"/>
    <w:semiHidden/>
    <w:unhideWhenUsed/>
    <w:rsid w:val="00EE7C5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E7C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E7C5D"/>
    <w:rPr>
      <w:vertAlign w:val="superscript"/>
    </w:rPr>
  </w:style>
  <w:style w:type="table" w:styleId="TableGrid">
    <w:name w:val="Table Grid"/>
    <w:basedOn w:val="TableNormal"/>
    <w:uiPriority w:val="39"/>
    <w:rsid w:val="00EE7C5D"/>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8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6635</Words>
  <Characters>37823</Characters>
  <Application>Microsoft Office Word</Application>
  <DocSecurity>0</DocSecurity>
  <Lines>315</Lines>
  <Paragraphs>88</Paragraphs>
  <ScaleCrop>false</ScaleCrop>
  <Company/>
  <LinksUpToDate>false</LinksUpToDate>
  <CharactersWithSpaces>44370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San Miguel</dc:creator>
  <cp:keywords/>
  <dc:description/>
  <cp:lastModifiedBy>Guadalupe San Miguel</cp:lastModifiedBy>
  <cp:revision>1</cp:revision>
  <dcterms:created xsi:type="dcterms:W3CDTF">2022-02-23T20:37:00Z</dcterms:created>
  <dcterms:modified xsi:type="dcterms:W3CDTF">2022-02-23T20:40:00Z</dcterms:modified>
</cp:coreProperties>
</file>