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F6F5E" w14:textId="12204D55" w:rsidR="00390AA1" w:rsidRDefault="00390AA1" w:rsidP="00CF2EEA">
      <w:pPr>
        <w:widowControl w:val="0"/>
        <w:jc w:val="center"/>
        <w:rPr>
          <w:rFonts w:cs="Times New Roman"/>
          <w:szCs w:val="24"/>
        </w:rPr>
      </w:pPr>
    </w:p>
    <w:p w14:paraId="7C4363CE" w14:textId="77777777" w:rsidR="00390AA1" w:rsidRPr="00A20B39" w:rsidRDefault="00390AA1" w:rsidP="001B4A63">
      <w:pPr>
        <w:widowControl w:val="0"/>
        <w:jc w:val="center"/>
        <w:rPr>
          <w:rFonts w:cs="Times New Roman"/>
          <w:szCs w:val="24"/>
        </w:rPr>
      </w:pPr>
    </w:p>
    <w:p w14:paraId="6C992360" w14:textId="791DD32C" w:rsidR="001B4A63" w:rsidRPr="005B3F05" w:rsidRDefault="001B4A63" w:rsidP="001B4A63">
      <w:pPr>
        <w:pStyle w:val="Heading1"/>
        <w:keepNext w:val="0"/>
        <w:keepLines w:val="0"/>
        <w:widowControl w:val="0"/>
        <w:rPr>
          <w:b w:val="0"/>
        </w:rPr>
      </w:pPr>
      <w:r w:rsidRPr="005B3F05">
        <w:rPr>
          <w:b w:val="0"/>
        </w:rPr>
        <w:t xml:space="preserve">Acceptance-Enhanced Behavior Therapy </w:t>
      </w:r>
      <w:r>
        <w:rPr>
          <w:b w:val="0"/>
        </w:rPr>
        <w:t>for Trichotillomania in Adults:</w:t>
      </w:r>
      <w:r>
        <w:rPr>
          <w:b w:val="0"/>
        </w:rPr>
        <w:br/>
      </w:r>
      <w:r w:rsidRPr="005B3F05">
        <w:rPr>
          <w:b w:val="0"/>
        </w:rPr>
        <w:t>A Randomized Clinical Trial</w:t>
      </w:r>
    </w:p>
    <w:p w14:paraId="13A79191" w14:textId="77777777" w:rsidR="00F15AF2" w:rsidRPr="00A20B39" w:rsidRDefault="00F15AF2" w:rsidP="00CF2EEA">
      <w:pPr>
        <w:widowControl w:val="0"/>
        <w:jc w:val="center"/>
        <w:rPr>
          <w:rFonts w:cs="Times New Roman"/>
          <w:szCs w:val="24"/>
        </w:rPr>
      </w:pPr>
    </w:p>
    <w:p w14:paraId="4D384337" w14:textId="359E5004" w:rsidR="001A76C7" w:rsidRPr="00C80564" w:rsidRDefault="0058651F" w:rsidP="00CF2EEA">
      <w:pPr>
        <w:widowControl w:val="0"/>
        <w:jc w:val="center"/>
        <w:rPr>
          <w:rFonts w:cs="Times New Roman"/>
          <w:color w:val="000000" w:themeColor="text1"/>
          <w:szCs w:val="24"/>
          <w:vertAlign w:val="superscript"/>
        </w:rPr>
      </w:pPr>
      <w:r w:rsidRPr="00A20B39">
        <w:rPr>
          <w:rFonts w:cs="Times New Roman"/>
          <w:szCs w:val="24"/>
        </w:rPr>
        <w:t>Douglas W. Woods</w:t>
      </w:r>
      <w:r w:rsidR="00543EED">
        <w:rPr>
          <w:rFonts w:cs="Times New Roman"/>
          <w:szCs w:val="24"/>
        </w:rPr>
        <w:t xml:space="preserve">, </w:t>
      </w:r>
      <w:proofErr w:type="spellStart"/>
      <w:r w:rsidR="00543EED">
        <w:rPr>
          <w:rFonts w:cs="Times New Roman"/>
          <w:szCs w:val="24"/>
        </w:rPr>
        <w:t>Ph.</w:t>
      </w:r>
      <w:proofErr w:type="gramStart"/>
      <w:r w:rsidR="00543EED">
        <w:rPr>
          <w:rFonts w:cs="Times New Roman"/>
          <w:szCs w:val="24"/>
        </w:rPr>
        <w:t>D.</w:t>
      </w:r>
      <w:r w:rsidR="00E3156D">
        <w:rPr>
          <w:rFonts w:cs="Times New Roman"/>
          <w:szCs w:val="24"/>
          <w:vertAlign w:val="superscript"/>
        </w:rPr>
        <w:t>a</w:t>
      </w:r>
      <w:proofErr w:type="spellEnd"/>
      <w:proofErr w:type="gramEnd"/>
      <w:r w:rsidR="00543EED">
        <w:rPr>
          <w:rFonts w:cs="Times New Roman"/>
          <w:szCs w:val="24"/>
          <w:vertAlign w:val="superscript"/>
        </w:rPr>
        <w:t>,</w:t>
      </w:r>
      <w:r w:rsidR="00E3156D">
        <w:rPr>
          <w:rFonts w:cs="Times New Roman"/>
          <w:szCs w:val="24"/>
          <w:vertAlign w:val="superscript"/>
        </w:rPr>
        <w:t xml:space="preserve"> b, 1</w:t>
      </w:r>
      <w:r w:rsidR="00F15AF2">
        <w:rPr>
          <w:rFonts w:cs="Times New Roman"/>
          <w:szCs w:val="24"/>
          <w:vertAlign w:val="superscript"/>
        </w:rPr>
        <w:t>*</w:t>
      </w:r>
      <w:r w:rsidR="00632AA0">
        <w:rPr>
          <w:rFonts w:cs="Times New Roman"/>
          <w:szCs w:val="24"/>
          <w:vertAlign w:val="superscript"/>
        </w:rPr>
        <w:br/>
      </w:r>
      <w:r w:rsidRPr="00A20B39">
        <w:rPr>
          <w:rFonts w:cs="Times New Roman"/>
          <w:szCs w:val="24"/>
        </w:rPr>
        <w:t>Laura J. Ely</w:t>
      </w:r>
      <w:r w:rsidR="00543EED">
        <w:rPr>
          <w:rFonts w:cs="Times New Roman"/>
          <w:szCs w:val="24"/>
        </w:rPr>
        <w:t xml:space="preserve">, </w:t>
      </w:r>
      <w:proofErr w:type="spellStart"/>
      <w:r w:rsidR="00543EED">
        <w:rPr>
          <w:rFonts w:cs="Times New Roman"/>
          <w:szCs w:val="24"/>
        </w:rPr>
        <w:t>Ph.D</w:t>
      </w:r>
      <w:r w:rsidR="00543EED" w:rsidRPr="00632AA0">
        <w:rPr>
          <w:rFonts w:cs="Times New Roman"/>
          <w:color w:val="000000" w:themeColor="text1"/>
          <w:szCs w:val="24"/>
        </w:rPr>
        <w:t>.</w:t>
      </w:r>
      <w:r w:rsidR="00E3156D" w:rsidRPr="00632AA0">
        <w:rPr>
          <w:rFonts w:cs="Times New Roman"/>
          <w:color w:val="000000" w:themeColor="text1"/>
          <w:szCs w:val="24"/>
          <w:vertAlign w:val="superscript"/>
        </w:rPr>
        <w:t>b</w:t>
      </w:r>
      <w:proofErr w:type="spellEnd"/>
      <w:r w:rsidR="00E3156D" w:rsidRPr="00632AA0">
        <w:rPr>
          <w:rFonts w:cs="Times New Roman"/>
          <w:color w:val="000000" w:themeColor="text1"/>
          <w:szCs w:val="24"/>
          <w:vertAlign w:val="superscript"/>
        </w:rPr>
        <w:t xml:space="preserve">, </w:t>
      </w:r>
      <w:r w:rsidR="00E3156D">
        <w:rPr>
          <w:rFonts w:cs="Times New Roman"/>
          <w:color w:val="7030A0"/>
          <w:szCs w:val="24"/>
          <w:vertAlign w:val="superscript"/>
        </w:rPr>
        <w:t>2</w:t>
      </w:r>
      <w:r w:rsidR="00543EED">
        <w:rPr>
          <w:rFonts w:cs="Times New Roman"/>
          <w:szCs w:val="24"/>
          <w:vertAlign w:val="superscript"/>
        </w:rPr>
        <w:br/>
      </w:r>
      <w:r w:rsidRPr="00A20B39">
        <w:rPr>
          <w:rFonts w:cs="Times New Roman"/>
          <w:szCs w:val="24"/>
        </w:rPr>
        <w:t>Christopher C. Bauer</w:t>
      </w:r>
      <w:r w:rsidR="00543EED">
        <w:rPr>
          <w:rFonts w:cs="Times New Roman"/>
          <w:szCs w:val="24"/>
        </w:rPr>
        <w:t xml:space="preserve">, </w:t>
      </w:r>
      <w:proofErr w:type="spellStart"/>
      <w:r w:rsidR="00543EED">
        <w:rPr>
          <w:rFonts w:cs="Times New Roman"/>
          <w:szCs w:val="24"/>
        </w:rPr>
        <w:t>M.S.</w:t>
      </w:r>
      <w:r w:rsidR="00E3156D">
        <w:rPr>
          <w:rFonts w:cs="Times New Roman"/>
          <w:szCs w:val="24"/>
          <w:vertAlign w:val="superscript"/>
        </w:rPr>
        <w:t>a</w:t>
      </w:r>
      <w:proofErr w:type="spellEnd"/>
      <w:r w:rsidR="00E3156D">
        <w:rPr>
          <w:rFonts w:cs="Times New Roman"/>
          <w:szCs w:val="24"/>
          <w:vertAlign w:val="superscript"/>
        </w:rPr>
        <w:t>, b, 3</w:t>
      </w:r>
      <w:r w:rsidR="00543EED">
        <w:rPr>
          <w:rFonts w:cs="Times New Roman"/>
          <w:szCs w:val="24"/>
          <w:vertAlign w:val="superscript"/>
        </w:rPr>
        <w:br/>
      </w:r>
      <w:r w:rsidRPr="00A20B39">
        <w:rPr>
          <w:rFonts w:cs="Times New Roman"/>
          <w:szCs w:val="24"/>
        </w:rPr>
        <w:t>Michael P. Twohig</w:t>
      </w:r>
      <w:r w:rsidR="00543EED">
        <w:rPr>
          <w:rFonts w:cs="Times New Roman"/>
          <w:szCs w:val="24"/>
        </w:rPr>
        <w:t xml:space="preserve">, </w:t>
      </w:r>
      <w:proofErr w:type="spellStart"/>
      <w:r w:rsidR="00543EED">
        <w:rPr>
          <w:rFonts w:cs="Times New Roman"/>
          <w:szCs w:val="24"/>
        </w:rPr>
        <w:t>Ph.D.</w:t>
      </w:r>
      <w:r w:rsidR="00E3156D">
        <w:rPr>
          <w:rFonts w:cs="Times New Roman"/>
          <w:szCs w:val="24"/>
          <w:vertAlign w:val="superscript"/>
        </w:rPr>
        <w:t>c</w:t>
      </w:r>
      <w:proofErr w:type="spellEnd"/>
      <w:r w:rsidR="00543EED">
        <w:rPr>
          <w:rFonts w:cs="Times New Roman"/>
          <w:szCs w:val="24"/>
          <w:vertAlign w:val="superscript"/>
        </w:rPr>
        <w:br/>
      </w:r>
      <w:r w:rsidRPr="00A20B39">
        <w:rPr>
          <w:rFonts w:cs="Times New Roman"/>
          <w:szCs w:val="24"/>
        </w:rPr>
        <w:t xml:space="preserve">Stephen </w:t>
      </w:r>
      <w:r w:rsidR="00C57E34">
        <w:rPr>
          <w:rFonts w:cs="Times New Roman"/>
          <w:szCs w:val="24"/>
        </w:rPr>
        <w:t>M</w:t>
      </w:r>
      <w:r w:rsidR="00C57E34" w:rsidRPr="00C80564">
        <w:rPr>
          <w:rFonts w:cs="Times New Roman"/>
          <w:color w:val="000000" w:themeColor="text1"/>
          <w:szCs w:val="24"/>
        </w:rPr>
        <w:t xml:space="preserve">. </w:t>
      </w:r>
      <w:r w:rsidRPr="00C80564">
        <w:rPr>
          <w:rFonts w:cs="Times New Roman"/>
          <w:color w:val="000000" w:themeColor="text1"/>
          <w:szCs w:val="24"/>
        </w:rPr>
        <w:t>Saunders</w:t>
      </w:r>
      <w:r w:rsidR="00543EED" w:rsidRPr="00C80564">
        <w:rPr>
          <w:rFonts w:cs="Times New Roman"/>
          <w:color w:val="000000" w:themeColor="text1"/>
          <w:szCs w:val="24"/>
        </w:rPr>
        <w:t xml:space="preserve">, </w:t>
      </w:r>
      <w:proofErr w:type="spellStart"/>
      <w:r w:rsidR="00543EED" w:rsidRPr="00C80564">
        <w:rPr>
          <w:rFonts w:cs="Times New Roman"/>
          <w:color w:val="000000" w:themeColor="text1"/>
          <w:szCs w:val="24"/>
        </w:rPr>
        <w:t>Ph.D.</w:t>
      </w:r>
      <w:r w:rsidR="00E3156D" w:rsidRPr="00C80564">
        <w:rPr>
          <w:rFonts w:cs="Times New Roman"/>
          <w:color w:val="000000" w:themeColor="text1"/>
          <w:szCs w:val="24"/>
          <w:vertAlign w:val="superscript"/>
        </w:rPr>
        <w:t>a</w:t>
      </w:r>
      <w:proofErr w:type="spellEnd"/>
      <w:r w:rsidR="00543EED" w:rsidRPr="00C80564">
        <w:rPr>
          <w:rFonts w:cs="Times New Roman"/>
          <w:color w:val="000000" w:themeColor="text1"/>
          <w:szCs w:val="24"/>
          <w:vertAlign w:val="superscript"/>
        </w:rPr>
        <w:br/>
      </w:r>
      <w:r w:rsidRPr="00C80564">
        <w:rPr>
          <w:rFonts w:cs="Times New Roman"/>
          <w:color w:val="000000" w:themeColor="text1"/>
          <w:szCs w:val="24"/>
        </w:rPr>
        <w:t>Scott N. Compton</w:t>
      </w:r>
      <w:r w:rsidR="00543EED" w:rsidRPr="00C80564">
        <w:rPr>
          <w:rFonts w:cs="Times New Roman"/>
          <w:color w:val="000000" w:themeColor="text1"/>
          <w:szCs w:val="24"/>
        </w:rPr>
        <w:t xml:space="preserve">, </w:t>
      </w:r>
      <w:proofErr w:type="spellStart"/>
      <w:r w:rsidR="00543EED" w:rsidRPr="00C80564">
        <w:rPr>
          <w:rFonts w:cs="Times New Roman"/>
          <w:color w:val="000000" w:themeColor="text1"/>
          <w:szCs w:val="24"/>
        </w:rPr>
        <w:t>Ph.D.</w:t>
      </w:r>
      <w:r w:rsidR="00E3156D" w:rsidRPr="00C80564">
        <w:rPr>
          <w:rFonts w:cs="Times New Roman"/>
          <w:color w:val="000000" w:themeColor="text1"/>
          <w:szCs w:val="24"/>
          <w:vertAlign w:val="superscript"/>
        </w:rPr>
        <w:t>d</w:t>
      </w:r>
      <w:proofErr w:type="spellEnd"/>
      <w:r w:rsidR="00543EED" w:rsidRPr="00C80564">
        <w:rPr>
          <w:rFonts w:cs="Times New Roman"/>
          <w:color w:val="000000" w:themeColor="text1"/>
          <w:szCs w:val="24"/>
          <w:vertAlign w:val="superscript"/>
        </w:rPr>
        <w:br/>
      </w:r>
      <w:r w:rsidRPr="00C80564">
        <w:rPr>
          <w:rFonts w:cs="Times New Roman"/>
          <w:color w:val="000000" w:themeColor="text1"/>
          <w:szCs w:val="24"/>
        </w:rPr>
        <w:t>Flint M. Espil</w:t>
      </w:r>
      <w:r w:rsidR="00543EED" w:rsidRPr="00C80564">
        <w:rPr>
          <w:rFonts w:cs="Times New Roman"/>
          <w:color w:val="000000" w:themeColor="text1"/>
          <w:szCs w:val="24"/>
        </w:rPr>
        <w:t xml:space="preserve">, </w:t>
      </w:r>
      <w:proofErr w:type="spellStart"/>
      <w:r w:rsidR="00543EED" w:rsidRPr="00C80564">
        <w:rPr>
          <w:rFonts w:cs="Times New Roman"/>
          <w:color w:val="000000" w:themeColor="text1"/>
          <w:szCs w:val="24"/>
        </w:rPr>
        <w:t>Ph.D.</w:t>
      </w:r>
      <w:r w:rsidR="00E3156D" w:rsidRPr="00C80564">
        <w:rPr>
          <w:rFonts w:cs="Times New Roman"/>
          <w:color w:val="000000" w:themeColor="text1"/>
          <w:szCs w:val="24"/>
          <w:vertAlign w:val="superscript"/>
        </w:rPr>
        <w:t>b</w:t>
      </w:r>
      <w:proofErr w:type="spellEnd"/>
      <w:r w:rsidR="00E3156D" w:rsidRPr="00C80564">
        <w:rPr>
          <w:rFonts w:cs="Times New Roman"/>
          <w:color w:val="000000" w:themeColor="text1"/>
          <w:szCs w:val="24"/>
          <w:vertAlign w:val="superscript"/>
        </w:rPr>
        <w:t xml:space="preserve">, </w:t>
      </w:r>
      <w:r w:rsidR="00863D04" w:rsidRPr="00C80564">
        <w:rPr>
          <w:rFonts w:cs="Times New Roman"/>
          <w:color w:val="000000" w:themeColor="text1"/>
          <w:szCs w:val="24"/>
          <w:vertAlign w:val="superscript"/>
        </w:rPr>
        <w:t>4</w:t>
      </w:r>
      <w:r w:rsidR="00543EED" w:rsidRPr="00C80564">
        <w:rPr>
          <w:rFonts w:cs="Times New Roman"/>
          <w:color w:val="000000" w:themeColor="text1"/>
          <w:szCs w:val="24"/>
          <w:vertAlign w:val="superscript"/>
        </w:rPr>
        <w:br/>
      </w:r>
      <w:r w:rsidRPr="00C80564">
        <w:rPr>
          <w:rFonts w:cs="Times New Roman"/>
          <w:color w:val="000000" w:themeColor="text1"/>
          <w:szCs w:val="24"/>
        </w:rPr>
        <w:t>Angela Neal</w:t>
      </w:r>
      <w:r w:rsidR="00543EED" w:rsidRPr="00C80564">
        <w:rPr>
          <w:rFonts w:cs="Times New Roman"/>
          <w:color w:val="000000" w:themeColor="text1"/>
          <w:szCs w:val="24"/>
        </w:rPr>
        <w:t xml:space="preserve">, </w:t>
      </w:r>
      <w:proofErr w:type="spellStart"/>
      <w:r w:rsidR="00543EED" w:rsidRPr="00C80564">
        <w:rPr>
          <w:rFonts w:cs="Times New Roman"/>
          <w:color w:val="000000" w:themeColor="text1"/>
          <w:szCs w:val="24"/>
        </w:rPr>
        <w:t>Ph.D.</w:t>
      </w:r>
      <w:r w:rsidR="00863D04" w:rsidRPr="00C80564">
        <w:rPr>
          <w:rFonts w:cs="Times New Roman"/>
          <w:color w:val="000000" w:themeColor="text1"/>
          <w:szCs w:val="24"/>
          <w:vertAlign w:val="superscript"/>
        </w:rPr>
        <w:t>e</w:t>
      </w:r>
      <w:proofErr w:type="spellEnd"/>
    </w:p>
    <w:p w14:paraId="558F5B23" w14:textId="00E623E7" w:rsidR="0006136B" w:rsidRPr="0006136B" w:rsidRDefault="001A76C7" w:rsidP="00CF2EEA">
      <w:pPr>
        <w:widowControl w:val="0"/>
        <w:jc w:val="center"/>
        <w:rPr>
          <w:rFonts w:cs="Times New Roman"/>
          <w:szCs w:val="24"/>
          <w:vertAlign w:val="superscript"/>
        </w:rPr>
      </w:pPr>
      <w:r w:rsidRPr="00C80564">
        <w:rPr>
          <w:rFonts w:cs="Times New Roman"/>
          <w:color w:val="000000" w:themeColor="text1"/>
          <w:szCs w:val="24"/>
        </w:rPr>
        <w:t xml:space="preserve">Jennifer </w:t>
      </w:r>
      <w:r w:rsidR="005F527A" w:rsidRPr="00C80564">
        <w:rPr>
          <w:rFonts w:cs="Times New Roman"/>
          <w:color w:val="000000" w:themeColor="text1"/>
          <w:szCs w:val="24"/>
        </w:rPr>
        <w:t xml:space="preserve">R. </w:t>
      </w:r>
      <w:r w:rsidRPr="00C80564">
        <w:rPr>
          <w:rFonts w:cs="Times New Roman"/>
          <w:color w:val="000000" w:themeColor="text1"/>
          <w:szCs w:val="24"/>
        </w:rPr>
        <w:t xml:space="preserve">Alexander, </w:t>
      </w:r>
      <w:proofErr w:type="spellStart"/>
      <w:r w:rsidR="00863D04" w:rsidRPr="00C80564">
        <w:rPr>
          <w:rFonts w:cs="Times New Roman"/>
          <w:color w:val="000000" w:themeColor="text1"/>
          <w:szCs w:val="24"/>
        </w:rPr>
        <w:t>Ph.</w:t>
      </w:r>
      <w:proofErr w:type="gramStart"/>
      <w:r w:rsidR="00863D04" w:rsidRPr="00C80564">
        <w:rPr>
          <w:rFonts w:cs="Times New Roman"/>
          <w:color w:val="000000" w:themeColor="text1"/>
          <w:szCs w:val="24"/>
        </w:rPr>
        <w:t>D</w:t>
      </w:r>
      <w:r w:rsidRPr="00C80564">
        <w:rPr>
          <w:rFonts w:cs="Times New Roman"/>
          <w:color w:val="000000" w:themeColor="text1"/>
          <w:szCs w:val="24"/>
        </w:rPr>
        <w:t>.</w:t>
      </w:r>
      <w:r w:rsidR="00E3156D" w:rsidRPr="00C80564">
        <w:rPr>
          <w:rFonts w:cs="Times New Roman"/>
          <w:color w:val="000000" w:themeColor="text1"/>
          <w:szCs w:val="24"/>
          <w:vertAlign w:val="superscript"/>
        </w:rPr>
        <w:t>a</w:t>
      </w:r>
      <w:proofErr w:type="spellEnd"/>
      <w:proofErr w:type="gramEnd"/>
      <w:r w:rsidR="00863D04" w:rsidRPr="00C80564">
        <w:rPr>
          <w:rFonts w:cs="Times New Roman"/>
          <w:color w:val="000000" w:themeColor="text1"/>
          <w:szCs w:val="24"/>
          <w:vertAlign w:val="superscript"/>
        </w:rPr>
        <w:t>, 5</w:t>
      </w:r>
      <w:r w:rsidR="00543EED" w:rsidRPr="00C80564">
        <w:rPr>
          <w:rFonts w:cs="Times New Roman"/>
          <w:color w:val="000000" w:themeColor="text1"/>
          <w:szCs w:val="24"/>
          <w:vertAlign w:val="superscript"/>
        </w:rPr>
        <w:br/>
      </w:r>
      <w:r w:rsidR="00543EED" w:rsidRPr="00C80564">
        <w:rPr>
          <w:rFonts w:cs="Times New Roman"/>
          <w:color w:val="000000" w:themeColor="text1"/>
          <w:szCs w:val="24"/>
        </w:rPr>
        <w:t>Michael R. Walther, Ph.D.</w:t>
      </w:r>
      <w:r w:rsidR="007B007F" w:rsidRPr="00C80564">
        <w:rPr>
          <w:rFonts w:cs="Times New Roman"/>
          <w:color w:val="000000" w:themeColor="text1"/>
          <w:szCs w:val="24"/>
          <w:vertAlign w:val="superscript"/>
        </w:rPr>
        <w:t>b,6</w:t>
      </w:r>
      <w:r w:rsidR="00543EED" w:rsidRPr="00C80564">
        <w:rPr>
          <w:rFonts w:cs="Times New Roman"/>
          <w:color w:val="000000" w:themeColor="text1"/>
          <w:szCs w:val="24"/>
          <w:vertAlign w:val="superscript"/>
        </w:rPr>
        <w:br/>
      </w:r>
      <w:r w:rsidR="0006136B">
        <w:rPr>
          <w:rFonts w:cs="Times New Roman"/>
          <w:szCs w:val="24"/>
        </w:rPr>
        <w:t xml:space="preserve">Shawn </w:t>
      </w:r>
      <w:r w:rsidR="00FD72C4">
        <w:rPr>
          <w:rFonts w:cs="Times New Roman"/>
          <w:szCs w:val="24"/>
        </w:rPr>
        <w:t xml:space="preserve">P. </w:t>
      </w:r>
      <w:r w:rsidR="0006136B">
        <w:rPr>
          <w:rFonts w:cs="Times New Roman"/>
          <w:szCs w:val="24"/>
        </w:rPr>
        <w:t xml:space="preserve">Cahill, </w:t>
      </w:r>
      <w:proofErr w:type="spellStart"/>
      <w:r w:rsidR="0006136B">
        <w:rPr>
          <w:rFonts w:cs="Times New Roman"/>
          <w:szCs w:val="24"/>
        </w:rPr>
        <w:t>Ph.D.</w:t>
      </w:r>
      <w:r w:rsidR="00863D04">
        <w:rPr>
          <w:rFonts w:cs="Times New Roman"/>
          <w:szCs w:val="24"/>
          <w:vertAlign w:val="superscript"/>
        </w:rPr>
        <w:t>b</w:t>
      </w:r>
      <w:proofErr w:type="spellEnd"/>
      <w:r w:rsidR="0006136B">
        <w:rPr>
          <w:rFonts w:cs="Times New Roman"/>
          <w:szCs w:val="24"/>
          <w:vertAlign w:val="superscript"/>
        </w:rPr>
        <w:br/>
      </w:r>
      <w:r w:rsidR="0006136B">
        <w:rPr>
          <w:rFonts w:cs="Times New Roman"/>
          <w:szCs w:val="24"/>
        </w:rPr>
        <w:t xml:space="preserve">Thilo Deckersbach, </w:t>
      </w:r>
      <w:proofErr w:type="spellStart"/>
      <w:r w:rsidR="0006136B">
        <w:rPr>
          <w:rFonts w:cs="Times New Roman"/>
          <w:szCs w:val="24"/>
        </w:rPr>
        <w:t>Ph.D.</w:t>
      </w:r>
      <w:r w:rsidR="00417A07">
        <w:rPr>
          <w:rFonts w:cs="Times New Roman"/>
          <w:szCs w:val="24"/>
          <w:vertAlign w:val="superscript"/>
        </w:rPr>
        <w:t>f</w:t>
      </w:r>
      <w:proofErr w:type="spellEnd"/>
    </w:p>
    <w:p w14:paraId="27CE9350" w14:textId="030223F9" w:rsidR="0058651F" w:rsidRPr="00A20B39" w:rsidRDefault="0058651F" w:rsidP="00CF2EEA">
      <w:pPr>
        <w:widowControl w:val="0"/>
        <w:jc w:val="center"/>
        <w:rPr>
          <w:rFonts w:cs="Times New Roman"/>
          <w:szCs w:val="24"/>
          <w:vertAlign w:val="superscript"/>
        </w:rPr>
      </w:pPr>
      <w:r w:rsidRPr="00A20B39">
        <w:rPr>
          <w:rFonts w:cs="Times New Roman"/>
          <w:szCs w:val="24"/>
        </w:rPr>
        <w:t>Mart</w:t>
      </w:r>
      <w:r w:rsidR="005D2EBE">
        <w:rPr>
          <w:rFonts w:cs="Times New Roman"/>
          <w:szCs w:val="24"/>
        </w:rPr>
        <w:t>i</w:t>
      </w:r>
      <w:r w:rsidRPr="00A20B39">
        <w:rPr>
          <w:rFonts w:cs="Times New Roman"/>
          <w:szCs w:val="24"/>
        </w:rPr>
        <w:t>n E. Franklin</w:t>
      </w:r>
      <w:r w:rsidR="00543EED">
        <w:rPr>
          <w:rFonts w:cs="Times New Roman"/>
          <w:szCs w:val="24"/>
        </w:rPr>
        <w:t xml:space="preserve">, </w:t>
      </w:r>
      <w:proofErr w:type="spellStart"/>
      <w:r w:rsidR="00543EED">
        <w:rPr>
          <w:rFonts w:cs="Times New Roman"/>
          <w:szCs w:val="24"/>
        </w:rPr>
        <w:t>Ph.</w:t>
      </w:r>
      <w:proofErr w:type="gramStart"/>
      <w:r w:rsidR="00543EED">
        <w:rPr>
          <w:rFonts w:cs="Times New Roman"/>
          <w:szCs w:val="24"/>
        </w:rPr>
        <w:t>D.</w:t>
      </w:r>
      <w:r w:rsidR="00417A07">
        <w:rPr>
          <w:rFonts w:cs="Times New Roman"/>
          <w:szCs w:val="24"/>
          <w:vertAlign w:val="superscript"/>
        </w:rPr>
        <w:t>g</w:t>
      </w:r>
      <w:proofErr w:type="spellEnd"/>
      <w:proofErr w:type="gramEnd"/>
      <w:r w:rsidR="00417A07">
        <w:rPr>
          <w:rFonts w:cs="Times New Roman"/>
          <w:szCs w:val="24"/>
          <w:vertAlign w:val="superscript"/>
        </w:rPr>
        <w:t>, 7</w:t>
      </w:r>
    </w:p>
    <w:p w14:paraId="518AD468" w14:textId="77777777" w:rsidR="00F15AF2" w:rsidRPr="00154E5A" w:rsidRDefault="00F15AF2" w:rsidP="00F15AF2">
      <w:pPr>
        <w:pStyle w:val="ListParagraph"/>
        <w:widowControl w:val="0"/>
        <w:rPr>
          <w:rFonts w:cs="Times New Roman"/>
          <w:szCs w:val="24"/>
        </w:rPr>
      </w:pPr>
    </w:p>
    <w:p w14:paraId="52876C53" w14:textId="51E3CDA1" w:rsidR="00D47906" w:rsidRDefault="00543EED" w:rsidP="00914E66">
      <w:pPr>
        <w:pStyle w:val="ListParagraph"/>
        <w:widowControl w:val="0"/>
        <w:numPr>
          <w:ilvl w:val="0"/>
          <w:numId w:val="2"/>
        </w:numPr>
        <w:rPr>
          <w:rFonts w:cs="Times New Roman"/>
          <w:szCs w:val="24"/>
        </w:rPr>
      </w:pPr>
      <w:r w:rsidRPr="007B007F">
        <w:rPr>
          <w:rFonts w:cs="Times New Roman"/>
          <w:szCs w:val="24"/>
        </w:rPr>
        <w:t>Marquette University</w:t>
      </w:r>
      <w:r w:rsidR="005D2EBE" w:rsidRPr="007B007F">
        <w:rPr>
          <w:rFonts w:cs="Times New Roman"/>
          <w:szCs w:val="24"/>
        </w:rPr>
        <w:t>, Department of Psychology</w:t>
      </w:r>
      <w:r w:rsidR="00E3156D" w:rsidRPr="007B007F">
        <w:rPr>
          <w:rFonts w:cs="Times New Roman"/>
          <w:szCs w:val="24"/>
        </w:rPr>
        <w:br/>
      </w:r>
      <w:r w:rsidR="00E3156D" w:rsidRPr="007B007F">
        <w:rPr>
          <w:rFonts w:cs="Times New Roman"/>
          <w:color w:val="000000" w:themeColor="text1"/>
          <w:szCs w:val="24"/>
        </w:rPr>
        <w:t xml:space="preserve">Cramer Hall, </w:t>
      </w:r>
      <w:r w:rsidR="00863D04" w:rsidRPr="007B007F">
        <w:rPr>
          <w:rFonts w:cs="Times New Roman"/>
          <w:color w:val="000000" w:themeColor="text1"/>
          <w:szCs w:val="24"/>
        </w:rPr>
        <w:t xml:space="preserve">Room </w:t>
      </w:r>
      <w:r w:rsidR="00E3156D" w:rsidRPr="007B007F">
        <w:rPr>
          <w:rFonts w:cs="Times New Roman"/>
          <w:color w:val="000000" w:themeColor="text1"/>
          <w:szCs w:val="24"/>
        </w:rPr>
        <w:t>317, 604 N</w:t>
      </w:r>
      <w:r w:rsidR="007B007F" w:rsidRPr="007B007F">
        <w:rPr>
          <w:rFonts w:cs="Times New Roman"/>
          <w:color w:val="000000" w:themeColor="text1"/>
          <w:szCs w:val="24"/>
        </w:rPr>
        <w:t>.</w:t>
      </w:r>
      <w:r w:rsidR="00E3156D" w:rsidRPr="007B007F">
        <w:rPr>
          <w:rFonts w:cs="Times New Roman"/>
          <w:color w:val="000000" w:themeColor="text1"/>
          <w:szCs w:val="24"/>
        </w:rPr>
        <w:t xml:space="preserve"> 16</w:t>
      </w:r>
      <w:r w:rsidR="00E3156D" w:rsidRPr="007B007F">
        <w:rPr>
          <w:rFonts w:cs="Times New Roman"/>
          <w:color w:val="000000" w:themeColor="text1"/>
          <w:szCs w:val="24"/>
          <w:vertAlign w:val="superscript"/>
        </w:rPr>
        <w:t>th</w:t>
      </w:r>
      <w:r w:rsidR="00E3156D" w:rsidRPr="007B007F">
        <w:rPr>
          <w:rFonts w:cs="Times New Roman"/>
          <w:color w:val="000000" w:themeColor="text1"/>
          <w:szCs w:val="24"/>
        </w:rPr>
        <w:t xml:space="preserve"> St., Milwaukee, WI</w:t>
      </w:r>
      <w:r w:rsidR="007B007F" w:rsidRPr="007B007F">
        <w:rPr>
          <w:rFonts w:cs="Times New Roman"/>
          <w:color w:val="000000" w:themeColor="text1"/>
          <w:szCs w:val="24"/>
        </w:rPr>
        <w:t>, USA</w:t>
      </w:r>
      <w:r w:rsidR="00E3156D" w:rsidRPr="007B007F">
        <w:rPr>
          <w:rFonts w:cs="Times New Roman"/>
          <w:color w:val="000000" w:themeColor="text1"/>
          <w:szCs w:val="24"/>
        </w:rPr>
        <w:t xml:space="preserve"> 53233</w:t>
      </w:r>
      <w:r w:rsidR="00E3156D" w:rsidRPr="007B007F">
        <w:rPr>
          <w:rFonts w:cs="Times New Roman"/>
          <w:color w:val="000000" w:themeColor="text1"/>
          <w:szCs w:val="24"/>
        </w:rPr>
        <w:br/>
      </w:r>
      <w:r w:rsidR="00D47906" w:rsidRPr="007B007F">
        <w:rPr>
          <w:rFonts w:cs="Times New Roman"/>
          <w:szCs w:val="24"/>
        </w:rPr>
        <w:t xml:space="preserve">    </w:t>
      </w:r>
      <w:r w:rsidR="00D47906" w:rsidRPr="007B007F">
        <w:rPr>
          <w:rFonts w:cs="Times New Roman"/>
          <w:i/>
          <w:iCs/>
          <w:szCs w:val="24"/>
        </w:rPr>
        <w:t xml:space="preserve">Dr. </w:t>
      </w:r>
      <w:r w:rsidR="00D47906">
        <w:rPr>
          <w:rFonts w:cs="Times New Roman"/>
          <w:i/>
          <w:iCs/>
          <w:szCs w:val="24"/>
        </w:rPr>
        <w:t>Douglas Woods’</w:t>
      </w:r>
      <w:r w:rsidR="00D47906" w:rsidRPr="007B007F">
        <w:rPr>
          <w:rFonts w:cs="Times New Roman"/>
          <w:i/>
          <w:iCs/>
          <w:szCs w:val="24"/>
        </w:rPr>
        <w:t xml:space="preserve"> email address</w:t>
      </w:r>
      <w:r w:rsidR="00330688" w:rsidRPr="00330688">
        <w:rPr>
          <w:rFonts w:cs="Times New Roman"/>
          <w:i/>
          <w:iCs/>
          <w:szCs w:val="24"/>
        </w:rPr>
        <w:t>:</w:t>
      </w:r>
      <w:r w:rsidR="00330688">
        <w:rPr>
          <w:rFonts w:cs="Times New Roman"/>
          <w:szCs w:val="24"/>
        </w:rPr>
        <w:t xml:space="preserve"> </w:t>
      </w:r>
      <w:hyperlink r:id="rId8" w:history="1">
        <w:r w:rsidR="00330688" w:rsidRPr="00A4225D">
          <w:rPr>
            <w:rStyle w:val="Hyperlink"/>
            <w:rFonts w:cs="Times New Roman"/>
            <w:szCs w:val="24"/>
          </w:rPr>
          <w:t>douglas.woods@marquette.edu</w:t>
        </w:r>
      </w:hyperlink>
      <w:r w:rsidR="00330688">
        <w:rPr>
          <w:rFonts w:cs="Times New Roman"/>
          <w:szCs w:val="24"/>
        </w:rPr>
        <w:t xml:space="preserve"> </w:t>
      </w:r>
    </w:p>
    <w:p w14:paraId="2D4D9766" w14:textId="1187ECCB" w:rsidR="00863D04" w:rsidRPr="007B007F" w:rsidRDefault="007B007F" w:rsidP="00330688">
      <w:pPr>
        <w:pStyle w:val="ListParagraph"/>
        <w:widowControl w:val="0"/>
        <w:rPr>
          <w:rFonts w:cs="Times New Roman"/>
          <w:szCs w:val="24"/>
        </w:rPr>
      </w:pPr>
      <w:r w:rsidRPr="007B007F">
        <w:rPr>
          <w:rFonts w:cs="Times New Roman"/>
          <w:szCs w:val="24"/>
        </w:rPr>
        <w:t xml:space="preserve">    </w:t>
      </w:r>
      <w:r w:rsidRPr="007B007F">
        <w:rPr>
          <w:rFonts w:cs="Times New Roman"/>
          <w:i/>
          <w:iCs/>
          <w:szCs w:val="24"/>
        </w:rPr>
        <w:t>Dr. Stephen Saunders</w:t>
      </w:r>
      <w:r w:rsidR="004426DE">
        <w:rPr>
          <w:rFonts w:cs="Times New Roman"/>
          <w:i/>
          <w:iCs/>
          <w:szCs w:val="24"/>
        </w:rPr>
        <w:t>’</w:t>
      </w:r>
      <w:r w:rsidRPr="007B007F">
        <w:rPr>
          <w:rFonts w:cs="Times New Roman"/>
          <w:i/>
          <w:iCs/>
          <w:szCs w:val="24"/>
        </w:rPr>
        <w:t xml:space="preserve"> email address:</w:t>
      </w:r>
      <w:r w:rsidRPr="007B007F">
        <w:rPr>
          <w:rFonts w:cs="Times New Roman"/>
          <w:szCs w:val="24"/>
        </w:rPr>
        <w:t xml:space="preserve"> </w:t>
      </w:r>
      <w:hyperlink r:id="rId9" w:history="1">
        <w:r w:rsidRPr="00491BEB">
          <w:rPr>
            <w:rStyle w:val="Hyperlink"/>
            <w:rFonts w:cs="Times New Roman"/>
            <w:szCs w:val="24"/>
          </w:rPr>
          <w:t>stephen.saunders@marquette.edu</w:t>
        </w:r>
      </w:hyperlink>
      <w:r w:rsidRPr="007B007F">
        <w:rPr>
          <w:rFonts w:cs="Times New Roman"/>
          <w:szCs w:val="24"/>
        </w:rPr>
        <w:t xml:space="preserve"> </w:t>
      </w:r>
    </w:p>
    <w:p w14:paraId="6D09DBAC" w14:textId="77777777" w:rsidR="007B007F" w:rsidRPr="00C80564" w:rsidRDefault="007B007F" w:rsidP="007B007F">
      <w:pPr>
        <w:pStyle w:val="ListParagraph"/>
        <w:widowControl w:val="0"/>
        <w:rPr>
          <w:rFonts w:cs="Times New Roman"/>
          <w:sz w:val="20"/>
          <w:szCs w:val="20"/>
        </w:rPr>
      </w:pPr>
    </w:p>
    <w:p w14:paraId="5D652780" w14:textId="77777777" w:rsidR="007B007F" w:rsidRPr="007B007F" w:rsidRDefault="0058651F" w:rsidP="007B007F">
      <w:pPr>
        <w:pStyle w:val="ListParagraph"/>
        <w:widowControl w:val="0"/>
        <w:numPr>
          <w:ilvl w:val="0"/>
          <w:numId w:val="2"/>
        </w:numPr>
        <w:rPr>
          <w:rFonts w:cs="Times New Roman"/>
          <w:szCs w:val="24"/>
          <w:vertAlign w:val="superscript"/>
        </w:rPr>
      </w:pPr>
      <w:r w:rsidRPr="00E07A6E">
        <w:rPr>
          <w:rFonts w:cs="Times New Roman"/>
          <w:szCs w:val="24"/>
        </w:rPr>
        <w:t>University of Wisconsin-Milwaukee, Department of Psychology</w:t>
      </w:r>
      <w:r w:rsidR="00863D04">
        <w:rPr>
          <w:rFonts w:cs="Times New Roman"/>
          <w:szCs w:val="24"/>
        </w:rPr>
        <w:br/>
      </w:r>
      <w:r w:rsidR="00632AA0">
        <w:rPr>
          <w:rFonts w:cs="Times New Roman"/>
          <w:szCs w:val="24"/>
        </w:rPr>
        <w:t>Garland Hall, Room 224, 2441 E. Hartford Ave</w:t>
      </w:r>
      <w:r w:rsidR="007B007F">
        <w:rPr>
          <w:rFonts w:cs="Times New Roman"/>
          <w:szCs w:val="24"/>
        </w:rPr>
        <w:t>.</w:t>
      </w:r>
      <w:r w:rsidR="00632AA0">
        <w:rPr>
          <w:rFonts w:cs="Times New Roman"/>
          <w:szCs w:val="24"/>
        </w:rPr>
        <w:t>, Milwaukee</w:t>
      </w:r>
      <w:r w:rsidR="007B007F">
        <w:rPr>
          <w:rFonts w:cs="Times New Roman"/>
          <w:szCs w:val="24"/>
        </w:rPr>
        <w:t>, WI, USA</w:t>
      </w:r>
      <w:r w:rsidR="00632AA0">
        <w:rPr>
          <w:rFonts w:cs="Times New Roman"/>
          <w:szCs w:val="24"/>
        </w:rPr>
        <w:t xml:space="preserve"> 53211</w:t>
      </w:r>
    </w:p>
    <w:p w14:paraId="1255C83E" w14:textId="42389417" w:rsidR="0058651F" w:rsidRPr="00C80564" w:rsidRDefault="007B007F" w:rsidP="00D47906">
      <w:pPr>
        <w:pStyle w:val="ListParagraph"/>
        <w:widowControl w:val="0"/>
        <w:rPr>
          <w:rFonts w:cs="Times New Roman"/>
          <w:sz w:val="20"/>
          <w:szCs w:val="20"/>
        </w:rPr>
      </w:pPr>
      <w:r w:rsidRPr="00491BEB">
        <w:rPr>
          <w:rFonts w:cs="Times New Roman"/>
          <w:i/>
          <w:iCs/>
          <w:szCs w:val="24"/>
        </w:rPr>
        <w:t xml:space="preserve">     Dr. Shawn Cahill’s email address: </w:t>
      </w:r>
      <w:hyperlink r:id="rId10" w:history="1">
        <w:r w:rsidR="00863D04" w:rsidRPr="00491BEB">
          <w:rPr>
            <w:rStyle w:val="Hyperlink"/>
            <w:rFonts w:cs="Times New Roman"/>
            <w:szCs w:val="24"/>
          </w:rPr>
          <w:t>cahill@uwm.edu</w:t>
        </w:r>
      </w:hyperlink>
      <w:r w:rsidR="00863D04" w:rsidRPr="00491BEB">
        <w:rPr>
          <w:rFonts w:cs="Times New Roman"/>
          <w:szCs w:val="24"/>
        </w:rPr>
        <w:t xml:space="preserve"> </w:t>
      </w:r>
      <w:r w:rsidR="00863D04" w:rsidRPr="00491BEB">
        <w:rPr>
          <w:rFonts w:cs="Times New Roman"/>
          <w:szCs w:val="24"/>
        </w:rPr>
        <w:br/>
      </w:r>
    </w:p>
    <w:p w14:paraId="5A45500B" w14:textId="77777777" w:rsidR="007B007F" w:rsidRPr="007B007F" w:rsidRDefault="0058651F" w:rsidP="00CF2EEA">
      <w:pPr>
        <w:pStyle w:val="ListParagraph"/>
        <w:widowControl w:val="0"/>
        <w:numPr>
          <w:ilvl w:val="0"/>
          <w:numId w:val="2"/>
        </w:numPr>
        <w:rPr>
          <w:rFonts w:cs="Times New Roman"/>
          <w:szCs w:val="24"/>
          <w:vertAlign w:val="superscript"/>
        </w:rPr>
      </w:pPr>
      <w:r w:rsidRPr="00E07A6E">
        <w:rPr>
          <w:rFonts w:cs="Times New Roman"/>
          <w:szCs w:val="24"/>
        </w:rPr>
        <w:t>Utah State University, Department of Psychology</w:t>
      </w:r>
      <w:r w:rsidR="00863D04">
        <w:rPr>
          <w:rFonts w:cs="Times New Roman"/>
          <w:szCs w:val="24"/>
        </w:rPr>
        <w:br/>
        <w:t>2810 Old Main Hill, Logan, UT</w:t>
      </w:r>
      <w:r w:rsidR="007B007F">
        <w:rPr>
          <w:rFonts w:cs="Times New Roman"/>
          <w:szCs w:val="24"/>
        </w:rPr>
        <w:t>, USA</w:t>
      </w:r>
      <w:r w:rsidR="00863D04">
        <w:rPr>
          <w:rFonts w:cs="Times New Roman"/>
          <w:szCs w:val="24"/>
        </w:rPr>
        <w:t xml:space="preserve"> 84322</w:t>
      </w:r>
    </w:p>
    <w:p w14:paraId="7FEFA579" w14:textId="7F0BDF76" w:rsidR="0058651F" w:rsidRPr="00C80564" w:rsidRDefault="007B007F" w:rsidP="00D47906">
      <w:pPr>
        <w:pStyle w:val="ListParagraph"/>
        <w:widowControl w:val="0"/>
        <w:rPr>
          <w:rFonts w:cs="Times New Roman"/>
          <w:sz w:val="20"/>
          <w:szCs w:val="20"/>
        </w:rPr>
      </w:pPr>
      <w:r w:rsidRPr="00491BEB">
        <w:rPr>
          <w:rFonts w:cs="Times New Roman"/>
          <w:i/>
          <w:iCs/>
          <w:szCs w:val="24"/>
        </w:rPr>
        <w:t xml:space="preserve">     Dr. Michael Twohig’s email address: </w:t>
      </w:r>
      <w:hyperlink r:id="rId11" w:history="1">
        <w:r w:rsidRPr="00491BEB">
          <w:rPr>
            <w:rStyle w:val="Hyperlink"/>
            <w:rFonts w:cs="Times New Roman"/>
            <w:szCs w:val="24"/>
          </w:rPr>
          <w:t>michael.twohig@usu.edu</w:t>
        </w:r>
      </w:hyperlink>
      <w:r w:rsidRPr="00491BEB">
        <w:rPr>
          <w:rFonts w:cs="Times New Roman"/>
          <w:szCs w:val="24"/>
        </w:rPr>
        <w:t xml:space="preserve"> </w:t>
      </w:r>
      <w:r w:rsidRPr="00491BEB">
        <w:rPr>
          <w:rFonts w:cs="Times New Roman"/>
          <w:i/>
          <w:iCs/>
          <w:szCs w:val="24"/>
        </w:rPr>
        <w:t xml:space="preserve"> </w:t>
      </w:r>
      <w:r w:rsidR="00863D04" w:rsidRPr="00491BEB">
        <w:rPr>
          <w:rFonts w:cs="Times New Roman"/>
          <w:szCs w:val="24"/>
        </w:rPr>
        <w:br/>
      </w:r>
    </w:p>
    <w:p w14:paraId="0C9EFDB8" w14:textId="3D4EBBE5" w:rsidR="0058651F" w:rsidRPr="00C80564" w:rsidRDefault="0058651F" w:rsidP="00CF2EEA">
      <w:pPr>
        <w:pStyle w:val="ListParagraph"/>
        <w:widowControl w:val="0"/>
        <w:numPr>
          <w:ilvl w:val="0"/>
          <w:numId w:val="2"/>
        </w:numPr>
        <w:rPr>
          <w:rFonts w:cs="Times New Roman"/>
          <w:sz w:val="20"/>
          <w:szCs w:val="20"/>
        </w:rPr>
      </w:pPr>
      <w:r w:rsidRPr="00E07A6E">
        <w:rPr>
          <w:rFonts w:cs="Times New Roman"/>
          <w:szCs w:val="24"/>
        </w:rPr>
        <w:t>Duke University School of Medicine, Department of Psychiatry</w:t>
      </w:r>
      <w:r w:rsidR="007B007F">
        <w:rPr>
          <w:rFonts w:cs="Times New Roman"/>
          <w:szCs w:val="24"/>
        </w:rPr>
        <w:t xml:space="preserve"> &amp; Behavioral Sciences</w:t>
      </w:r>
      <w:r w:rsidR="007B007F">
        <w:rPr>
          <w:rFonts w:cs="Times New Roman"/>
          <w:szCs w:val="24"/>
        </w:rPr>
        <w:br/>
        <w:t>2608 Erwin Rd, Suite 300, Durham, NC 27705</w:t>
      </w:r>
      <w:r w:rsidR="00417A07">
        <w:rPr>
          <w:rFonts w:cs="Times New Roman"/>
          <w:szCs w:val="24"/>
        </w:rPr>
        <w:br/>
        <w:t xml:space="preserve">     </w:t>
      </w:r>
      <w:r w:rsidR="00417A07">
        <w:rPr>
          <w:rFonts w:cs="Times New Roman"/>
          <w:i/>
          <w:iCs/>
          <w:szCs w:val="24"/>
        </w:rPr>
        <w:t xml:space="preserve">Dr. Scott Compton’s email address: </w:t>
      </w:r>
      <w:hyperlink r:id="rId12" w:history="1">
        <w:r w:rsidR="00863D04" w:rsidRPr="00491BEB">
          <w:rPr>
            <w:rStyle w:val="Hyperlink"/>
            <w:rFonts w:cs="Times New Roman"/>
            <w:szCs w:val="24"/>
          </w:rPr>
          <w:t>compt004@duke.edu</w:t>
        </w:r>
      </w:hyperlink>
      <w:r w:rsidR="00863D04">
        <w:rPr>
          <w:rFonts w:cs="Times New Roman"/>
          <w:szCs w:val="24"/>
        </w:rPr>
        <w:t xml:space="preserve"> </w:t>
      </w:r>
      <w:r w:rsidR="00863D04">
        <w:rPr>
          <w:rFonts w:cs="Times New Roman"/>
          <w:szCs w:val="24"/>
        </w:rPr>
        <w:br/>
      </w:r>
    </w:p>
    <w:p w14:paraId="68BE4A59" w14:textId="50BEEBEF" w:rsidR="00863D04" w:rsidRPr="00C80564" w:rsidRDefault="0058651F" w:rsidP="00417A07">
      <w:pPr>
        <w:pStyle w:val="ListParagraph"/>
        <w:widowControl w:val="0"/>
        <w:numPr>
          <w:ilvl w:val="0"/>
          <w:numId w:val="2"/>
        </w:numPr>
        <w:rPr>
          <w:rFonts w:cs="Times New Roman"/>
          <w:sz w:val="20"/>
          <w:szCs w:val="20"/>
        </w:rPr>
      </w:pPr>
      <w:r w:rsidRPr="00A20B39">
        <w:rPr>
          <w:rFonts w:cs="Times New Roman"/>
          <w:szCs w:val="24"/>
        </w:rPr>
        <w:t>Kent State University, Department of Psychology</w:t>
      </w:r>
      <w:r w:rsidR="00863D04">
        <w:rPr>
          <w:rFonts w:cs="Times New Roman"/>
          <w:szCs w:val="24"/>
        </w:rPr>
        <w:br/>
        <w:t>144 Kent Hall, Kent State University, Kent, OH 44242-0001</w:t>
      </w:r>
      <w:r w:rsidR="00417A07">
        <w:rPr>
          <w:rFonts w:cs="Times New Roman"/>
          <w:szCs w:val="24"/>
        </w:rPr>
        <w:br/>
        <w:t xml:space="preserve">     </w:t>
      </w:r>
      <w:r w:rsidR="00417A07">
        <w:rPr>
          <w:rFonts w:cs="Times New Roman"/>
          <w:i/>
          <w:iCs/>
          <w:szCs w:val="24"/>
        </w:rPr>
        <w:t>Dr. Ang</w:t>
      </w:r>
      <w:r w:rsidR="00417A07" w:rsidRPr="00154E5A">
        <w:rPr>
          <w:rFonts w:cs="Times New Roman"/>
          <w:i/>
          <w:iCs/>
          <w:szCs w:val="24"/>
        </w:rPr>
        <w:t xml:space="preserve">ela Neal’s email address: </w:t>
      </w:r>
      <w:hyperlink r:id="rId13" w:history="1">
        <w:r w:rsidR="00417A07" w:rsidRPr="00154E5A">
          <w:rPr>
            <w:rStyle w:val="Hyperlink"/>
            <w:rFonts w:cs="Times New Roman"/>
            <w:szCs w:val="24"/>
          </w:rPr>
          <w:t>aneal@kent.edu</w:t>
        </w:r>
      </w:hyperlink>
      <w:r w:rsidR="00863D04" w:rsidRPr="00154E5A">
        <w:rPr>
          <w:rFonts w:cs="Times New Roman"/>
          <w:szCs w:val="24"/>
        </w:rPr>
        <w:t xml:space="preserve"> </w:t>
      </w:r>
      <w:r w:rsidR="00632AA0" w:rsidRPr="00154E5A">
        <w:rPr>
          <w:rFonts w:cs="Times New Roman"/>
          <w:szCs w:val="24"/>
        </w:rPr>
        <w:br/>
      </w:r>
    </w:p>
    <w:p w14:paraId="74856A1B" w14:textId="77777777" w:rsidR="00330688" w:rsidRPr="00330688" w:rsidRDefault="00154E5A" w:rsidP="00330688">
      <w:pPr>
        <w:pStyle w:val="ListParagraph"/>
        <w:widowControl w:val="0"/>
        <w:numPr>
          <w:ilvl w:val="0"/>
          <w:numId w:val="2"/>
        </w:numPr>
        <w:rPr>
          <w:rFonts w:cs="Times New Roman"/>
          <w:sz w:val="12"/>
          <w:szCs w:val="12"/>
          <w:vertAlign w:val="superscript"/>
        </w:rPr>
      </w:pPr>
      <w:r w:rsidRPr="00154E5A">
        <w:rPr>
          <w:rFonts w:cs="Times New Roman"/>
          <w:szCs w:val="24"/>
        </w:rPr>
        <w:t>University of Applied Sciences, Diploma Hochschule, Germany</w:t>
      </w:r>
      <w:r>
        <w:rPr>
          <w:rFonts w:cs="Times New Roman"/>
          <w:szCs w:val="24"/>
          <w:highlight w:val="cyan"/>
        </w:rPr>
        <w:br/>
      </w:r>
      <w:r>
        <w:rPr>
          <w:rFonts w:cs="Times New Roman"/>
          <w:szCs w:val="24"/>
        </w:rPr>
        <w:t xml:space="preserve">     </w:t>
      </w:r>
      <w:r>
        <w:rPr>
          <w:rFonts w:cs="Times New Roman"/>
          <w:i/>
          <w:iCs/>
          <w:szCs w:val="24"/>
        </w:rPr>
        <w:t xml:space="preserve">Dr. Thilo </w:t>
      </w:r>
      <w:proofErr w:type="spellStart"/>
      <w:r>
        <w:rPr>
          <w:rFonts w:cs="Times New Roman"/>
          <w:i/>
          <w:iCs/>
          <w:szCs w:val="24"/>
        </w:rPr>
        <w:t>Deckersbach’s</w:t>
      </w:r>
      <w:proofErr w:type="spellEnd"/>
      <w:r>
        <w:rPr>
          <w:rFonts w:cs="Times New Roman"/>
          <w:i/>
          <w:iCs/>
          <w:szCs w:val="24"/>
        </w:rPr>
        <w:t xml:space="preserve"> email address: </w:t>
      </w:r>
      <w:hyperlink r:id="rId14" w:history="1">
        <w:r w:rsidRPr="00154E5A">
          <w:rPr>
            <w:rStyle w:val="Hyperlink"/>
            <w:rFonts w:cs="Times New Roman"/>
            <w:szCs w:val="24"/>
          </w:rPr>
          <w:t>thilo.deckersbach@diploma.de</w:t>
        </w:r>
      </w:hyperlink>
      <w:r w:rsidRPr="00154E5A">
        <w:rPr>
          <w:rFonts w:cs="Times New Roman"/>
          <w:szCs w:val="24"/>
        </w:rPr>
        <w:t xml:space="preserve"> </w:t>
      </w:r>
    </w:p>
    <w:p w14:paraId="0631C712" w14:textId="77777777" w:rsidR="00330688" w:rsidRPr="00C80564" w:rsidRDefault="00330688" w:rsidP="00330688">
      <w:pPr>
        <w:pStyle w:val="ListParagraph"/>
        <w:widowControl w:val="0"/>
        <w:rPr>
          <w:rFonts w:cs="Times New Roman"/>
          <w:sz w:val="20"/>
          <w:szCs w:val="20"/>
        </w:rPr>
      </w:pPr>
    </w:p>
    <w:p w14:paraId="1C1F8BA8" w14:textId="77777777" w:rsidR="00E54450" w:rsidRPr="00E54450" w:rsidRDefault="00E0637D" w:rsidP="00C80564">
      <w:pPr>
        <w:pStyle w:val="ListParagraph"/>
        <w:widowControl w:val="0"/>
        <w:numPr>
          <w:ilvl w:val="0"/>
          <w:numId w:val="2"/>
        </w:numPr>
        <w:rPr>
          <w:rFonts w:cs="Times New Roman"/>
          <w:sz w:val="12"/>
          <w:szCs w:val="12"/>
          <w:vertAlign w:val="superscript"/>
        </w:rPr>
      </w:pPr>
      <w:r w:rsidRPr="00330688">
        <w:rPr>
          <w:rFonts w:cs="Times New Roman"/>
          <w:szCs w:val="24"/>
        </w:rPr>
        <w:t>Rogers Behavioral Health</w:t>
      </w:r>
      <w:r w:rsidR="00632AA0" w:rsidRPr="00330688">
        <w:rPr>
          <w:rFonts w:cs="Times New Roman"/>
          <w:szCs w:val="24"/>
        </w:rPr>
        <w:br/>
      </w:r>
      <w:r w:rsidR="00B868AD" w:rsidRPr="00330688">
        <w:rPr>
          <w:rFonts w:cs="Times New Roman"/>
          <w:szCs w:val="24"/>
        </w:rPr>
        <w:t>1 Winding Drive, Suite 106</w:t>
      </w:r>
      <w:r w:rsidR="00632AA0" w:rsidRPr="00330688">
        <w:rPr>
          <w:rFonts w:cs="Times New Roman"/>
          <w:szCs w:val="24"/>
        </w:rPr>
        <w:t>, Philadelphia, PA 191</w:t>
      </w:r>
      <w:r w:rsidR="00B868AD" w:rsidRPr="00330688">
        <w:rPr>
          <w:rFonts w:cs="Times New Roman"/>
          <w:szCs w:val="24"/>
        </w:rPr>
        <w:t>31</w:t>
      </w:r>
      <w:r w:rsidR="00863D04" w:rsidRPr="00330688">
        <w:rPr>
          <w:rFonts w:cs="Times New Roman"/>
          <w:szCs w:val="24"/>
        </w:rPr>
        <w:br/>
      </w:r>
      <w:r w:rsidR="00D47906" w:rsidRPr="00330688">
        <w:rPr>
          <w:rFonts w:cs="Times New Roman"/>
          <w:szCs w:val="24"/>
        </w:rPr>
        <w:t xml:space="preserve">     </w:t>
      </w:r>
      <w:r w:rsidR="00D47906" w:rsidRPr="00330688">
        <w:rPr>
          <w:rFonts w:cs="Times New Roman"/>
          <w:i/>
          <w:iCs/>
          <w:szCs w:val="24"/>
        </w:rPr>
        <w:t>Dr. Martin Franklin’s email address:</w:t>
      </w:r>
      <w:r w:rsidR="00D47906" w:rsidRPr="00154E5A">
        <w:t xml:space="preserve"> </w:t>
      </w:r>
      <w:hyperlink r:id="rId15" w:history="1">
        <w:r w:rsidR="00330688" w:rsidRPr="00A4225D">
          <w:rPr>
            <w:rStyle w:val="Hyperlink"/>
          </w:rPr>
          <w:t>Martin.Franklin@rogersbh.org</w:t>
        </w:r>
      </w:hyperlink>
      <w:r w:rsidR="00330688">
        <w:t xml:space="preserve"> </w:t>
      </w:r>
    </w:p>
    <w:p w14:paraId="013D7E75" w14:textId="77777777" w:rsidR="00E54450" w:rsidRPr="00E54450" w:rsidRDefault="00E54450" w:rsidP="00E54450">
      <w:pPr>
        <w:pStyle w:val="ListParagraph"/>
        <w:rPr>
          <w:rFonts w:cs="Times New Roman"/>
          <w:b/>
          <w:szCs w:val="24"/>
        </w:rPr>
      </w:pPr>
    </w:p>
    <w:p w14:paraId="632A59FE" w14:textId="77777777" w:rsidR="00E54450" w:rsidRDefault="00E54450" w:rsidP="00E54450">
      <w:pPr>
        <w:widowControl w:val="0"/>
        <w:spacing w:after="240"/>
        <w:ind w:left="2880" w:hanging="2880"/>
        <w:rPr>
          <w:rFonts w:cs="Times New Roman"/>
          <w:szCs w:val="24"/>
        </w:rPr>
      </w:pPr>
      <w:r>
        <w:rPr>
          <w:rFonts w:cs="Times New Roman"/>
          <w:b/>
          <w:szCs w:val="24"/>
        </w:rPr>
        <w:lastRenderedPageBreak/>
        <w:t>*Corresponding Author:</w:t>
      </w:r>
      <w:r>
        <w:rPr>
          <w:rFonts w:cs="Times New Roman"/>
          <w:b/>
          <w:szCs w:val="24"/>
        </w:rPr>
        <w:tab/>
      </w:r>
      <w:r w:rsidRPr="00543EED">
        <w:rPr>
          <w:rFonts w:cs="Times New Roman"/>
          <w:szCs w:val="24"/>
        </w:rPr>
        <w:t>Douglas W. Woods, Ph.D.</w:t>
      </w:r>
      <w:r w:rsidRPr="00543EED">
        <w:rPr>
          <w:rFonts w:cs="Times New Roman"/>
          <w:szCs w:val="24"/>
        </w:rPr>
        <w:br/>
      </w:r>
      <w:r>
        <w:rPr>
          <w:rFonts w:cs="Times New Roman"/>
          <w:szCs w:val="24"/>
        </w:rPr>
        <w:t xml:space="preserve">454C </w:t>
      </w:r>
      <w:proofErr w:type="spellStart"/>
      <w:r>
        <w:rPr>
          <w:rFonts w:cs="Times New Roman"/>
          <w:szCs w:val="24"/>
        </w:rPr>
        <w:t>Zilber</w:t>
      </w:r>
      <w:proofErr w:type="spellEnd"/>
      <w:r w:rsidRPr="00FE4C1E">
        <w:rPr>
          <w:rFonts w:cs="Times New Roman"/>
          <w:szCs w:val="24"/>
        </w:rPr>
        <w:t xml:space="preserve"> Hall</w:t>
      </w:r>
      <w:r w:rsidRPr="00543EED">
        <w:rPr>
          <w:rFonts w:cs="Times New Roman"/>
          <w:szCs w:val="24"/>
        </w:rPr>
        <w:br/>
        <w:t>Marquette University</w:t>
      </w:r>
      <w:r w:rsidRPr="00543EED">
        <w:rPr>
          <w:rFonts w:cs="Times New Roman"/>
          <w:szCs w:val="24"/>
        </w:rPr>
        <w:br/>
      </w:r>
      <w:hyperlink r:id="rId16" w:history="1">
        <w:r w:rsidRPr="00543EED">
          <w:rPr>
            <w:rStyle w:val="Hyperlink"/>
            <w:rFonts w:cs="Times New Roman"/>
            <w:szCs w:val="24"/>
          </w:rPr>
          <w:t>douglas.woods@marquette.edu</w:t>
        </w:r>
      </w:hyperlink>
      <w:r w:rsidRPr="00543EED">
        <w:rPr>
          <w:rFonts w:cs="Times New Roman"/>
          <w:szCs w:val="24"/>
        </w:rPr>
        <w:br/>
        <w:t>Phone: 414-</w:t>
      </w:r>
      <w:r>
        <w:rPr>
          <w:rFonts w:cs="Times New Roman"/>
          <w:szCs w:val="24"/>
        </w:rPr>
        <w:t>288-3769</w:t>
      </w:r>
    </w:p>
    <w:p w14:paraId="79B550DF" w14:textId="0B45C0A6" w:rsidR="00E54450" w:rsidRDefault="00E54450" w:rsidP="00E54450">
      <w:pPr>
        <w:widowControl w:val="0"/>
        <w:spacing w:line="480" w:lineRule="auto"/>
        <w:ind w:left="2880" w:hanging="2880"/>
        <w:jc w:val="center"/>
        <w:rPr>
          <w:rFonts w:cs="Times New Roman"/>
          <w:b/>
          <w:szCs w:val="24"/>
        </w:rPr>
      </w:pPr>
      <w:r>
        <w:rPr>
          <w:rFonts w:cs="Times New Roman"/>
          <w:b/>
          <w:szCs w:val="24"/>
        </w:rPr>
        <w:t>___________________________________________________________</w:t>
      </w:r>
    </w:p>
    <w:p w14:paraId="67BA555D" w14:textId="02BCE665" w:rsidR="00154E5A" w:rsidRDefault="00154E5A" w:rsidP="00330688">
      <w:pPr>
        <w:widowControl w:val="0"/>
        <w:spacing w:before="160"/>
        <w:ind w:left="2880" w:hanging="2880"/>
        <w:jc w:val="center"/>
        <w:rPr>
          <w:rFonts w:cs="Times New Roman"/>
          <w:b/>
          <w:szCs w:val="24"/>
        </w:rPr>
      </w:pPr>
      <w:r>
        <w:rPr>
          <w:rFonts w:cs="Times New Roman"/>
          <w:b/>
          <w:szCs w:val="24"/>
        </w:rPr>
        <w:t>Footnote</w:t>
      </w:r>
      <w:r w:rsidR="00330688">
        <w:rPr>
          <w:rFonts w:cs="Times New Roman"/>
          <w:b/>
          <w:szCs w:val="24"/>
        </w:rPr>
        <w:t>s for Title Page</w:t>
      </w:r>
    </w:p>
    <w:p w14:paraId="7098CC5C" w14:textId="77777777" w:rsidR="00154E5A" w:rsidRDefault="00154E5A" w:rsidP="00CF2EEA">
      <w:pPr>
        <w:widowControl w:val="0"/>
        <w:ind w:left="2880" w:hanging="2880"/>
        <w:rPr>
          <w:rFonts w:cs="Times New Roman"/>
          <w:b/>
          <w:szCs w:val="24"/>
        </w:rPr>
      </w:pPr>
    </w:p>
    <w:p w14:paraId="37DBE7CD" w14:textId="77777777" w:rsidR="007B007F" w:rsidRDefault="00863D04" w:rsidP="00C80564">
      <w:pPr>
        <w:pStyle w:val="ListParagraph"/>
        <w:widowControl w:val="0"/>
        <w:numPr>
          <w:ilvl w:val="0"/>
          <w:numId w:val="19"/>
        </w:numPr>
        <w:ind w:left="360"/>
        <w:rPr>
          <w:rFonts w:cs="Times New Roman"/>
          <w:bCs/>
          <w:szCs w:val="24"/>
        </w:rPr>
      </w:pPr>
      <w:r>
        <w:rPr>
          <w:rFonts w:cs="Times New Roman"/>
          <w:bCs/>
          <w:i/>
          <w:iCs/>
          <w:szCs w:val="24"/>
        </w:rPr>
        <w:t xml:space="preserve">Dr. </w:t>
      </w:r>
      <w:r w:rsidR="00E3156D" w:rsidRPr="00863D04">
        <w:rPr>
          <w:rFonts w:cs="Times New Roman"/>
          <w:bCs/>
          <w:i/>
          <w:iCs/>
          <w:szCs w:val="24"/>
        </w:rPr>
        <w:t>Douglas Woods</w:t>
      </w:r>
      <w:r w:rsidRPr="00863D04">
        <w:rPr>
          <w:rFonts w:cs="Times New Roman"/>
          <w:bCs/>
          <w:i/>
          <w:iCs/>
          <w:szCs w:val="24"/>
        </w:rPr>
        <w:t>’s</w:t>
      </w:r>
      <w:r w:rsidR="00E3156D" w:rsidRPr="00863D04">
        <w:rPr>
          <w:rFonts w:cs="Times New Roman"/>
          <w:bCs/>
          <w:i/>
          <w:iCs/>
          <w:szCs w:val="24"/>
        </w:rPr>
        <w:t xml:space="preserve"> present </w:t>
      </w:r>
      <w:r w:rsidR="00632AA0">
        <w:rPr>
          <w:rFonts w:cs="Times New Roman"/>
          <w:bCs/>
          <w:i/>
          <w:iCs/>
          <w:szCs w:val="24"/>
        </w:rPr>
        <w:t>contact information</w:t>
      </w:r>
      <w:r w:rsidR="00E3156D" w:rsidRPr="00863D04">
        <w:rPr>
          <w:rFonts w:cs="Times New Roman"/>
          <w:bCs/>
          <w:i/>
          <w:iCs/>
          <w:szCs w:val="24"/>
        </w:rPr>
        <w:t>:</w:t>
      </w:r>
    </w:p>
    <w:p w14:paraId="7E43BC01" w14:textId="59725ABA" w:rsidR="007B007F" w:rsidRDefault="00632AA0" w:rsidP="003B612A">
      <w:pPr>
        <w:pStyle w:val="ListParagraph"/>
        <w:widowControl w:val="0"/>
        <w:rPr>
          <w:rFonts w:cs="Times New Roman"/>
          <w:szCs w:val="24"/>
        </w:rPr>
      </w:pPr>
      <w:r w:rsidRPr="007B007F">
        <w:rPr>
          <w:rFonts w:cs="Times New Roman"/>
          <w:bCs/>
          <w:i/>
          <w:iCs/>
          <w:szCs w:val="24"/>
        </w:rPr>
        <w:t>Physical address:</w:t>
      </w:r>
      <w:r>
        <w:rPr>
          <w:rFonts w:cs="Times New Roman"/>
          <w:bCs/>
          <w:szCs w:val="24"/>
        </w:rPr>
        <w:t xml:space="preserve"> </w:t>
      </w:r>
      <w:r w:rsidR="007B007F">
        <w:rPr>
          <w:rFonts w:cs="Times New Roman"/>
          <w:bCs/>
          <w:szCs w:val="24"/>
        </w:rPr>
        <w:t xml:space="preserve">Marquette University, </w:t>
      </w:r>
      <w:r w:rsidR="00E3156D">
        <w:rPr>
          <w:rFonts w:cs="Times New Roman"/>
          <w:szCs w:val="24"/>
        </w:rPr>
        <w:t xml:space="preserve">454 C </w:t>
      </w:r>
      <w:proofErr w:type="spellStart"/>
      <w:r w:rsidR="00E3156D">
        <w:rPr>
          <w:rFonts w:cs="Times New Roman"/>
          <w:szCs w:val="24"/>
        </w:rPr>
        <w:t>Zilber</w:t>
      </w:r>
      <w:proofErr w:type="spellEnd"/>
      <w:r w:rsidR="00E3156D">
        <w:rPr>
          <w:rFonts w:cs="Times New Roman"/>
          <w:szCs w:val="24"/>
        </w:rPr>
        <w:t xml:space="preserve"> Hall, Milwaukee, WI</w:t>
      </w:r>
      <w:r w:rsidR="007B007F">
        <w:rPr>
          <w:rFonts w:cs="Times New Roman"/>
          <w:szCs w:val="24"/>
        </w:rPr>
        <w:t>, USA,</w:t>
      </w:r>
      <w:r w:rsidR="00E3156D">
        <w:rPr>
          <w:rFonts w:cs="Times New Roman"/>
          <w:szCs w:val="24"/>
        </w:rPr>
        <w:t xml:space="preserve"> 53201</w:t>
      </w:r>
    </w:p>
    <w:p w14:paraId="17FAA537" w14:textId="7C91BE70" w:rsidR="00E3156D" w:rsidRPr="00632AA0" w:rsidRDefault="00632AA0" w:rsidP="00C80564">
      <w:pPr>
        <w:pStyle w:val="ListParagraph"/>
        <w:widowControl w:val="0"/>
        <w:rPr>
          <w:rFonts w:cs="Times New Roman"/>
          <w:bCs/>
          <w:szCs w:val="24"/>
        </w:rPr>
      </w:pPr>
      <w:r w:rsidRPr="007B007F">
        <w:rPr>
          <w:rFonts w:cs="Times New Roman"/>
          <w:i/>
          <w:iCs/>
          <w:szCs w:val="24"/>
        </w:rPr>
        <w:t>Email address:</w:t>
      </w:r>
      <w:r w:rsidR="007B007F">
        <w:rPr>
          <w:rFonts w:cs="Times New Roman"/>
          <w:szCs w:val="24"/>
        </w:rPr>
        <w:t xml:space="preserve"> </w:t>
      </w:r>
      <w:hyperlink r:id="rId17" w:history="1">
        <w:r w:rsidR="007B007F" w:rsidRPr="001B2D9F">
          <w:rPr>
            <w:rStyle w:val="Hyperlink"/>
            <w:rFonts w:cs="Times New Roman"/>
            <w:szCs w:val="24"/>
          </w:rPr>
          <w:t>douglas.woods@marquette.edu</w:t>
        </w:r>
      </w:hyperlink>
      <w:r w:rsidR="007B007F">
        <w:rPr>
          <w:rFonts w:cs="Times New Roman"/>
          <w:szCs w:val="24"/>
        </w:rPr>
        <w:t xml:space="preserve"> </w:t>
      </w:r>
    </w:p>
    <w:p w14:paraId="4A5D8C14" w14:textId="77777777" w:rsidR="00632AA0" w:rsidRPr="00863D04" w:rsidRDefault="00632AA0" w:rsidP="00632AA0">
      <w:pPr>
        <w:pStyle w:val="ListParagraph"/>
        <w:widowControl w:val="0"/>
        <w:rPr>
          <w:rFonts w:cs="Times New Roman"/>
          <w:bCs/>
          <w:szCs w:val="24"/>
        </w:rPr>
      </w:pPr>
    </w:p>
    <w:p w14:paraId="5B7AE311" w14:textId="77777777" w:rsidR="003B612A" w:rsidRPr="003B612A" w:rsidRDefault="00863D04" w:rsidP="00C80564">
      <w:pPr>
        <w:pStyle w:val="ListParagraph"/>
        <w:widowControl w:val="0"/>
        <w:numPr>
          <w:ilvl w:val="0"/>
          <w:numId w:val="19"/>
        </w:numPr>
        <w:ind w:left="360"/>
        <w:rPr>
          <w:rFonts w:cs="Times New Roman"/>
          <w:bCs/>
          <w:szCs w:val="24"/>
        </w:rPr>
      </w:pPr>
      <w:r>
        <w:rPr>
          <w:rFonts w:cs="Times New Roman"/>
          <w:i/>
          <w:iCs/>
          <w:szCs w:val="24"/>
        </w:rPr>
        <w:t xml:space="preserve">Dr. </w:t>
      </w:r>
      <w:r w:rsidRPr="00863D04">
        <w:rPr>
          <w:rFonts w:cs="Times New Roman"/>
          <w:i/>
          <w:iCs/>
          <w:szCs w:val="24"/>
        </w:rPr>
        <w:t xml:space="preserve">Laura Ely’s present </w:t>
      </w:r>
      <w:r w:rsidR="007B007F">
        <w:rPr>
          <w:rFonts w:cs="Times New Roman"/>
          <w:i/>
          <w:iCs/>
          <w:szCs w:val="24"/>
        </w:rPr>
        <w:t>contact information</w:t>
      </w:r>
      <w:r w:rsidRPr="00863D04">
        <w:rPr>
          <w:rFonts w:cs="Times New Roman"/>
          <w:i/>
          <w:iCs/>
          <w:szCs w:val="24"/>
        </w:rPr>
        <w:t xml:space="preserve">: </w:t>
      </w:r>
    </w:p>
    <w:p w14:paraId="4F12AD95" w14:textId="77777777" w:rsidR="003B612A" w:rsidRDefault="007B007F" w:rsidP="003B612A">
      <w:pPr>
        <w:pStyle w:val="ListParagraph"/>
        <w:widowControl w:val="0"/>
        <w:rPr>
          <w:rFonts w:cs="Times New Roman"/>
          <w:szCs w:val="24"/>
        </w:rPr>
      </w:pPr>
      <w:r w:rsidRPr="00C80564">
        <w:rPr>
          <w:rFonts w:cs="Times New Roman"/>
          <w:i/>
          <w:iCs/>
          <w:szCs w:val="24"/>
        </w:rPr>
        <w:t>Physical address:</w:t>
      </w:r>
      <w:r w:rsidR="00B868AD" w:rsidRPr="00C80564">
        <w:rPr>
          <w:rFonts w:cs="Times New Roman"/>
          <w:szCs w:val="24"/>
        </w:rPr>
        <w:t xml:space="preserve"> 1</w:t>
      </w:r>
      <w:r w:rsidR="00B868AD">
        <w:rPr>
          <w:rFonts w:cs="Times New Roman"/>
          <w:szCs w:val="24"/>
        </w:rPr>
        <w:t>402 Grandin Rd., Suite 211, Roanoke, VA 24015</w:t>
      </w:r>
    </w:p>
    <w:p w14:paraId="66C7D84E" w14:textId="67B61363" w:rsidR="00863D04" w:rsidRPr="007B007F" w:rsidRDefault="007B007F" w:rsidP="003B612A">
      <w:pPr>
        <w:pStyle w:val="ListParagraph"/>
        <w:widowControl w:val="0"/>
        <w:rPr>
          <w:rFonts w:cs="Times New Roman"/>
          <w:bCs/>
          <w:szCs w:val="24"/>
        </w:rPr>
      </w:pPr>
      <w:r w:rsidRPr="00C80564">
        <w:rPr>
          <w:rFonts w:cs="Times New Roman"/>
          <w:i/>
          <w:iCs/>
          <w:szCs w:val="24"/>
        </w:rPr>
        <w:t>Email address:</w:t>
      </w:r>
      <w:r>
        <w:rPr>
          <w:rFonts w:cs="Times New Roman"/>
          <w:szCs w:val="24"/>
        </w:rPr>
        <w:t xml:space="preserve"> </w:t>
      </w:r>
      <w:hyperlink r:id="rId18" w:history="1">
        <w:r w:rsidRPr="001B2D9F">
          <w:rPr>
            <w:rStyle w:val="Hyperlink"/>
            <w:rFonts w:cs="Times New Roman"/>
            <w:szCs w:val="24"/>
          </w:rPr>
          <w:t>ely.laura.j@gmail.com</w:t>
        </w:r>
      </w:hyperlink>
      <w:r>
        <w:rPr>
          <w:rFonts w:cs="Times New Roman"/>
          <w:szCs w:val="24"/>
        </w:rPr>
        <w:t xml:space="preserve"> </w:t>
      </w:r>
      <w:r>
        <w:rPr>
          <w:rFonts w:cs="Times New Roman"/>
          <w:szCs w:val="24"/>
        </w:rPr>
        <w:br/>
      </w:r>
    </w:p>
    <w:p w14:paraId="22CDF11B" w14:textId="738C3470" w:rsidR="007B007F" w:rsidRDefault="00417A07" w:rsidP="00C80564">
      <w:pPr>
        <w:pStyle w:val="ListParagraph"/>
        <w:widowControl w:val="0"/>
        <w:numPr>
          <w:ilvl w:val="0"/>
          <w:numId w:val="19"/>
        </w:numPr>
        <w:ind w:left="360"/>
        <w:rPr>
          <w:rFonts w:cs="Times New Roman"/>
          <w:bCs/>
          <w:i/>
          <w:iCs/>
          <w:szCs w:val="24"/>
        </w:rPr>
      </w:pPr>
      <w:r>
        <w:rPr>
          <w:rFonts w:cs="Times New Roman"/>
          <w:bCs/>
          <w:i/>
          <w:iCs/>
          <w:szCs w:val="24"/>
        </w:rPr>
        <w:t>M</w:t>
      </w:r>
      <w:r w:rsidR="00863D04">
        <w:rPr>
          <w:rFonts w:cs="Times New Roman"/>
          <w:bCs/>
          <w:i/>
          <w:iCs/>
          <w:szCs w:val="24"/>
        </w:rPr>
        <w:t xml:space="preserve">r. Christopher Bauer’s </w:t>
      </w:r>
      <w:r w:rsidR="007B007F">
        <w:rPr>
          <w:rFonts w:cs="Times New Roman"/>
          <w:bCs/>
          <w:i/>
          <w:iCs/>
          <w:szCs w:val="24"/>
        </w:rPr>
        <w:t>contact information</w:t>
      </w:r>
      <w:r w:rsidR="00863D04">
        <w:rPr>
          <w:rFonts w:cs="Times New Roman"/>
          <w:bCs/>
          <w:i/>
          <w:iCs/>
          <w:szCs w:val="24"/>
        </w:rPr>
        <w:t xml:space="preserve">: </w:t>
      </w:r>
    </w:p>
    <w:p w14:paraId="0A61B524" w14:textId="77777777" w:rsidR="003B612A" w:rsidRDefault="007B007F" w:rsidP="003B612A">
      <w:pPr>
        <w:pStyle w:val="ListParagraph"/>
        <w:widowControl w:val="0"/>
        <w:ind w:left="2520" w:hanging="1800"/>
        <w:rPr>
          <w:rFonts w:cs="Times New Roman"/>
          <w:szCs w:val="24"/>
        </w:rPr>
      </w:pPr>
      <w:r w:rsidRPr="007B007F">
        <w:rPr>
          <w:rFonts w:cs="Times New Roman"/>
          <w:i/>
          <w:iCs/>
          <w:szCs w:val="24"/>
        </w:rPr>
        <w:t>Physical address:</w:t>
      </w:r>
      <w:r>
        <w:rPr>
          <w:rFonts w:cs="Times New Roman"/>
          <w:szCs w:val="24"/>
        </w:rPr>
        <w:t xml:space="preserve"> Medical College of Wisconsin, Health Resource Center (HRC), 8701 Watertown Plank Rd., 5</w:t>
      </w:r>
      <w:r w:rsidRPr="007B007F">
        <w:rPr>
          <w:rFonts w:cs="Times New Roman"/>
          <w:szCs w:val="24"/>
          <w:vertAlign w:val="superscript"/>
        </w:rPr>
        <w:t>th</w:t>
      </w:r>
      <w:r>
        <w:rPr>
          <w:rFonts w:cs="Times New Roman"/>
          <w:szCs w:val="24"/>
        </w:rPr>
        <w:t xml:space="preserve"> Floor, Milwaukee, WI, USA 53226</w:t>
      </w:r>
    </w:p>
    <w:p w14:paraId="537053E3" w14:textId="08FDC455" w:rsidR="00863D04" w:rsidRDefault="007B007F" w:rsidP="003B612A">
      <w:pPr>
        <w:pStyle w:val="ListParagraph"/>
        <w:widowControl w:val="0"/>
        <w:ind w:left="1440" w:hanging="720"/>
        <w:rPr>
          <w:rFonts w:cs="Times New Roman"/>
          <w:bCs/>
          <w:i/>
          <w:iCs/>
          <w:szCs w:val="24"/>
        </w:rPr>
      </w:pPr>
      <w:r w:rsidRPr="007B007F">
        <w:rPr>
          <w:rFonts w:cs="Times New Roman"/>
          <w:i/>
          <w:iCs/>
          <w:szCs w:val="24"/>
        </w:rPr>
        <w:t>Email address:</w:t>
      </w:r>
      <w:r>
        <w:rPr>
          <w:rFonts w:cs="Times New Roman"/>
          <w:szCs w:val="24"/>
        </w:rPr>
        <w:t xml:space="preserve"> </w:t>
      </w:r>
      <w:hyperlink r:id="rId19" w:history="1">
        <w:r w:rsidRPr="001B2D9F">
          <w:rPr>
            <w:rStyle w:val="Hyperlink"/>
            <w:rFonts w:cs="Times New Roman"/>
            <w:bCs/>
            <w:i/>
            <w:iCs/>
            <w:szCs w:val="24"/>
          </w:rPr>
          <w:t>chbauer@mcw.edu</w:t>
        </w:r>
      </w:hyperlink>
      <w:r w:rsidR="00632AA0" w:rsidRPr="007B007F">
        <w:rPr>
          <w:rFonts w:cs="Times New Roman"/>
          <w:bCs/>
          <w:i/>
          <w:iCs/>
          <w:szCs w:val="24"/>
        </w:rPr>
        <w:t xml:space="preserve"> </w:t>
      </w:r>
    </w:p>
    <w:p w14:paraId="25F16D09" w14:textId="77777777" w:rsidR="007B007F" w:rsidRPr="007B007F" w:rsidRDefault="007B007F" w:rsidP="00C80564">
      <w:pPr>
        <w:pStyle w:val="ListParagraph"/>
        <w:widowControl w:val="0"/>
        <w:ind w:left="360"/>
        <w:rPr>
          <w:rFonts w:cs="Times New Roman"/>
          <w:bCs/>
          <w:i/>
          <w:iCs/>
          <w:szCs w:val="24"/>
        </w:rPr>
      </w:pPr>
    </w:p>
    <w:p w14:paraId="17414892" w14:textId="3653F6FA" w:rsidR="007B007F" w:rsidRDefault="00863D04" w:rsidP="00C80564">
      <w:pPr>
        <w:pStyle w:val="ListParagraph"/>
        <w:widowControl w:val="0"/>
        <w:numPr>
          <w:ilvl w:val="0"/>
          <w:numId w:val="19"/>
        </w:numPr>
        <w:ind w:left="360"/>
        <w:rPr>
          <w:rFonts w:cs="Times New Roman"/>
          <w:bCs/>
          <w:i/>
          <w:iCs/>
          <w:szCs w:val="24"/>
        </w:rPr>
      </w:pPr>
      <w:r>
        <w:rPr>
          <w:rFonts w:cs="Times New Roman"/>
          <w:bCs/>
          <w:i/>
          <w:iCs/>
          <w:szCs w:val="24"/>
        </w:rPr>
        <w:t xml:space="preserve">Dr. Flint </w:t>
      </w:r>
      <w:proofErr w:type="spellStart"/>
      <w:r>
        <w:rPr>
          <w:rFonts w:cs="Times New Roman"/>
          <w:bCs/>
          <w:i/>
          <w:iCs/>
          <w:szCs w:val="24"/>
        </w:rPr>
        <w:t>Espil’s</w:t>
      </w:r>
      <w:proofErr w:type="spellEnd"/>
      <w:r>
        <w:rPr>
          <w:rFonts w:cs="Times New Roman"/>
          <w:bCs/>
          <w:i/>
          <w:iCs/>
          <w:szCs w:val="24"/>
        </w:rPr>
        <w:t xml:space="preserve"> </w:t>
      </w:r>
      <w:r w:rsidR="007B007F">
        <w:rPr>
          <w:rFonts w:cs="Times New Roman"/>
          <w:bCs/>
          <w:i/>
          <w:iCs/>
          <w:szCs w:val="24"/>
        </w:rPr>
        <w:t>contact information</w:t>
      </w:r>
      <w:r>
        <w:rPr>
          <w:rFonts w:cs="Times New Roman"/>
          <w:bCs/>
          <w:i/>
          <w:iCs/>
          <w:szCs w:val="24"/>
        </w:rPr>
        <w:t xml:space="preserve">: </w:t>
      </w:r>
    </w:p>
    <w:p w14:paraId="52640B4F" w14:textId="77777777" w:rsidR="003B612A" w:rsidRDefault="007B007F" w:rsidP="003B612A">
      <w:pPr>
        <w:pStyle w:val="ListParagraph"/>
        <w:widowControl w:val="0"/>
        <w:ind w:left="2520" w:hanging="1800"/>
      </w:pPr>
      <w:r w:rsidRPr="007B007F">
        <w:rPr>
          <w:rFonts w:cs="Times New Roman"/>
          <w:i/>
          <w:iCs/>
          <w:szCs w:val="24"/>
        </w:rPr>
        <w:t xml:space="preserve">Physical address: </w:t>
      </w:r>
      <w:r w:rsidR="00863D04" w:rsidRPr="00E07A6E">
        <w:t>Stanford University School of Medicine</w:t>
      </w:r>
      <w:r w:rsidR="00863D04">
        <w:t>, Department of Psychiatry and Behavioral Sciences</w:t>
      </w:r>
      <w:r>
        <w:t xml:space="preserve">, </w:t>
      </w:r>
      <w:r w:rsidR="00632AA0">
        <w:t>1520 Page Mill Rd</w:t>
      </w:r>
      <w:r>
        <w:t>.</w:t>
      </w:r>
      <w:r w:rsidR="00632AA0">
        <w:t>, Palo Alto, CA</w:t>
      </w:r>
      <w:r>
        <w:t>, USA</w:t>
      </w:r>
      <w:r w:rsidR="00632AA0">
        <w:t xml:space="preserve"> 94305</w:t>
      </w:r>
    </w:p>
    <w:p w14:paraId="7120BFD8" w14:textId="240AEE48" w:rsidR="00863D04" w:rsidRDefault="007B007F" w:rsidP="003B612A">
      <w:pPr>
        <w:pStyle w:val="ListParagraph"/>
        <w:widowControl w:val="0"/>
      </w:pPr>
      <w:r w:rsidRPr="003B612A">
        <w:rPr>
          <w:i/>
          <w:iCs/>
        </w:rPr>
        <w:t>Email address:</w:t>
      </w:r>
      <w:r>
        <w:t xml:space="preserve"> </w:t>
      </w:r>
      <w:hyperlink r:id="rId20" w:history="1">
        <w:r w:rsidRPr="001B2D9F">
          <w:rPr>
            <w:rStyle w:val="Hyperlink"/>
          </w:rPr>
          <w:t>espil@stanford.edu</w:t>
        </w:r>
      </w:hyperlink>
      <w:r w:rsidR="00863D04">
        <w:t xml:space="preserve"> </w:t>
      </w:r>
    </w:p>
    <w:p w14:paraId="4E7A4BAE" w14:textId="77777777" w:rsidR="007B007F" w:rsidRPr="00863D04" w:rsidRDefault="007B007F" w:rsidP="00C80564">
      <w:pPr>
        <w:pStyle w:val="ListParagraph"/>
        <w:widowControl w:val="0"/>
        <w:ind w:left="360"/>
        <w:rPr>
          <w:rFonts w:cs="Times New Roman"/>
          <w:bCs/>
          <w:i/>
          <w:iCs/>
          <w:szCs w:val="24"/>
        </w:rPr>
      </w:pPr>
    </w:p>
    <w:p w14:paraId="1381AEEF" w14:textId="1BE76CC5" w:rsidR="00863D04" w:rsidRDefault="00863D04" w:rsidP="00C80564">
      <w:pPr>
        <w:pStyle w:val="ListParagraph"/>
        <w:widowControl w:val="0"/>
        <w:numPr>
          <w:ilvl w:val="0"/>
          <w:numId w:val="19"/>
        </w:numPr>
        <w:ind w:left="360"/>
        <w:rPr>
          <w:rFonts w:cs="Times New Roman"/>
          <w:bCs/>
          <w:i/>
          <w:iCs/>
          <w:szCs w:val="24"/>
        </w:rPr>
      </w:pPr>
      <w:r>
        <w:rPr>
          <w:rFonts w:cs="Times New Roman"/>
          <w:bCs/>
          <w:i/>
          <w:iCs/>
          <w:szCs w:val="24"/>
        </w:rPr>
        <w:t>Dr. Jennifer Alexander’s</w:t>
      </w:r>
      <w:r w:rsidR="007B007F">
        <w:rPr>
          <w:rFonts w:cs="Times New Roman"/>
          <w:bCs/>
          <w:i/>
          <w:iCs/>
          <w:szCs w:val="24"/>
        </w:rPr>
        <w:t xml:space="preserve"> present</w:t>
      </w:r>
      <w:r>
        <w:rPr>
          <w:rFonts w:cs="Times New Roman"/>
          <w:bCs/>
          <w:i/>
          <w:iCs/>
          <w:szCs w:val="24"/>
        </w:rPr>
        <w:t xml:space="preserve"> </w:t>
      </w:r>
      <w:r w:rsidR="007B007F">
        <w:rPr>
          <w:rFonts w:cs="Times New Roman"/>
          <w:bCs/>
          <w:i/>
          <w:iCs/>
          <w:szCs w:val="24"/>
        </w:rPr>
        <w:t>contact information</w:t>
      </w:r>
      <w:r>
        <w:rPr>
          <w:rFonts w:cs="Times New Roman"/>
          <w:bCs/>
          <w:i/>
          <w:iCs/>
          <w:szCs w:val="24"/>
        </w:rPr>
        <w:t xml:space="preserve">: </w:t>
      </w:r>
    </w:p>
    <w:p w14:paraId="307A6FCB" w14:textId="77777777" w:rsidR="003B612A" w:rsidRDefault="007B007F" w:rsidP="003B612A">
      <w:pPr>
        <w:widowControl w:val="0"/>
        <w:ind w:left="2520" w:hanging="1800"/>
        <w:rPr>
          <w:rFonts w:cs="Times New Roman"/>
          <w:bCs/>
          <w:szCs w:val="24"/>
        </w:rPr>
      </w:pPr>
      <w:r>
        <w:rPr>
          <w:rFonts w:cs="Times New Roman"/>
          <w:bCs/>
          <w:i/>
          <w:iCs/>
          <w:szCs w:val="24"/>
        </w:rPr>
        <w:t xml:space="preserve">Physical address: </w:t>
      </w:r>
      <w:r>
        <w:rPr>
          <w:rFonts w:cs="Times New Roman"/>
          <w:bCs/>
          <w:szCs w:val="24"/>
        </w:rPr>
        <w:t>McLean OCD Institute // Houston, 708 E. 19</w:t>
      </w:r>
      <w:r w:rsidRPr="007B007F">
        <w:rPr>
          <w:rFonts w:cs="Times New Roman"/>
          <w:bCs/>
          <w:szCs w:val="24"/>
          <w:vertAlign w:val="superscript"/>
        </w:rPr>
        <w:t>th</w:t>
      </w:r>
      <w:r>
        <w:rPr>
          <w:rFonts w:cs="Times New Roman"/>
          <w:bCs/>
          <w:szCs w:val="24"/>
        </w:rPr>
        <w:t xml:space="preserve"> St., Houston, TX, USA 77008</w:t>
      </w:r>
    </w:p>
    <w:p w14:paraId="1B6CF25C" w14:textId="05693748" w:rsidR="007B007F" w:rsidRPr="007B007F" w:rsidRDefault="007B007F" w:rsidP="003B612A">
      <w:pPr>
        <w:widowControl w:val="0"/>
        <w:ind w:left="720"/>
        <w:rPr>
          <w:rFonts w:cs="Times New Roman"/>
          <w:bCs/>
          <w:szCs w:val="24"/>
        </w:rPr>
      </w:pPr>
      <w:r>
        <w:rPr>
          <w:rFonts w:cs="Times New Roman"/>
          <w:bCs/>
          <w:i/>
          <w:iCs/>
          <w:szCs w:val="24"/>
        </w:rPr>
        <w:t xml:space="preserve">Email address: </w:t>
      </w:r>
      <w:hyperlink r:id="rId21" w:history="1">
        <w:r w:rsidRPr="001B2D9F">
          <w:rPr>
            <w:rStyle w:val="Hyperlink"/>
            <w:rFonts w:cs="Times New Roman"/>
            <w:bCs/>
            <w:szCs w:val="24"/>
          </w:rPr>
          <w:t>jalexander@houstonocd.org</w:t>
        </w:r>
      </w:hyperlink>
      <w:r>
        <w:rPr>
          <w:rFonts w:cs="Times New Roman"/>
          <w:bCs/>
          <w:szCs w:val="24"/>
        </w:rPr>
        <w:t xml:space="preserve"> </w:t>
      </w:r>
    </w:p>
    <w:p w14:paraId="4BE97979" w14:textId="77777777" w:rsidR="007B007F" w:rsidRPr="007B007F" w:rsidRDefault="007B007F" w:rsidP="00C80564">
      <w:pPr>
        <w:widowControl w:val="0"/>
        <w:ind w:left="360"/>
        <w:rPr>
          <w:rFonts w:cs="Times New Roman"/>
          <w:bCs/>
          <w:i/>
          <w:iCs/>
          <w:szCs w:val="24"/>
        </w:rPr>
      </w:pPr>
    </w:p>
    <w:p w14:paraId="1EF651F9" w14:textId="2C6096EC" w:rsidR="00863D04" w:rsidRDefault="007B007F" w:rsidP="00C80564">
      <w:pPr>
        <w:pStyle w:val="ListParagraph"/>
        <w:widowControl w:val="0"/>
        <w:numPr>
          <w:ilvl w:val="0"/>
          <w:numId w:val="19"/>
        </w:numPr>
        <w:ind w:left="360"/>
        <w:rPr>
          <w:rFonts w:cs="Times New Roman"/>
          <w:bCs/>
          <w:i/>
          <w:iCs/>
          <w:szCs w:val="24"/>
        </w:rPr>
      </w:pPr>
      <w:r>
        <w:rPr>
          <w:rFonts w:cs="Times New Roman"/>
          <w:bCs/>
          <w:i/>
          <w:iCs/>
          <w:szCs w:val="24"/>
        </w:rPr>
        <w:t>Dr. Michael Walther’s present contact information:</w:t>
      </w:r>
    </w:p>
    <w:p w14:paraId="0AC1CF3C" w14:textId="77777777" w:rsidR="003B612A" w:rsidRDefault="007B007F" w:rsidP="003B612A">
      <w:pPr>
        <w:widowControl w:val="0"/>
        <w:ind w:left="2520" w:hanging="1800"/>
        <w:rPr>
          <w:rFonts w:cs="Times New Roman"/>
          <w:szCs w:val="24"/>
        </w:rPr>
      </w:pPr>
      <w:r>
        <w:rPr>
          <w:rFonts w:cs="Times New Roman"/>
          <w:i/>
          <w:iCs/>
          <w:szCs w:val="24"/>
        </w:rPr>
        <w:t xml:space="preserve">Physical address: </w:t>
      </w:r>
      <w:r w:rsidRPr="007B007F">
        <w:rPr>
          <w:rFonts w:cs="Times New Roman"/>
          <w:szCs w:val="24"/>
        </w:rPr>
        <w:t>Bradley Hospital, 1011 Veterans Memorial Pkwy, Riverside, RI</w:t>
      </w:r>
      <w:r>
        <w:rPr>
          <w:rFonts w:cs="Times New Roman"/>
          <w:szCs w:val="24"/>
        </w:rPr>
        <w:t>, USA</w:t>
      </w:r>
      <w:r w:rsidRPr="007B007F">
        <w:rPr>
          <w:rFonts w:cs="Times New Roman"/>
          <w:szCs w:val="24"/>
        </w:rPr>
        <w:t xml:space="preserve"> 02915</w:t>
      </w:r>
    </w:p>
    <w:p w14:paraId="08E57957" w14:textId="31970C5B" w:rsidR="007B007F" w:rsidRDefault="007B007F" w:rsidP="003B612A">
      <w:pPr>
        <w:widowControl w:val="0"/>
        <w:ind w:left="720"/>
        <w:rPr>
          <w:rFonts w:cs="Times New Roman"/>
          <w:szCs w:val="24"/>
        </w:rPr>
      </w:pPr>
      <w:r>
        <w:rPr>
          <w:rFonts w:cs="Times New Roman"/>
          <w:i/>
          <w:iCs/>
          <w:szCs w:val="24"/>
        </w:rPr>
        <w:t xml:space="preserve">Email address: </w:t>
      </w:r>
      <w:hyperlink r:id="rId22" w:history="1">
        <w:r w:rsidRPr="001B2D9F">
          <w:rPr>
            <w:rStyle w:val="Hyperlink"/>
            <w:rFonts w:cs="Times New Roman"/>
            <w:szCs w:val="24"/>
          </w:rPr>
          <w:t>michael_walther@brown.edu</w:t>
        </w:r>
      </w:hyperlink>
      <w:r w:rsidRPr="007B007F">
        <w:rPr>
          <w:rFonts w:cs="Times New Roman"/>
          <w:szCs w:val="24"/>
        </w:rPr>
        <w:t xml:space="preserve"> </w:t>
      </w:r>
    </w:p>
    <w:p w14:paraId="7537CDA5" w14:textId="78D91E63" w:rsidR="007B007F" w:rsidRDefault="007B007F" w:rsidP="00C80564">
      <w:pPr>
        <w:widowControl w:val="0"/>
        <w:ind w:left="360"/>
        <w:rPr>
          <w:rFonts w:cs="Times New Roman"/>
          <w:szCs w:val="24"/>
          <w:vertAlign w:val="superscript"/>
        </w:rPr>
      </w:pPr>
    </w:p>
    <w:p w14:paraId="3C6FA816" w14:textId="31410CBB" w:rsidR="007B007F" w:rsidRPr="00E54450" w:rsidRDefault="007B007F" w:rsidP="00C80564">
      <w:pPr>
        <w:pStyle w:val="ListParagraph"/>
        <w:widowControl w:val="0"/>
        <w:numPr>
          <w:ilvl w:val="0"/>
          <w:numId w:val="19"/>
        </w:numPr>
        <w:ind w:left="360"/>
        <w:rPr>
          <w:rFonts w:cs="Times New Roman"/>
          <w:i/>
          <w:iCs/>
          <w:szCs w:val="24"/>
          <w:vertAlign w:val="superscript"/>
        </w:rPr>
      </w:pPr>
      <w:r w:rsidRPr="00E54450">
        <w:rPr>
          <w:rFonts w:cs="Times New Roman"/>
          <w:i/>
          <w:iCs/>
          <w:szCs w:val="24"/>
        </w:rPr>
        <w:t>Dr. Martin Franklin’s present contact information:</w:t>
      </w:r>
    </w:p>
    <w:p w14:paraId="4A7F6DBF" w14:textId="047C8CF9" w:rsidR="003B612A" w:rsidRPr="00E54450" w:rsidRDefault="00CD1FF2" w:rsidP="00E54450">
      <w:pPr>
        <w:pStyle w:val="ListParagraph"/>
        <w:widowControl w:val="0"/>
        <w:ind w:left="2520" w:hanging="1800"/>
        <w:rPr>
          <w:rFonts w:cs="Times New Roman"/>
          <w:szCs w:val="24"/>
        </w:rPr>
      </w:pPr>
      <w:r w:rsidRPr="00E54450">
        <w:rPr>
          <w:rFonts w:cs="Times New Roman"/>
          <w:i/>
          <w:iCs/>
          <w:szCs w:val="24"/>
        </w:rPr>
        <w:t>Physical address:</w:t>
      </w:r>
      <w:r w:rsidR="00E54450" w:rsidRPr="00E54450">
        <w:rPr>
          <w:rFonts w:cs="Times New Roman"/>
          <w:i/>
          <w:iCs/>
          <w:szCs w:val="24"/>
        </w:rPr>
        <w:t xml:space="preserve"> </w:t>
      </w:r>
      <w:r w:rsidRPr="00E54450">
        <w:rPr>
          <w:rFonts w:cs="Times New Roman"/>
          <w:szCs w:val="24"/>
        </w:rPr>
        <w:t>Rogers Behavioral Health; 1 Winding Drive, Suite 106, Philadelphia, PA 19131</w:t>
      </w:r>
    </w:p>
    <w:p w14:paraId="0CFE3BB0" w14:textId="164DCDD5" w:rsidR="00CD1FF2" w:rsidRPr="00E54450" w:rsidRDefault="00CD1FF2" w:rsidP="003B612A">
      <w:pPr>
        <w:pStyle w:val="ListParagraph"/>
        <w:widowControl w:val="0"/>
        <w:rPr>
          <w:rFonts w:cs="Times New Roman"/>
          <w:szCs w:val="24"/>
        </w:rPr>
      </w:pPr>
      <w:r w:rsidRPr="00E54450">
        <w:rPr>
          <w:rFonts w:cs="Times New Roman"/>
          <w:i/>
          <w:iCs/>
          <w:szCs w:val="24"/>
        </w:rPr>
        <w:t>Email address</w:t>
      </w:r>
      <w:r w:rsidRPr="00E54450">
        <w:rPr>
          <w:rFonts w:cs="Times New Roman"/>
          <w:szCs w:val="24"/>
        </w:rPr>
        <w:t xml:space="preserve">: </w:t>
      </w:r>
      <w:hyperlink r:id="rId23" w:history="1">
        <w:r w:rsidRPr="00E54450">
          <w:rPr>
            <w:rStyle w:val="Hyperlink"/>
            <w:rFonts w:cs="Times New Roman"/>
            <w:szCs w:val="24"/>
          </w:rPr>
          <w:t>Martin.Franklin@rogersbh.org</w:t>
        </w:r>
      </w:hyperlink>
      <w:r w:rsidRPr="00E54450">
        <w:rPr>
          <w:rFonts w:cs="Times New Roman"/>
          <w:szCs w:val="24"/>
        </w:rPr>
        <w:t xml:space="preserve"> </w:t>
      </w:r>
    </w:p>
    <w:p w14:paraId="7FBC610E" w14:textId="77777777" w:rsidR="00CD1FF2" w:rsidRPr="00417A07" w:rsidRDefault="00CD1FF2" w:rsidP="00C80564">
      <w:pPr>
        <w:pStyle w:val="ListParagraph"/>
        <w:widowControl w:val="0"/>
        <w:ind w:left="360"/>
        <w:rPr>
          <w:rFonts w:cs="Times New Roman"/>
          <w:szCs w:val="24"/>
          <w:highlight w:val="cyan"/>
          <w:vertAlign w:val="superscript"/>
        </w:rPr>
      </w:pPr>
    </w:p>
    <w:p w14:paraId="6600A0C7" w14:textId="045F9452" w:rsidR="00417A07" w:rsidRPr="00415206" w:rsidRDefault="00417A07" w:rsidP="00C80564">
      <w:pPr>
        <w:pStyle w:val="ListParagraph"/>
        <w:widowControl w:val="0"/>
        <w:numPr>
          <w:ilvl w:val="0"/>
          <w:numId w:val="19"/>
        </w:numPr>
        <w:ind w:left="360"/>
        <w:rPr>
          <w:rFonts w:cs="Times New Roman"/>
          <w:bCs/>
          <w:szCs w:val="24"/>
        </w:rPr>
      </w:pPr>
      <w:r w:rsidRPr="00415206">
        <w:rPr>
          <w:rFonts w:cs="Times New Roman"/>
          <w:bCs/>
          <w:i/>
          <w:iCs/>
          <w:szCs w:val="24"/>
        </w:rPr>
        <w:t xml:space="preserve">Dr. Thilo </w:t>
      </w:r>
      <w:proofErr w:type="spellStart"/>
      <w:r w:rsidRPr="00415206">
        <w:rPr>
          <w:rFonts w:cs="Times New Roman"/>
          <w:bCs/>
          <w:i/>
          <w:iCs/>
          <w:szCs w:val="24"/>
        </w:rPr>
        <w:t>Deckersbach’s</w:t>
      </w:r>
      <w:proofErr w:type="spellEnd"/>
      <w:r w:rsidRPr="00415206">
        <w:rPr>
          <w:rFonts w:cs="Times New Roman"/>
          <w:bCs/>
          <w:i/>
          <w:iCs/>
          <w:szCs w:val="24"/>
        </w:rPr>
        <w:t xml:space="preserve"> present contact information</w:t>
      </w:r>
    </w:p>
    <w:p w14:paraId="0786FAE8" w14:textId="763B67DB" w:rsidR="00E3156D" w:rsidRPr="00415206" w:rsidRDefault="00CD1FF2" w:rsidP="00415206">
      <w:pPr>
        <w:widowControl w:val="0"/>
        <w:ind w:left="720"/>
        <w:rPr>
          <w:rFonts w:cs="Times New Roman"/>
          <w:i/>
          <w:iCs/>
          <w:szCs w:val="24"/>
        </w:rPr>
      </w:pPr>
      <w:r w:rsidRPr="00415206">
        <w:rPr>
          <w:rFonts w:cs="Times New Roman"/>
          <w:i/>
          <w:iCs/>
          <w:szCs w:val="24"/>
        </w:rPr>
        <w:t>Email address:</w:t>
      </w:r>
      <w:r w:rsidRPr="00415206">
        <w:rPr>
          <w:rFonts w:cs="Times New Roman"/>
          <w:szCs w:val="24"/>
        </w:rPr>
        <w:t xml:space="preserve"> </w:t>
      </w:r>
      <w:hyperlink r:id="rId24" w:history="1">
        <w:r w:rsidRPr="00415206">
          <w:rPr>
            <w:rStyle w:val="Hyperlink"/>
            <w:rFonts w:cs="Times New Roman"/>
            <w:szCs w:val="24"/>
          </w:rPr>
          <w:t>thilo.deckersbach@diploma.de</w:t>
        </w:r>
      </w:hyperlink>
      <w:r w:rsidRPr="00415206">
        <w:rPr>
          <w:rFonts w:cs="Times New Roman"/>
          <w:szCs w:val="24"/>
        </w:rPr>
        <w:t xml:space="preserve"> </w:t>
      </w:r>
      <w:r w:rsidRPr="00417A07">
        <w:rPr>
          <w:rFonts w:cs="Times New Roman"/>
          <w:szCs w:val="24"/>
          <w:highlight w:val="cyan"/>
        </w:rPr>
        <w:br/>
      </w:r>
    </w:p>
    <w:p w14:paraId="146DFA9A" w14:textId="5712046A" w:rsidR="002769CC" w:rsidRPr="002769CC" w:rsidRDefault="002769CC" w:rsidP="00E92D51">
      <w:pPr>
        <w:widowControl w:val="0"/>
        <w:spacing w:after="240"/>
        <w:rPr>
          <w:rFonts w:cs="Times New Roman"/>
          <w:bCs/>
          <w:color w:val="FF0000"/>
          <w:szCs w:val="24"/>
        </w:rPr>
      </w:pPr>
      <w:r>
        <w:rPr>
          <w:rFonts w:cs="Times New Roman"/>
          <w:b/>
          <w:szCs w:val="24"/>
        </w:rPr>
        <w:lastRenderedPageBreak/>
        <w:t xml:space="preserve">Funding: </w:t>
      </w:r>
      <w:r w:rsidR="00444E52" w:rsidRPr="00F06BC6">
        <w:rPr>
          <w:rFonts w:cs="Times New Roman"/>
          <w:bCs/>
          <w:szCs w:val="24"/>
        </w:rPr>
        <w:t xml:space="preserve">One hundred percent </w:t>
      </w:r>
      <w:r w:rsidR="00B23064" w:rsidRPr="00F06BC6">
        <w:rPr>
          <w:rFonts w:cs="Times New Roman"/>
          <w:bCs/>
          <w:szCs w:val="24"/>
        </w:rPr>
        <w:t>($</w:t>
      </w:r>
      <w:r w:rsidR="00B23064" w:rsidRPr="00F06BC6">
        <w:rPr>
          <w:bCs/>
        </w:rPr>
        <w:t xml:space="preserve">1,127,980) </w:t>
      </w:r>
      <w:r w:rsidR="00444E52" w:rsidRPr="00F06BC6">
        <w:rPr>
          <w:rFonts w:cs="Times New Roman"/>
          <w:bCs/>
          <w:szCs w:val="24"/>
        </w:rPr>
        <w:t>of this</w:t>
      </w:r>
      <w:r w:rsidR="00444E52">
        <w:rPr>
          <w:rFonts w:cs="Times New Roman"/>
          <w:b/>
          <w:szCs w:val="24"/>
        </w:rPr>
        <w:t xml:space="preserve"> </w:t>
      </w:r>
      <w:r>
        <w:rPr>
          <w:rFonts w:cs="Times New Roman"/>
          <w:bCs/>
          <w:szCs w:val="24"/>
        </w:rPr>
        <w:t xml:space="preserve">work was supported by the National Institute of Mental Health </w:t>
      </w:r>
      <w:r w:rsidR="00F968AE">
        <w:rPr>
          <w:rFonts w:cs="Times New Roman"/>
          <w:bCs/>
          <w:szCs w:val="24"/>
        </w:rPr>
        <w:t xml:space="preserve">under award number </w:t>
      </w:r>
      <w:r w:rsidRPr="00E43C40">
        <w:rPr>
          <w:rFonts w:eastAsia="Times New Roman" w:cs="Times New Roman"/>
          <w:szCs w:val="24"/>
        </w:rPr>
        <w:t>R01MH080966</w:t>
      </w:r>
      <w:r>
        <w:rPr>
          <w:rFonts w:eastAsia="Times New Roman" w:cs="Times New Roman"/>
          <w:szCs w:val="24"/>
        </w:rPr>
        <w:t>.</w:t>
      </w:r>
      <w:r w:rsidR="00F968AE">
        <w:rPr>
          <w:rFonts w:eastAsia="Times New Roman" w:cs="Times New Roman"/>
          <w:szCs w:val="24"/>
        </w:rPr>
        <w:t xml:space="preserve"> The content is solely the responsibility of the authors and does not necessarily represent the official views of the National Institutes of Health.</w:t>
      </w:r>
    </w:p>
    <w:p w14:paraId="029433A2" w14:textId="0EA18601" w:rsidR="007467BD" w:rsidRPr="00F06BC6" w:rsidRDefault="007467BD" w:rsidP="00D92FB5">
      <w:pPr>
        <w:widowControl w:val="0"/>
        <w:spacing w:after="240"/>
        <w:rPr>
          <w:rFonts w:cs="Times New Roman"/>
          <w:bCs/>
          <w:szCs w:val="24"/>
        </w:rPr>
      </w:pPr>
      <w:r w:rsidRPr="00F06BC6">
        <w:rPr>
          <w:rFonts w:cs="Times New Roman"/>
          <w:b/>
          <w:szCs w:val="24"/>
        </w:rPr>
        <w:t xml:space="preserve">Location of work: </w:t>
      </w:r>
      <w:r w:rsidRPr="00F06BC6">
        <w:rPr>
          <w:rFonts w:cs="Times New Roman"/>
          <w:bCs/>
          <w:szCs w:val="24"/>
        </w:rPr>
        <w:t>Psychology Department, University of Wisconsin-Milwaukee, Milwaukee, WI</w:t>
      </w:r>
    </w:p>
    <w:p w14:paraId="3B607A9C" w14:textId="77697B5A" w:rsidR="002769CC" w:rsidRDefault="007467BD" w:rsidP="00F06BC6">
      <w:pPr>
        <w:widowControl w:val="0"/>
        <w:tabs>
          <w:tab w:val="left" w:pos="2328"/>
        </w:tabs>
        <w:spacing w:line="480" w:lineRule="auto"/>
        <w:rPr>
          <w:rFonts w:cs="Times New Roman"/>
          <w:b/>
          <w:szCs w:val="24"/>
        </w:rPr>
      </w:pPr>
      <w:r>
        <w:rPr>
          <w:rFonts w:cs="Times New Roman"/>
          <w:b/>
          <w:szCs w:val="24"/>
        </w:rPr>
        <w:t>D</w:t>
      </w:r>
      <w:r w:rsidR="002769CC">
        <w:rPr>
          <w:rFonts w:cs="Times New Roman"/>
          <w:b/>
          <w:szCs w:val="24"/>
        </w:rPr>
        <w:t>ata Statement</w:t>
      </w:r>
      <w:r w:rsidR="00D92FB5">
        <w:rPr>
          <w:rFonts w:cs="Times New Roman"/>
          <w:b/>
          <w:szCs w:val="24"/>
        </w:rPr>
        <w:t xml:space="preserve">: </w:t>
      </w:r>
      <w:r w:rsidR="00FF6E57" w:rsidRPr="00F06BC6">
        <w:rPr>
          <w:rFonts w:cs="Times New Roman"/>
          <w:bCs/>
          <w:szCs w:val="24"/>
        </w:rPr>
        <w:t>Data are available upon request from Dr. Douglas Woods. Please direct requests to douglas.woods@marquette.edu</w:t>
      </w:r>
      <w:r w:rsidR="00D770DE">
        <w:rPr>
          <w:rFonts w:cs="Times New Roman"/>
          <w:bCs/>
          <w:szCs w:val="24"/>
        </w:rPr>
        <w:t>.</w:t>
      </w:r>
    </w:p>
    <w:p w14:paraId="450EC0F7" w14:textId="6CC635E8" w:rsidR="00D92FB5" w:rsidRDefault="00D92FB5" w:rsidP="00D92FB5">
      <w:pPr>
        <w:widowControl w:val="0"/>
        <w:spacing w:line="480" w:lineRule="auto"/>
        <w:rPr>
          <w:rFonts w:eastAsia="Times New Roman" w:cs="Times New Roman"/>
          <w:szCs w:val="24"/>
        </w:rPr>
      </w:pPr>
    </w:p>
    <w:p w14:paraId="569F2B16" w14:textId="77777777" w:rsidR="00F15C43" w:rsidRDefault="00F15C43" w:rsidP="00D92FB5">
      <w:pPr>
        <w:widowControl w:val="0"/>
        <w:spacing w:line="480" w:lineRule="auto"/>
        <w:rPr>
          <w:rFonts w:cs="Times New Roman"/>
          <w:b/>
          <w:szCs w:val="24"/>
        </w:rPr>
      </w:pPr>
    </w:p>
    <w:p w14:paraId="60F90B0E" w14:textId="77777777" w:rsidR="00D92FB5" w:rsidRDefault="00D92FB5" w:rsidP="00CF2EEA">
      <w:pPr>
        <w:widowControl w:val="0"/>
        <w:rPr>
          <w:rFonts w:cs="Times New Roman"/>
          <w:b/>
          <w:szCs w:val="24"/>
        </w:rPr>
      </w:pPr>
    </w:p>
    <w:p w14:paraId="1484DA49" w14:textId="3CD080C2" w:rsidR="00543EED" w:rsidRDefault="005905F1" w:rsidP="00CF2EEA">
      <w:pPr>
        <w:widowControl w:val="0"/>
        <w:rPr>
          <w:rFonts w:cs="Times New Roman"/>
          <w:b/>
          <w:szCs w:val="24"/>
        </w:rPr>
      </w:pPr>
      <w:r>
        <w:rPr>
          <w:rFonts w:cs="Times New Roman"/>
          <w:b/>
          <w:szCs w:val="24"/>
        </w:rPr>
        <w:tab/>
      </w:r>
      <w:r>
        <w:rPr>
          <w:rFonts w:cs="Times New Roman"/>
          <w:b/>
          <w:szCs w:val="24"/>
        </w:rPr>
        <w:tab/>
      </w:r>
      <w:r w:rsidR="00543EED">
        <w:rPr>
          <w:rFonts w:cs="Times New Roman"/>
          <w:b/>
          <w:szCs w:val="24"/>
        </w:rPr>
        <w:br w:type="page"/>
      </w:r>
    </w:p>
    <w:p w14:paraId="4829D488" w14:textId="74929B59" w:rsidR="0058651F" w:rsidRPr="00A20B39" w:rsidRDefault="0058651F" w:rsidP="00CF2EEA">
      <w:pPr>
        <w:pStyle w:val="Heading1"/>
        <w:keepNext w:val="0"/>
        <w:keepLines w:val="0"/>
        <w:widowControl w:val="0"/>
        <w:spacing w:line="480" w:lineRule="auto"/>
        <w:rPr>
          <w:b w:val="0"/>
        </w:rPr>
      </w:pPr>
      <w:r w:rsidRPr="00A20B39">
        <w:lastRenderedPageBreak/>
        <w:t>Abstract</w:t>
      </w:r>
    </w:p>
    <w:p w14:paraId="48A3905B" w14:textId="0604EAB6" w:rsidR="002A0803" w:rsidRDefault="002A0803" w:rsidP="00A3436F">
      <w:pPr>
        <w:widowControl w:val="0"/>
        <w:spacing w:line="480" w:lineRule="auto"/>
        <w:rPr>
          <w:rFonts w:cs="Times New Roman"/>
          <w:szCs w:val="24"/>
        </w:rPr>
      </w:pPr>
      <w:r w:rsidRPr="001C2E88">
        <w:rPr>
          <w:rFonts w:cs="Times New Roman"/>
          <w:szCs w:val="24"/>
        </w:rPr>
        <w:t xml:space="preserve">Given </w:t>
      </w:r>
      <w:r w:rsidR="00E17FC1">
        <w:rPr>
          <w:rFonts w:cs="Times New Roman"/>
          <w:szCs w:val="24"/>
        </w:rPr>
        <w:t>the limited</w:t>
      </w:r>
      <w:r w:rsidRPr="001C2E88">
        <w:rPr>
          <w:rFonts w:cs="Times New Roman"/>
          <w:szCs w:val="24"/>
        </w:rPr>
        <w:t xml:space="preserve"> treatment options for trichotillomania (TTM</w:t>
      </w:r>
      <w:r w:rsidR="00FB1FA6">
        <w:rPr>
          <w:rFonts w:cs="Times New Roman"/>
          <w:szCs w:val="24"/>
        </w:rPr>
        <w:t>)</w:t>
      </w:r>
      <w:r w:rsidR="00E17FC1">
        <w:rPr>
          <w:rFonts w:cs="Times New Roman"/>
          <w:szCs w:val="24"/>
        </w:rPr>
        <w:t>, or</w:t>
      </w:r>
      <w:r w:rsidRPr="001C2E88">
        <w:rPr>
          <w:rFonts w:cs="Times New Roman"/>
          <w:szCs w:val="24"/>
        </w:rPr>
        <w:t xml:space="preserve"> Hair Pulling Disorder, </w:t>
      </w:r>
      <w:r>
        <w:rPr>
          <w:rFonts w:cs="Times New Roman"/>
          <w:szCs w:val="24"/>
        </w:rPr>
        <w:t xml:space="preserve">this </w:t>
      </w:r>
      <w:r w:rsidRPr="001C2E88">
        <w:rPr>
          <w:rFonts w:cs="Times New Roman"/>
          <w:szCs w:val="24"/>
        </w:rPr>
        <w:t>large randomized clinical trial</w:t>
      </w:r>
      <w:r w:rsidDel="00A12A3A">
        <w:rPr>
          <w:rFonts w:cs="Times New Roman"/>
          <w:szCs w:val="24"/>
        </w:rPr>
        <w:t xml:space="preserve"> </w:t>
      </w:r>
      <w:r w:rsidRPr="00456D1C">
        <w:rPr>
          <w:rFonts w:cs="Times New Roman"/>
          <w:szCs w:val="24"/>
        </w:rPr>
        <w:t>evaluate</w:t>
      </w:r>
      <w:r>
        <w:rPr>
          <w:rFonts w:cs="Times New Roman"/>
          <w:szCs w:val="24"/>
        </w:rPr>
        <w:t>d</w:t>
      </w:r>
      <w:r w:rsidRPr="00456D1C">
        <w:rPr>
          <w:rFonts w:cs="Times New Roman"/>
          <w:szCs w:val="24"/>
        </w:rPr>
        <w:t xml:space="preserve"> the efficacy of </w:t>
      </w:r>
      <w:r w:rsidRPr="001C2E88">
        <w:rPr>
          <w:rFonts w:cs="Times New Roman"/>
          <w:szCs w:val="24"/>
        </w:rPr>
        <w:t>acceptance-enhanced behavior therapy for TTM (AEBT-TTM) in reducing TTM severity relative to psychoeducation and supportive therapy (PST).</w:t>
      </w:r>
      <w:r>
        <w:rPr>
          <w:rFonts w:cs="Times New Roman"/>
          <w:b/>
          <w:szCs w:val="24"/>
        </w:rPr>
        <w:t xml:space="preserve"> </w:t>
      </w:r>
      <w:r>
        <w:rPr>
          <w:rFonts w:cs="Times New Roman"/>
          <w:szCs w:val="24"/>
        </w:rPr>
        <w:t>Eighty-five</w:t>
      </w:r>
      <w:r w:rsidRPr="001C3E6F">
        <w:rPr>
          <w:rFonts w:cs="Times New Roman"/>
          <w:szCs w:val="24"/>
        </w:rPr>
        <w:t xml:space="preserve"> </w:t>
      </w:r>
      <w:r>
        <w:rPr>
          <w:rFonts w:cs="Times New Roman"/>
          <w:szCs w:val="24"/>
        </w:rPr>
        <w:t xml:space="preserve">adults </w:t>
      </w:r>
      <w:r w:rsidRPr="001C3E6F">
        <w:rPr>
          <w:rFonts w:cs="Times New Roman"/>
          <w:szCs w:val="24"/>
        </w:rPr>
        <w:t>(78 women)</w:t>
      </w:r>
      <w:r>
        <w:rPr>
          <w:rFonts w:cs="Times New Roman"/>
          <w:szCs w:val="24"/>
        </w:rPr>
        <w:t xml:space="preserve"> </w:t>
      </w:r>
      <w:r w:rsidRPr="001C3E6F">
        <w:rPr>
          <w:rFonts w:cs="Times New Roman"/>
          <w:szCs w:val="24"/>
        </w:rPr>
        <w:t xml:space="preserve">with TTM </w:t>
      </w:r>
      <w:r w:rsidRPr="00456D1C">
        <w:rPr>
          <w:rFonts w:cs="Times New Roman"/>
          <w:szCs w:val="24"/>
        </w:rPr>
        <w:t xml:space="preserve">received 10 sessions (over 12 weeks) of either </w:t>
      </w:r>
      <w:r>
        <w:rPr>
          <w:rFonts w:cs="Times New Roman"/>
          <w:szCs w:val="24"/>
        </w:rPr>
        <w:t>AEBT-TTM</w:t>
      </w:r>
      <w:r w:rsidRPr="00456D1C">
        <w:rPr>
          <w:rFonts w:cs="Times New Roman"/>
          <w:szCs w:val="24"/>
        </w:rPr>
        <w:t xml:space="preserve"> or </w:t>
      </w:r>
      <w:r>
        <w:rPr>
          <w:rFonts w:cs="Times New Roman"/>
          <w:szCs w:val="24"/>
        </w:rPr>
        <w:t>PST</w:t>
      </w:r>
      <w:r w:rsidRPr="00BB6617">
        <w:rPr>
          <w:rFonts w:cs="Times New Roman"/>
          <w:szCs w:val="24"/>
        </w:rPr>
        <w:t xml:space="preserve">. </w:t>
      </w:r>
      <w:r>
        <w:rPr>
          <w:rFonts w:cs="Times New Roman"/>
          <w:szCs w:val="24"/>
        </w:rPr>
        <w:t>I</w:t>
      </w:r>
      <w:r w:rsidRPr="00BB6617">
        <w:rPr>
          <w:rFonts w:cs="Times New Roman"/>
          <w:szCs w:val="24"/>
        </w:rPr>
        <w:t xml:space="preserve">ndependent </w:t>
      </w:r>
      <w:r>
        <w:rPr>
          <w:rFonts w:cs="Times New Roman"/>
          <w:szCs w:val="24"/>
        </w:rPr>
        <w:t xml:space="preserve">evaluators </w:t>
      </w:r>
      <w:r w:rsidR="00C35C91">
        <w:rPr>
          <w:rFonts w:cs="Times New Roman"/>
          <w:szCs w:val="24"/>
        </w:rPr>
        <w:t>masked</w:t>
      </w:r>
      <w:r w:rsidRPr="00BB6617">
        <w:rPr>
          <w:rFonts w:cs="Times New Roman"/>
          <w:szCs w:val="24"/>
        </w:rPr>
        <w:t xml:space="preserve"> to treatment assignment</w:t>
      </w:r>
      <w:r>
        <w:rPr>
          <w:rFonts w:cs="Times New Roman"/>
          <w:szCs w:val="24"/>
        </w:rPr>
        <w:t xml:space="preserve"> assessed participants</w:t>
      </w:r>
      <w:r w:rsidRPr="00BB6617">
        <w:rPr>
          <w:rFonts w:cs="Times New Roman"/>
          <w:szCs w:val="24"/>
        </w:rPr>
        <w:t xml:space="preserve"> at baseline (week 0), midpoint (week 6), and endpoint (week 12).</w:t>
      </w:r>
      <w:r>
        <w:rPr>
          <w:rFonts w:cs="Times New Roman"/>
          <w:szCs w:val="24"/>
        </w:rPr>
        <w:t xml:space="preserve"> </w:t>
      </w:r>
      <w:r w:rsidR="00486166">
        <w:rPr>
          <w:rFonts w:cs="Times New Roman"/>
          <w:szCs w:val="24"/>
        </w:rPr>
        <w:t>C</w:t>
      </w:r>
      <w:r w:rsidR="0096667D">
        <w:rPr>
          <w:rFonts w:cs="Times New Roman"/>
          <w:szCs w:val="24"/>
        </w:rPr>
        <w:t xml:space="preserve">onsistent with </w:t>
      </w:r>
      <w:r w:rsidR="0096667D">
        <w:rPr>
          <w:rFonts w:cs="Times New Roman"/>
          <w:i/>
          <w:iCs/>
          <w:szCs w:val="24"/>
        </w:rPr>
        <w:t>a priori hypothes</w:t>
      </w:r>
      <w:r w:rsidR="00750F27">
        <w:rPr>
          <w:rFonts w:cs="Times New Roman"/>
          <w:i/>
          <w:iCs/>
          <w:szCs w:val="24"/>
        </w:rPr>
        <w:t>e</w:t>
      </w:r>
      <w:r w:rsidR="0096667D">
        <w:rPr>
          <w:rFonts w:cs="Times New Roman"/>
          <w:i/>
          <w:iCs/>
          <w:szCs w:val="24"/>
        </w:rPr>
        <w:t>s</w:t>
      </w:r>
      <w:r w:rsidR="0096667D" w:rsidRPr="00486166">
        <w:rPr>
          <w:rFonts w:cs="Times New Roman"/>
          <w:szCs w:val="24"/>
        </w:rPr>
        <w:t>,</w:t>
      </w:r>
      <w:r w:rsidRPr="0003603C">
        <w:rPr>
          <w:rFonts w:cs="Times New Roman"/>
          <w:szCs w:val="24"/>
        </w:rPr>
        <w:t xml:space="preserve"> </w:t>
      </w:r>
      <w:r w:rsidR="002D0845" w:rsidRPr="00492EC5">
        <w:rPr>
          <w:rFonts w:cs="Times New Roman"/>
          <w:szCs w:val="24"/>
        </w:rPr>
        <w:t>6</w:t>
      </w:r>
      <w:r w:rsidR="00505B12">
        <w:rPr>
          <w:rFonts w:cs="Times New Roman"/>
          <w:szCs w:val="24"/>
        </w:rPr>
        <w:t>4</w:t>
      </w:r>
      <w:r w:rsidRPr="00492EC5">
        <w:rPr>
          <w:rFonts w:cs="Times New Roman"/>
          <w:szCs w:val="24"/>
        </w:rPr>
        <w:t xml:space="preserve">% </w:t>
      </w:r>
      <w:r>
        <w:rPr>
          <w:rFonts w:cs="Times New Roman"/>
          <w:szCs w:val="24"/>
        </w:rPr>
        <w:t xml:space="preserve">of the adults treated with AEBT-TTM </w:t>
      </w:r>
      <w:r w:rsidRPr="00492EC5">
        <w:rPr>
          <w:rFonts w:cs="Times New Roman"/>
          <w:szCs w:val="24"/>
        </w:rPr>
        <w:t xml:space="preserve">were </w:t>
      </w:r>
      <w:r>
        <w:rPr>
          <w:rFonts w:cs="Times New Roman"/>
          <w:szCs w:val="24"/>
        </w:rPr>
        <w:t xml:space="preserve">classified </w:t>
      </w:r>
      <w:r w:rsidRPr="00492EC5">
        <w:rPr>
          <w:rFonts w:cs="Times New Roman"/>
          <w:szCs w:val="24"/>
        </w:rPr>
        <w:t xml:space="preserve">as clinical responders </w:t>
      </w:r>
      <w:r w:rsidR="00505B12">
        <w:rPr>
          <w:rFonts w:cs="Times New Roman"/>
          <w:szCs w:val="24"/>
        </w:rPr>
        <w:t xml:space="preserve">at </w:t>
      </w:r>
      <w:r w:rsidR="00E17FC1">
        <w:rPr>
          <w:rFonts w:cs="Times New Roman"/>
          <w:szCs w:val="24"/>
        </w:rPr>
        <w:t>post-</w:t>
      </w:r>
      <w:r w:rsidRPr="00492EC5">
        <w:rPr>
          <w:rFonts w:cs="Times New Roman"/>
          <w:szCs w:val="24"/>
        </w:rPr>
        <w:t xml:space="preserve">treatment relative </w:t>
      </w:r>
      <w:r w:rsidRPr="00A20B39">
        <w:rPr>
          <w:rFonts w:cs="Times New Roman"/>
          <w:szCs w:val="24"/>
        </w:rPr>
        <w:t xml:space="preserve">to </w:t>
      </w:r>
      <w:r w:rsidR="002D0845">
        <w:rPr>
          <w:rFonts w:cs="Times New Roman"/>
          <w:szCs w:val="24"/>
        </w:rPr>
        <w:t>3</w:t>
      </w:r>
      <w:r w:rsidR="00505B12">
        <w:rPr>
          <w:rFonts w:cs="Times New Roman"/>
          <w:szCs w:val="24"/>
        </w:rPr>
        <w:t>8</w:t>
      </w:r>
      <w:r w:rsidRPr="00A20B39">
        <w:rPr>
          <w:rFonts w:cs="Times New Roman"/>
          <w:szCs w:val="24"/>
        </w:rPr>
        <w:t>%</w:t>
      </w:r>
      <w:r>
        <w:rPr>
          <w:rFonts w:cs="Times New Roman"/>
          <w:szCs w:val="24"/>
        </w:rPr>
        <w:t xml:space="preserve"> treated with PST</w:t>
      </w:r>
      <w:r w:rsidRPr="00A20B39">
        <w:rPr>
          <w:rFonts w:cs="Times New Roman"/>
          <w:szCs w:val="24"/>
        </w:rPr>
        <w:t xml:space="preserve">. </w:t>
      </w:r>
      <w:r w:rsidR="0096667D">
        <w:rPr>
          <w:rFonts w:cs="Times New Roman"/>
          <w:szCs w:val="24"/>
        </w:rPr>
        <w:t xml:space="preserve">Clinical responders were identified </w:t>
      </w:r>
      <w:r w:rsidR="0096667D" w:rsidRPr="008D0821">
        <w:rPr>
          <w:rFonts w:cs="Times New Roman"/>
          <w:szCs w:val="24"/>
        </w:rPr>
        <w:t>by a score of 1 or 2 on the Clinical Global Impressions</w:t>
      </w:r>
      <w:r w:rsidR="0096667D">
        <w:rPr>
          <w:rFonts w:cs="Times New Roman"/>
          <w:szCs w:val="24"/>
        </w:rPr>
        <w:t>-</w:t>
      </w:r>
      <w:r w:rsidR="0096667D" w:rsidRPr="008D0821">
        <w:rPr>
          <w:rFonts w:cs="Times New Roman"/>
          <w:szCs w:val="24"/>
        </w:rPr>
        <w:t xml:space="preserve">Improvement </w:t>
      </w:r>
      <w:r w:rsidR="0096667D">
        <w:rPr>
          <w:rFonts w:cs="Times New Roman"/>
          <w:szCs w:val="24"/>
        </w:rPr>
        <w:t>(CGI-I) s</w:t>
      </w:r>
      <w:r w:rsidR="0096667D" w:rsidRPr="008D0821">
        <w:rPr>
          <w:rFonts w:cs="Times New Roman"/>
          <w:szCs w:val="24"/>
        </w:rPr>
        <w:t>cale</w:t>
      </w:r>
      <w:r w:rsidR="0096667D">
        <w:rPr>
          <w:rFonts w:cs="Times New Roman"/>
          <w:szCs w:val="24"/>
        </w:rPr>
        <w:t>.</w:t>
      </w:r>
      <w:r>
        <w:rPr>
          <w:rFonts w:cs="Times New Roman"/>
          <w:szCs w:val="24"/>
        </w:rPr>
        <w:t xml:space="preserve"> </w:t>
      </w:r>
      <w:r w:rsidR="002D0845">
        <w:rPr>
          <w:rFonts w:cs="Times New Roman"/>
          <w:szCs w:val="24"/>
        </w:rPr>
        <w:t>R</w:t>
      </w:r>
      <w:r w:rsidR="002D0845" w:rsidRPr="00A20B39">
        <w:rPr>
          <w:rFonts w:cs="Times New Roman"/>
          <w:szCs w:val="24"/>
        </w:rPr>
        <w:t>elative to</w:t>
      </w:r>
      <w:r w:rsidR="002D0845">
        <w:rPr>
          <w:rFonts w:cs="Times New Roman"/>
          <w:szCs w:val="24"/>
        </w:rPr>
        <w:t xml:space="preserve"> the</w:t>
      </w:r>
      <w:r w:rsidR="002D0845" w:rsidRPr="00A20B39">
        <w:rPr>
          <w:rFonts w:cs="Times New Roman"/>
          <w:szCs w:val="24"/>
        </w:rPr>
        <w:t xml:space="preserve"> </w:t>
      </w:r>
      <w:r w:rsidR="002D0845">
        <w:rPr>
          <w:rFonts w:cs="Times New Roman"/>
          <w:szCs w:val="24"/>
        </w:rPr>
        <w:t>PST group, the</w:t>
      </w:r>
      <w:r w:rsidR="002D0845" w:rsidRPr="00A20B39">
        <w:rPr>
          <w:rFonts w:cs="Times New Roman"/>
          <w:szCs w:val="24"/>
        </w:rPr>
        <w:t xml:space="preserve"> </w:t>
      </w:r>
      <w:r w:rsidR="002D0845">
        <w:rPr>
          <w:rFonts w:cs="Times New Roman"/>
          <w:szCs w:val="24"/>
        </w:rPr>
        <w:t xml:space="preserve">AEBT-TTM group </w:t>
      </w:r>
      <w:r w:rsidR="002D0845" w:rsidRPr="00A20B39">
        <w:rPr>
          <w:rFonts w:cs="Times New Roman"/>
          <w:szCs w:val="24"/>
        </w:rPr>
        <w:t>demonst</w:t>
      </w:r>
      <w:r w:rsidR="002D0845">
        <w:rPr>
          <w:rFonts w:cs="Times New Roman"/>
          <w:szCs w:val="24"/>
        </w:rPr>
        <w:t>r</w:t>
      </w:r>
      <w:r w:rsidR="002D0845" w:rsidRPr="00A20B39">
        <w:rPr>
          <w:rFonts w:cs="Times New Roman"/>
          <w:szCs w:val="24"/>
        </w:rPr>
        <w:t>ated significantly greater</w:t>
      </w:r>
      <w:r w:rsidR="002D0845">
        <w:rPr>
          <w:rFonts w:cs="Times New Roman"/>
          <w:szCs w:val="24"/>
        </w:rPr>
        <w:t xml:space="preserve"> pre- to post-treatment</w:t>
      </w:r>
      <w:r w:rsidR="002D0845" w:rsidRPr="00A20B39">
        <w:rPr>
          <w:rFonts w:cs="Times New Roman"/>
          <w:szCs w:val="24"/>
        </w:rPr>
        <w:t xml:space="preserve"> reduction</w:t>
      </w:r>
      <w:r w:rsidR="002D0845">
        <w:rPr>
          <w:rFonts w:cs="Times New Roman"/>
          <w:szCs w:val="24"/>
        </w:rPr>
        <w:t>s</w:t>
      </w:r>
      <w:r w:rsidR="002D0845" w:rsidRPr="00A20B39">
        <w:rPr>
          <w:rFonts w:cs="Times New Roman"/>
          <w:szCs w:val="24"/>
        </w:rPr>
        <w:t xml:space="preserve"> </w:t>
      </w:r>
      <w:r w:rsidR="002D0845">
        <w:rPr>
          <w:rFonts w:cs="Times New Roman"/>
          <w:szCs w:val="24"/>
        </w:rPr>
        <w:t>o</w:t>
      </w:r>
      <w:r w:rsidR="002D0845" w:rsidRPr="00A20B39">
        <w:rPr>
          <w:rFonts w:cs="Times New Roman"/>
          <w:szCs w:val="24"/>
        </w:rPr>
        <w:t xml:space="preserve">n </w:t>
      </w:r>
      <w:r w:rsidR="002D0845">
        <w:rPr>
          <w:rFonts w:cs="Times New Roman"/>
          <w:szCs w:val="24"/>
        </w:rPr>
        <w:t xml:space="preserve">the self-report </w:t>
      </w:r>
      <w:r w:rsidR="002D0845" w:rsidRPr="008D0821">
        <w:rPr>
          <w:rFonts w:cs="Times New Roman"/>
          <w:szCs w:val="24"/>
        </w:rPr>
        <w:t>Massachusetts General Hospital-Hairpulling Scale</w:t>
      </w:r>
      <w:r w:rsidR="002D0845">
        <w:rPr>
          <w:rFonts w:cs="Times New Roman"/>
          <w:szCs w:val="24"/>
        </w:rPr>
        <w:t xml:space="preserve"> (MGH-HS) and the evaluator-rated </w:t>
      </w:r>
      <w:r w:rsidR="002D0845" w:rsidRPr="008D0821">
        <w:rPr>
          <w:rFonts w:cs="Times New Roman"/>
          <w:szCs w:val="24"/>
        </w:rPr>
        <w:t xml:space="preserve">National Institute of Mental Health Trichotillomania Severity Scale </w:t>
      </w:r>
      <w:r w:rsidR="002D0845">
        <w:rPr>
          <w:rFonts w:cs="Times New Roman"/>
          <w:szCs w:val="24"/>
        </w:rPr>
        <w:t xml:space="preserve">(NIMH-TSS). </w:t>
      </w:r>
      <w:r w:rsidR="00DE7040">
        <w:rPr>
          <w:rFonts w:cs="Times New Roman"/>
          <w:szCs w:val="24"/>
        </w:rPr>
        <w:t>There were no</w:t>
      </w:r>
      <w:r>
        <w:rPr>
          <w:rFonts w:cs="Times New Roman"/>
          <w:szCs w:val="24"/>
        </w:rPr>
        <w:t xml:space="preserve"> </w:t>
      </w:r>
      <w:r w:rsidRPr="0003603C">
        <w:rPr>
          <w:rFonts w:cs="Times New Roman"/>
          <w:szCs w:val="24"/>
        </w:rPr>
        <w:t>significant post-treatment group differences</w:t>
      </w:r>
      <w:r w:rsidR="008B1444">
        <w:rPr>
          <w:rFonts w:cs="Times New Roman"/>
          <w:szCs w:val="24"/>
        </w:rPr>
        <w:t xml:space="preserve"> on</w:t>
      </w:r>
      <w:r w:rsidRPr="0003603C">
        <w:rPr>
          <w:rFonts w:cs="Times New Roman"/>
          <w:szCs w:val="24"/>
        </w:rPr>
        <w:t xml:space="preserve"> </w:t>
      </w:r>
      <w:r w:rsidR="00274E5C">
        <w:rPr>
          <w:rFonts w:cs="Times New Roman"/>
          <w:szCs w:val="24"/>
        </w:rPr>
        <w:t>the Clinical Global Impressions-Severity (CGI-S) scale,</w:t>
      </w:r>
      <w:r w:rsidR="0096667D">
        <w:rPr>
          <w:rFonts w:cs="Times New Roman"/>
          <w:szCs w:val="24"/>
        </w:rPr>
        <w:t xml:space="preserve"> or </w:t>
      </w:r>
      <w:r w:rsidR="00DC6A89">
        <w:rPr>
          <w:rFonts w:cs="Times New Roman"/>
          <w:szCs w:val="24"/>
        </w:rPr>
        <w:t xml:space="preserve">rate of </w:t>
      </w:r>
      <w:r w:rsidRPr="0003603C">
        <w:rPr>
          <w:rFonts w:cs="Times New Roman"/>
          <w:szCs w:val="24"/>
        </w:rPr>
        <w:t>TTM diagnos</w:t>
      </w:r>
      <w:r w:rsidR="00DC6A89">
        <w:rPr>
          <w:rFonts w:cs="Times New Roman"/>
          <w:szCs w:val="24"/>
        </w:rPr>
        <w:t>e</w:t>
      </w:r>
      <w:r w:rsidRPr="0003603C">
        <w:rPr>
          <w:rFonts w:cs="Times New Roman"/>
          <w:szCs w:val="24"/>
        </w:rPr>
        <w:t>s</w:t>
      </w:r>
      <w:r w:rsidR="00274E5C">
        <w:rPr>
          <w:rFonts w:cs="Times New Roman"/>
          <w:szCs w:val="24"/>
        </w:rPr>
        <w:t xml:space="preserve">. </w:t>
      </w:r>
      <w:r w:rsidR="00FB1FA6">
        <w:rPr>
          <w:rFonts w:cs="Times New Roman"/>
          <w:szCs w:val="24"/>
        </w:rPr>
        <w:t>R</w:t>
      </w:r>
      <w:r w:rsidR="00E17FC1">
        <w:rPr>
          <w:rFonts w:cs="Times New Roman"/>
          <w:szCs w:val="24"/>
        </w:rPr>
        <w:t xml:space="preserve">esults suggest </w:t>
      </w:r>
      <w:r>
        <w:rPr>
          <w:rFonts w:cs="Times New Roman"/>
          <w:szCs w:val="24"/>
        </w:rPr>
        <w:t>AEBT-TTM provide</w:t>
      </w:r>
      <w:r w:rsidR="00E17FC1">
        <w:rPr>
          <w:rFonts w:cs="Times New Roman"/>
          <w:szCs w:val="24"/>
        </w:rPr>
        <w:t>s</w:t>
      </w:r>
      <w:r w:rsidR="00750F27">
        <w:rPr>
          <w:rFonts w:cs="Times New Roman"/>
          <w:szCs w:val="24"/>
        </w:rPr>
        <w:t xml:space="preserve"> greater</w:t>
      </w:r>
      <w:r>
        <w:rPr>
          <w:rFonts w:cs="Times New Roman"/>
          <w:szCs w:val="24"/>
        </w:rPr>
        <w:t xml:space="preserve"> treatment benefit </w:t>
      </w:r>
      <w:r w:rsidR="00750F27">
        <w:rPr>
          <w:rFonts w:cs="Times New Roman"/>
          <w:szCs w:val="24"/>
        </w:rPr>
        <w:t>than</w:t>
      </w:r>
      <w:r>
        <w:rPr>
          <w:rFonts w:cs="Times New Roman"/>
          <w:szCs w:val="24"/>
        </w:rPr>
        <w:t xml:space="preserve"> PST. Future research should </w:t>
      </w:r>
      <w:r w:rsidR="00E17FC1">
        <w:rPr>
          <w:rFonts w:cs="Times New Roman"/>
          <w:szCs w:val="24"/>
        </w:rPr>
        <w:t xml:space="preserve">continue to </w:t>
      </w:r>
      <w:r>
        <w:rPr>
          <w:rFonts w:cs="Times New Roman"/>
          <w:szCs w:val="24"/>
        </w:rPr>
        <w:t>investigate</w:t>
      </w:r>
      <w:r w:rsidR="00E17FC1">
        <w:rPr>
          <w:rFonts w:cs="Times New Roman"/>
          <w:szCs w:val="24"/>
        </w:rPr>
        <w:t xml:space="preserve"> AEBT-TTM</w:t>
      </w:r>
      <w:r w:rsidR="00750F27">
        <w:rPr>
          <w:rFonts w:cs="Times New Roman"/>
          <w:szCs w:val="24"/>
        </w:rPr>
        <w:t xml:space="preserve"> along with</w:t>
      </w:r>
      <w:r>
        <w:rPr>
          <w:rFonts w:cs="Times New Roman"/>
          <w:szCs w:val="24"/>
        </w:rPr>
        <w:t xml:space="preserve"> mediators and moderators of </w:t>
      </w:r>
      <w:r w:rsidR="00C67FF0">
        <w:rPr>
          <w:rFonts w:cs="Times New Roman"/>
          <w:szCs w:val="24"/>
        </w:rPr>
        <w:t>its</w:t>
      </w:r>
      <w:r>
        <w:rPr>
          <w:rFonts w:cs="Times New Roman"/>
          <w:szCs w:val="24"/>
        </w:rPr>
        <w:t xml:space="preserve"> efficacy.</w:t>
      </w:r>
    </w:p>
    <w:p w14:paraId="3D414889" w14:textId="46723E08" w:rsidR="002769CC" w:rsidRDefault="002769CC" w:rsidP="00CF2EEA">
      <w:pPr>
        <w:widowControl w:val="0"/>
        <w:spacing w:line="480" w:lineRule="auto"/>
        <w:rPr>
          <w:rFonts w:cs="Times New Roman"/>
          <w:i/>
          <w:iCs/>
          <w:szCs w:val="24"/>
        </w:rPr>
      </w:pPr>
      <w:bookmarkStart w:id="0" w:name="_Hlk520454630"/>
      <w:r>
        <w:rPr>
          <w:rFonts w:cs="Times New Roman"/>
          <w:szCs w:val="24"/>
        </w:rPr>
        <w:tab/>
      </w:r>
      <w:r>
        <w:rPr>
          <w:rFonts w:cs="Times New Roman"/>
          <w:i/>
          <w:iCs/>
          <w:szCs w:val="24"/>
        </w:rPr>
        <w:t xml:space="preserve">Keywords: </w:t>
      </w:r>
      <w:r w:rsidR="00F6493B">
        <w:rPr>
          <w:rFonts w:cs="Times New Roman"/>
          <w:i/>
          <w:iCs/>
          <w:szCs w:val="24"/>
        </w:rPr>
        <w:t>behavior therapy, habits, trichotillomania, treatment effectiveness, mindfulness, obsessive compulsive disorder</w:t>
      </w:r>
    </w:p>
    <w:p w14:paraId="5C957A94" w14:textId="607B4E53" w:rsidR="002769CC" w:rsidRDefault="002769CC">
      <w:pPr>
        <w:spacing w:after="200" w:line="276" w:lineRule="auto"/>
        <w:rPr>
          <w:rFonts w:cs="Times New Roman"/>
          <w:i/>
          <w:iCs/>
          <w:szCs w:val="24"/>
        </w:rPr>
      </w:pPr>
      <w:r>
        <w:rPr>
          <w:rFonts w:cs="Times New Roman"/>
          <w:i/>
          <w:iCs/>
          <w:szCs w:val="24"/>
        </w:rPr>
        <w:br w:type="page"/>
      </w:r>
    </w:p>
    <w:bookmarkEnd w:id="0"/>
    <w:p w14:paraId="45665574" w14:textId="77777777" w:rsidR="005B3F05" w:rsidRPr="005B3F05" w:rsidRDefault="005B3F05" w:rsidP="00CF2EEA">
      <w:pPr>
        <w:pStyle w:val="Heading1"/>
        <w:keepNext w:val="0"/>
        <w:keepLines w:val="0"/>
        <w:widowControl w:val="0"/>
        <w:spacing w:line="480" w:lineRule="auto"/>
        <w:rPr>
          <w:b w:val="0"/>
        </w:rPr>
      </w:pPr>
      <w:r w:rsidRPr="005B3F05">
        <w:rPr>
          <w:b w:val="0"/>
        </w:rPr>
        <w:lastRenderedPageBreak/>
        <w:t>Acceptance-Enhanced Behavior Therapy for Trichotillomania in Adults: A Randomized Clinical Trial</w:t>
      </w:r>
    </w:p>
    <w:p w14:paraId="6675D797" w14:textId="2BBAB73A" w:rsidR="00A20B39" w:rsidRPr="00A20B39" w:rsidRDefault="00A20B39" w:rsidP="00CF2EEA">
      <w:pPr>
        <w:widowControl w:val="0"/>
        <w:spacing w:line="480" w:lineRule="auto"/>
        <w:ind w:firstLine="720"/>
        <w:rPr>
          <w:rFonts w:eastAsia="Times New Roman" w:cs="Times New Roman"/>
          <w:szCs w:val="24"/>
        </w:rPr>
      </w:pPr>
      <w:r w:rsidRPr="00A20B39">
        <w:rPr>
          <w:rFonts w:eastAsia="Times New Roman" w:cs="Times New Roman"/>
          <w:szCs w:val="24"/>
        </w:rPr>
        <w:t>Trichotillomania (</w:t>
      </w:r>
      <w:r w:rsidR="00B87903">
        <w:rPr>
          <w:rFonts w:eastAsia="Times New Roman" w:cs="Times New Roman"/>
          <w:szCs w:val="24"/>
        </w:rPr>
        <w:t>TTM</w:t>
      </w:r>
      <w:r w:rsidR="00590B3B">
        <w:rPr>
          <w:rFonts w:eastAsia="Times New Roman" w:cs="Times New Roman"/>
          <w:szCs w:val="24"/>
        </w:rPr>
        <w:t>)</w:t>
      </w:r>
      <w:r w:rsidR="00C9783C">
        <w:rPr>
          <w:rFonts w:eastAsia="Times New Roman" w:cs="Times New Roman"/>
          <w:szCs w:val="24"/>
        </w:rPr>
        <w:t>, also known as Hair</w:t>
      </w:r>
      <w:r w:rsidR="00137213">
        <w:rPr>
          <w:rFonts w:eastAsia="Times New Roman" w:cs="Times New Roman"/>
          <w:szCs w:val="24"/>
        </w:rPr>
        <w:t>-</w:t>
      </w:r>
      <w:r w:rsidR="00C9783C">
        <w:rPr>
          <w:rFonts w:eastAsia="Times New Roman" w:cs="Times New Roman"/>
          <w:szCs w:val="24"/>
        </w:rPr>
        <w:t>Pulling Disorder,</w:t>
      </w:r>
      <w:r w:rsidR="00590B3B">
        <w:rPr>
          <w:rFonts w:eastAsia="Times New Roman" w:cs="Times New Roman"/>
          <w:szCs w:val="24"/>
        </w:rPr>
        <w:t xml:space="preserve"> involves</w:t>
      </w:r>
      <w:r w:rsidRPr="00A20B39">
        <w:rPr>
          <w:rFonts w:eastAsia="Times New Roman" w:cs="Times New Roman"/>
          <w:szCs w:val="24"/>
        </w:rPr>
        <w:t xml:space="preserve"> repeated</w:t>
      </w:r>
      <w:r w:rsidR="00AD6337">
        <w:rPr>
          <w:rFonts w:eastAsia="Times New Roman" w:cs="Times New Roman"/>
          <w:szCs w:val="24"/>
        </w:rPr>
        <w:t xml:space="preserve"> hair</w:t>
      </w:r>
      <w:r w:rsidRPr="00A20B39">
        <w:rPr>
          <w:rFonts w:eastAsia="Times New Roman" w:cs="Times New Roman"/>
          <w:szCs w:val="24"/>
        </w:rPr>
        <w:t xml:space="preserve"> pulling</w:t>
      </w:r>
      <w:r w:rsidR="00590B3B">
        <w:rPr>
          <w:rFonts w:eastAsia="Times New Roman" w:cs="Times New Roman"/>
          <w:szCs w:val="24"/>
        </w:rPr>
        <w:t xml:space="preserve"> that (a)</w:t>
      </w:r>
      <w:r w:rsidRPr="00A20B39">
        <w:rPr>
          <w:rFonts w:eastAsia="Times New Roman" w:cs="Times New Roman"/>
          <w:szCs w:val="24"/>
        </w:rPr>
        <w:t xml:space="preserve"> </w:t>
      </w:r>
      <w:r w:rsidR="00590B3B">
        <w:rPr>
          <w:rFonts w:eastAsia="Times New Roman" w:cs="Times New Roman"/>
          <w:szCs w:val="24"/>
        </w:rPr>
        <w:t>results</w:t>
      </w:r>
      <w:r w:rsidRPr="00A20B39">
        <w:rPr>
          <w:rFonts w:eastAsia="Times New Roman" w:cs="Times New Roman"/>
          <w:szCs w:val="24"/>
        </w:rPr>
        <w:t xml:space="preserve"> in hair loss, (b) </w:t>
      </w:r>
      <w:r w:rsidR="00590B3B">
        <w:rPr>
          <w:rFonts w:eastAsia="Times New Roman" w:cs="Times New Roman"/>
          <w:szCs w:val="24"/>
        </w:rPr>
        <w:t xml:space="preserve">continues despite </w:t>
      </w:r>
      <w:r w:rsidR="00B87903">
        <w:rPr>
          <w:rFonts w:eastAsia="Times New Roman" w:cs="Times New Roman"/>
          <w:szCs w:val="24"/>
        </w:rPr>
        <w:t xml:space="preserve">recurrent attempts to stop, </w:t>
      </w:r>
      <w:r w:rsidR="00590B3B">
        <w:rPr>
          <w:rFonts w:eastAsia="Times New Roman" w:cs="Times New Roman"/>
          <w:szCs w:val="24"/>
        </w:rPr>
        <w:t xml:space="preserve">and </w:t>
      </w:r>
      <w:r w:rsidR="00B87903">
        <w:rPr>
          <w:rFonts w:eastAsia="Times New Roman" w:cs="Times New Roman"/>
          <w:szCs w:val="24"/>
        </w:rPr>
        <w:t xml:space="preserve">(c) </w:t>
      </w:r>
      <w:r w:rsidR="00590B3B">
        <w:rPr>
          <w:rFonts w:eastAsia="Times New Roman" w:cs="Times New Roman"/>
          <w:szCs w:val="24"/>
        </w:rPr>
        <w:t xml:space="preserve">causes </w:t>
      </w:r>
      <w:r w:rsidR="00B87903">
        <w:rPr>
          <w:rFonts w:eastAsia="Times New Roman" w:cs="Times New Roman"/>
          <w:szCs w:val="24"/>
        </w:rPr>
        <w:t>significant distress or impairment</w:t>
      </w:r>
      <w:r w:rsidR="000A50C1">
        <w:rPr>
          <w:rFonts w:eastAsia="Times New Roman" w:cs="Times New Roman"/>
          <w:szCs w:val="24"/>
        </w:rPr>
        <w:t xml:space="preserve"> </w:t>
      </w:r>
      <w:r w:rsidR="0049140D">
        <w:rPr>
          <w:rFonts w:eastAsia="Times New Roman" w:cs="Times New Roman"/>
          <w:szCs w:val="24"/>
        </w:rPr>
        <w:fldChar w:fldCharType="begin" w:fldLock="1"/>
      </w:r>
      <w:r w:rsidR="00C064BE">
        <w:rPr>
          <w:rFonts w:eastAsia="Times New Roman" w:cs="Times New Roman"/>
          <w:szCs w:val="24"/>
        </w:rPr>
        <w:instrText>ADDIN CSL_CITATION {"citationItems":[{"id":"ITEM-1","itemData":{"author":[{"dropping-particle":"","family":"American Psychiatric Association","given":"","non-dropping-particle":"","parse-names":false,"suffix":""}],"edition":"5","id":"ITEM-1","issued":{"date-parts":[["2013"]]},"publisher":"Author","publisher-place":"Washington, DC","title":"Diagnostic and statistical manual of mental disorders","type":"book"},"uris":["http://www.mendeley.com/documents/?uuid=f6dfdf38-aaa0-447c-a44a-45cc2f5e6f61"]}],"mendeley":{"formattedCitation":"(American Psychiatric Association, 2013)","plainTextFormattedCitation":"(American Psychiatric Association, 2013)","previouslyFormattedCitation":"(American Psychiatric Association, 2013)"},"properties":{"noteIndex":0},"schema":"https://github.com/citation-style-language/schema/raw/master/csl-citation.json"}</w:instrText>
      </w:r>
      <w:r w:rsidR="0049140D">
        <w:rPr>
          <w:rFonts w:eastAsia="Times New Roman" w:cs="Times New Roman"/>
          <w:szCs w:val="24"/>
        </w:rPr>
        <w:fldChar w:fldCharType="separate"/>
      </w:r>
      <w:r w:rsidR="00C064BE" w:rsidRPr="00C064BE">
        <w:rPr>
          <w:rFonts w:eastAsia="Times New Roman" w:cs="Times New Roman"/>
          <w:noProof/>
          <w:szCs w:val="24"/>
        </w:rPr>
        <w:t>(American Psychiatric Association, 2013)</w:t>
      </w:r>
      <w:r w:rsidR="0049140D">
        <w:rPr>
          <w:rFonts w:eastAsia="Times New Roman" w:cs="Times New Roman"/>
          <w:szCs w:val="24"/>
        </w:rPr>
        <w:fldChar w:fldCharType="end"/>
      </w:r>
      <w:r w:rsidR="000A50C1">
        <w:rPr>
          <w:rFonts w:eastAsia="Times New Roman" w:cs="Times New Roman"/>
          <w:szCs w:val="24"/>
        </w:rPr>
        <w:t>.</w:t>
      </w:r>
      <w:r w:rsidR="00B87903">
        <w:rPr>
          <w:rFonts w:eastAsia="Times New Roman" w:cs="Times New Roman"/>
          <w:szCs w:val="24"/>
        </w:rPr>
        <w:t xml:space="preserve"> </w:t>
      </w:r>
      <w:r w:rsidR="00C9783C">
        <w:rPr>
          <w:rFonts w:eastAsia="Times New Roman" w:cs="Times New Roman"/>
          <w:szCs w:val="24"/>
        </w:rPr>
        <w:t>TTM-associated impairment can be physical and psychosocial</w:t>
      </w:r>
      <w:r w:rsidR="000A50C1">
        <w:rPr>
          <w:rFonts w:eastAsia="Times New Roman" w:cs="Times New Roman"/>
          <w:szCs w:val="24"/>
        </w:rPr>
        <w:t xml:space="preserve"> </w:t>
      </w:r>
      <w:r w:rsidR="00C9783C">
        <w:rPr>
          <w:rFonts w:eastAsia="Times New Roman" w:cs="Times New Roman"/>
          <w:szCs w:val="24"/>
        </w:rPr>
        <w:fldChar w:fldCharType="begin" w:fldLock="1"/>
      </w:r>
      <w:r w:rsidR="00C064BE">
        <w:rPr>
          <w:rFonts w:eastAsia="Times New Roman" w:cs="Times New Roman"/>
          <w:szCs w:val="24"/>
        </w:rPr>
        <w:instrText>ADDIN CSL_CITATION {"citationItems":[{"id":"ITEM-1","itemData":{"DOI":"10.4088/JCP.v67n1207","ISBN":"1555-2101","ISSN":"01606689","PMID":"17194265","abstract":"BACKGROUND: Trichotillomania (TTM) occurs in 0.6% to 3.4% of adults. Questions remain about phenomenological features of the disorder, its impact on functioning, and treatment utilization. The current study (i.e., The Trichotillomania Impact Project) was designed to provide initial information regarding these issues. METHOD: An Internet-based survey was completed by 1697 individuals who self-reported symptoms consistent with a diagnosis of TTM (DSM-IV-TR). The survey assessed phenomenological experiences; social, occupational, academic, and psychological impact; as well as treatment-seeking experiences. The survey link operated from April 2005 through May 2005. RESULTS: Survey results suggest considerable variability in TTM phenomenology. Individuals with more severe TTM symptoms endorsed more frequent phenomenological experiences of physical or mental anxiety prior to pulling and relief, pleasure, or gratification after pulling. Mild to moderate life impairment in social, occupational, academic, and psychological functioning was reported for the entire study sample. These impairments were more pronounced as TTM symptoms became more severe. A summary of treatment seeking in the sample suggests that pharmacotherapy was the most commonly received treatment, followed by behavior therapy. Unfortunately, treatment in general was perceived as relatively ineffective. CONCLUSION: This study underscores the clinical significance of severe hair pulling and highlights the need for research on its pathogenesis and treatment.","author":[{"dropping-particle":"","family":"Woods","given":"Douglas W.","non-dropping-particle":"","parse-names":false,"suffix":""},{"dropping-particle":"","family":"Flessner","given":"Christopher A.","non-dropping-particle":"","parse-names":false,"suffix":""},{"dropping-particle":"","family":"Franklin","given":"Martin E.","non-dropping-particle":"","parse-names":false,"suffix":""},{"dropping-particle":"","family":"Keuthen","given":"Nancy J.","non-dropping-particle":"","parse-names":false,"suffix":""},{"dropping-particle":"","family":"Goodwin","given":"Renee D.","non-dropping-particle":"","parse-names":false,"suffix":""},{"dropping-particle":"","family":"Stein","given":"Dan J.","non-dropping-particle":"","parse-names":false,"suffix":""},{"dropping-particle":"","family":"Walther","given":"Michael R.","non-dropping-particle":"","parse-names":false,"suffix":""}],"container-title":"Journal of Clinical Psychiatry","id":"ITEM-1","issue":"12","issued":{"date-parts":[["2006"]]},"page":"1877-1888","title":"The Trichotillomania Impact Project (TIP): Exploring phenomenology, functional impairment, and treatment utilization","type":"article-journal","volume":"67"},"uris":["http://www.mendeley.com/documents/?uuid=bdee208b-ed38-4168-bf8c-1ac490ff32a9"]}],"mendeley":{"formattedCitation":"(Woods, Flessner, et al., 2006)","plainTextFormattedCitation":"(Woods, Flessner, et al., 2006)","previouslyFormattedCitation":"(Woods, Flessner, et al., 2006)"},"properties":{"noteIndex":0},"schema":"https://github.com/citation-style-language/schema/raw/master/csl-citation.json"}</w:instrText>
      </w:r>
      <w:r w:rsidR="00C9783C">
        <w:rPr>
          <w:rFonts w:eastAsia="Times New Roman" w:cs="Times New Roman"/>
          <w:szCs w:val="24"/>
        </w:rPr>
        <w:fldChar w:fldCharType="separate"/>
      </w:r>
      <w:r w:rsidR="00C064BE" w:rsidRPr="00C064BE">
        <w:rPr>
          <w:rFonts w:eastAsia="Times New Roman" w:cs="Times New Roman"/>
          <w:noProof/>
          <w:szCs w:val="24"/>
        </w:rPr>
        <w:t>(Woods, Flessner, et al., 2006)</w:t>
      </w:r>
      <w:r w:rsidR="00C9783C">
        <w:rPr>
          <w:rFonts w:eastAsia="Times New Roman" w:cs="Times New Roman"/>
          <w:szCs w:val="24"/>
        </w:rPr>
        <w:fldChar w:fldCharType="end"/>
      </w:r>
      <w:r w:rsidR="000A50C1">
        <w:rPr>
          <w:rFonts w:eastAsia="Times New Roman" w:cs="Times New Roman"/>
          <w:szCs w:val="24"/>
        </w:rPr>
        <w:t xml:space="preserve">. </w:t>
      </w:r>
      <w:r w:rsidR="00491A76">
        <w:rPr>
          <w:rFonts w:eastAsia="Times New Roman" w:cs="Times New Roman"/>
          <w:szCs w:val="24"/>
        </w:rPr>
        <w:t xml:space="preserve">The disorder </w:t>
      </w:r>
      <w:r w:rsidR="00B87903">
        <w:rPr>
          <w:rFonts w:eastAsia="Times New Roman" w:cs="Times New Roman"/>
          <w:szCs w:val="24"/>
        </w:rPr>
        <w:t xml:space="preserve">occurs in </w:t>
      </w:r>
      <w:r w:rsidR="00C15112">
        <w:rPr>
          <w:rFonts w:eastAsia="Times New Roman" w:cs="Times New Roman"/>
          <w:szCs w:val="24"/>
        </w:rPr>
        <w:t>approximately 1%</w:t>
      </w:r>
      <w:r w:rsidRPr="00A20B39">
        <w:rPr>
          <w:rFonts w:eastAsia="Times New Roman" w:cs="Times New Roman"/>
          <w:szCs w:val="24"/>
        </w:rPr>
        <w:t xml:space="preserve"> of the population</w:t>
      </w:r>
      <w:r w:rsidR="000A50C1">
        <w:rPr>
          <w:rFonts w:eastAsia="Times New Roman" w:cs="Times New Roman"/>
          <w:szCs w:val="24"/>
        </w:rPr>
        <w:t>,</w:t>
      </w:r>
      <w:r w:rsidRPr="00A20B39">
        <w:rPr>
          <w:rFonts w:eastAsia="Times New Roman" w:cs="Times New Roman"/>
          <w:szCs w:val="24"/>
        </w:rPr>
        <w:t xml:space="preserve"> is more common in women</w:t>
      </w:r>
      <w:r w:rsidR="000A50C1">
        <w:rPr>
          <w:rFonts w:eastAsia="Times New Roman" w:cs="Times New Roman"/>
          <w:szCs w:val="24"/>
        </w:rPr>
        <w:t>,</w:t>
      </w:r>
      <w:r w:rsidRPr="00A20B39">
        <w:rPr>
          <w:rFonts w:eastAsia="Times New Roman" w:cs="Times New Roman"/>
          <w:szCs w:val="24"/>
        </w:rPr>
        <w:t xml:space="preserve"> and </w:t>
      </w:r>
      <w:r w:rsidR="00E07A6E">
        <w:rPr>
          <w:rFonts w:eastAsia="Times New Roman" w:cs="Times New Roman"/>
          <w:szCs w:val="24"/>
        </w:rPr>
        <w:t xml:space="preserve">typically </w:t>
      </w:r>
      <w:r w:rsidR="001F162D">
        <w:rPr>
          <w:rFonts w:eastAsia="Times New Roman" w:cs="Times New Roman"/>
          <w:szCs w:val="24"/>
        </w:rPr>
        <w:t xml:space="preserve">begins around </w:t>
      </w:r>
      <w:r w:rsidRPr="00A20B39">
        <w:rPr>
          <w:rFonts w:eastAsia="Times New Roman" w:cs="Times New Roman"/>
          <w:szCs w:val="24"/>
        </w:rPr>
        <w:t>13 years</w:t>
      </w:r>
      <w:r w:rsidR="001F162D">
        <w:rPr>
          <w:rFonts w:eastAsia="Times New Roman" w:cs="Times New Roman"/>
          <w:szCs w:val="24"/>
        </w:rPr>
        <w:t xml:space="preserve"> of age</w:t>
      </w:r>
      <w:r w:rsidR="000A50C1">
        <w:rPr>
          <w:rFonts w:eastAsia="Times New Roman" w:cs="Times New Roman"/>
          <w:szCs w:val="24"/>
        </w:rPr>
        <w:t xml:space="preserve"> </w:t>
      </w:r>
      <w:r w:rsidR="006F044D">
        <w:rPr>
          <w:rFonts w:eastAsia="Times New Roman" w:cs="Times New Roman"/>
          <w:szCs w:val="24"/>
          <w:vertAlign w:val="superscript"/>
        </w:rPr>
        <w:fldChar w:fldCharType="begin" w:fldLock="1"/>
      </w:r>
      <w:r w:rsidR="00C064BE">
        <w:rPr>
          <w:rFonts w:eastAsia="Times New Roman" w:cs="Times New Roman"/>
          <w:szCs w:val="24"/>
          <w:vertAlign w:val="superscript"/>
        </w:rPr>
        <w:instrText>ADDIN CSL_CITATION {"citationItems":[{"id":"ITEM-1","itemData":{"DOI":"10.1016/j.cpr.2009.10.008","ISBN":"1873-7811","ISSN":"02727358","PMID":"19926375","abstract":"This review provides a broad and thorough synthesis of the Trichotillomania (TTM) literature as a resource for health professionals seeking the most current and complete information available. For the treatment provider, up to date information can help inform assessment, treatment, or referral decisions. For the student, this review provides a general overview and broad background information necessary to better understand hair-pulling and associated problems. For the researcher, information can help inform study planning. Prevalence, gender distributions, comorbidities, subtypes, and phenomenological characteristics are presented. Etiological theories are reviewed, and assessment and treatment options are offered. The validity of current DSM requirements is discussed and psychological and psychiatric treatment options are presented and evaluated for their strength of recommendation. Challenges to research and treatment are presented and directions for future research are suggested. © 2009 Elsevier Ltd. All rights reserved.","author":[{"dropping-particle":"","family":"Duke","given":"Danny C.","non-dropping-particle":"","parse-names":false,"suffix":""},{"dropping-particle":"","family":"Keeley","given":"Mary L.","non-dropping-particle":"","parse-names":false,"suffix":""},{"dropping-particle":"","family":"Geffken","given":"Gary R.","non-dropping-particle":"","parse-names":false,"suffix":""},{"dropping-particle":"","family":"Storch","given":"Eric A.","non-dropping-particle":"","parse-names":false,"suffix":""}],"container-title":"Clinical Psychology Review","id":"ITEM-1","issue":"2","issued":{"date-parts":[["2010"]]},"page":"181-193","title":"Trichotillomania: A current review","type":"article-journal","volume":"30"},"uris":["http://www.mendeley.com/documents/?uuid=feb34cba-5cef-4a4d-bec5-f662226e875b"]}],"mendeley":{"formattedCitation":"(Duke et al., 2010)","plainTextFormattedCitation":"(Duke et al., 2010)","previouslyFormattedCitation":"(Duke et al., 2010)"},"properties":{"noteIndex":0},"schema":"https://github.com/citation-style-language/schema/raw/master/csl-citation.json"}</w:instrText>
      </w:r>
      <w:r w:rsidR="006F044D">
        <w:rPr>
          <w:rFonts w:eastAsia="Times New Roman" w:cs="Times New Roman"/>
          <w:szCs w:val="24"/>
          <w:vertAlign w:val="superscript"/>
        </w:rPr>
        <w:fldChar w:fldCharType="separate"/>
      </w:r>
      <w:r w:rsidR="00C064BE" w:rsidRPr="00C064BE">
        <w:rPr>
          <w:rFonts w:eastAsia="Times New Roman" w:cs="Times New Roman"/>
          <w:noProof/>
          <w:szCs w:val="24"/>
        </w:rPr>
        <w:t>(Duke et al., 2010)</w:t>
      </w:r>
      <w:r w:rsidR="006F044D">
        <w:rPr>
          <w:rFonts w:eastAsia="Times New Roman" w:cs="Times New Roman"/>
          <w:szCs w:val="24"/>
          <w:vertAlign w:val="superscript"/>
        </w:rPr>
        <w:fldChar w:fldCharType="end"/>
      </w:r>
      <w:r w:rsidR="000A50C1" w:rsidRPr="000A50C1">
        <w:rPr>
          <w:rFonts w:eastAsia="Times New Roman" w:cs="Times New Roman"/>
          <w:szCs w:val="24"/>
        </w:rPr>
        <w:t>.</w:t>
      </w:r>
      <w:r w:rsidR="000D20B8" w:rsidRPr="007660AE">
        <w:rPr>
          <w:rStyle w:val="FootnoteReference"/>
          <w:rFonts w:eastAsia="Times New Roman" w:cs="Times New Roman"/>
          <w:color w:val="FFFFFF" w:themeColor="background1"/>
          <w:szCs w:val="24"/>
        </w:rPr>
        <w:footnoteReference w:id="2"/>
      </w:r>
    </w:p>
    <w:p w14:paraId="494CDA1A" w14:textId="6ACB0A01" w:rsidR="00D333D2" w:rsidRDefault="00C670EC" w:rsidP="00CF2EEA">
      <w:pPr>
        <w:widowControl w:val="0"/>
        <w:spacing w:line="480" w:lineRule="auto"/>
        <w:ind w:firstLine="720"/>
        <w:rPr>
          <w:rFonts w:eastAsia="Times New Roman" w:cs="Times New Roman"/>
          <w:bCs/>
          <w:szCs w:val="24"/>
        </w:rPr>
      </w:pPr>
      <w:r>
        <w:rPr>
          <w:rFonts w:eastAsia="Times New Roman" w:cs="Times New Roman"/>
          <w:iCs/>
          <w:szCs w:val="24"/>
        </w:rPr>
        <w:t xml:space="preserve">Pharmacotherapy </w:t>
      </w:r>
      <w:r w:rsidR="008E766F">
        <w:rPr>
          <w:rFonts w:eastAsia="Times New Roman" w:cs="Times New Roman"/>
          <w:iCs/>
          <w:szCs w:val="24"/>
        </w:rPr>
        <w:t xml:space="preserve">for </w:t>
      </w:r>
      <w:r w:rsidR="008E766F" w:rsidRPr="008478EE">
        <w:rPr>
          <w:rFonts w:eastAsia="Times New Roman" w:cs="Times New Roman"/>
          <w:iCs/>
          <w:szCs w:val="24"/>
        </w:rPr>
        <w:t>TTM</w:t>
      </w:r>
      <w:r w:rsidR="00142042">
        <w:rPr>
          <w:rFonts w:eastAsia="Times New Roman" w:cs="Times New Roman"/>
          <w:iCs/>
          <w:szCs w:val="24"/>
        </w:rPr>
        <w:t xml:space="preserve"> </w:t>
      </w:r>
      <w:r w:rsidR="00695698" w:rsidRPr="008478EE">
        <w:rPr>
          <w:rFonts w:eastAsia="Times New Roman" w:cs="Times New Roman"/>
          <w:szCs w:val="24"/>
        </w:rPr>
        <w:t>lacks strong supporting evidence</w:t>
      </w:r>
      <w:r w:rsidR="004B1FC7" w:rsidRPr="004B1FC7">
        <w:rPr>
          <w:rFonts w:eastAsia="Times New Roman" w:cs="Times New Roman"/>
          <w:szCs w:val="24"/>
        </w:rPr>
        <w:t xml:space="preserve"> </w:t>
      </w:r>
      <w:r w:rsidR="004B1FC7">
        <w:rPr>
          <w:rFonts w:eastAsia="Times New Roman" w:cs="Times New Roman"/>
          <w:szCs w:val="24"/>
        </w:rPr>
        <w:fldChar w:fldCharType="begin" w:fldLock="1"/>
      </w:r>
      <w:r w:rsidR="00C064BE">
        <w:rPr>
          <w:rFonts w:eastAsia="Times New Roman" w:cs="Times New Roman"/>
          <w:szCs w:val="24"/>
        </w:rPr>
        <w:instrText>ADDIN CSL_CITATION {"citationItems":[{"id":"ITEM-1","itemData":{"DOI":"10.1016/j.biopsych.2007.05.019","ISBN":"0006-3223","ISSN":"00063223","PMID":"17727824","abstract":"Trichotillomania is a psychiatric condition characterized by compulsive hair pulling. Three interventions have been studied in the treatment of trichotillomania: habit-reversal therapy (HRT) and pharmacotherapy with either selective-serotonin reuptake inhibitors (SSRI) or clomipramine. This systematic review compared the efficacy of these interventions in blinded, randomized clinical trials. The electronic databases of Medline, Premedline, PsychINFO, Embase, and the Cochrane Central Register of Controlled Trials were searched for relevant trials using the search terms \"trichotillomania\" or \"hair pulling.\" Trials were eligible for inclusion if they compared habit-reversal therapy, SSRI pharmacotherapy, or clomipramine pharmacotherapy to each other or placebo and employed randomization and blinded assessment of outcome. Our primary outcome measure was mean change in trichotillomania severity. The summary statistic was standardized mean difference. Seven studies were eligible for inclusion in this review. Overall, meta-analysis demonstrated that habit-reversal therapy (effect size [ES] = -1.14, 95% confidence interval [CI] = -1.89, -.38) was superior to pharmacotherapy with clomipramine (ES = -.68, 95% CI = -1.28, -.07) or SSRI (ES = .02, 95% CI = -.32, .35). Clomipramine was more efficacious than placebo, while there was no evidence to demonstrate that SSRI are more efficacious than placebo in the treatment of trichotillomania. Future studies on trichotillomania should seek to determine if HRT can demonstrate efficacy against more rigorous control conditions that account for non-specific effects of therapy and determine if HRT can be an effective intervention for trichotillomania beyond the few sites where it is currently practiced in research studies. Future therapy and pharmacotherapy studies in trichotillomania should employ larger sample sizes and intention-to-treat analysis and seek to validate clinical rating scales of trichotillomania severity. © 2007 Society of Biological Psychiatry.","author":[{"dropping-particle":"","family":"Bloch","given":"Michael H.","non-dropping-particle":"","parse-names":false,"suffix":""},{"dropping-particle":"","family":"Landeros-Weisenberger","given":"Angeli","non-dropping-particle":"","parse-names":false,"suffix":""},{"dropping-particle":"","family":"Dombrowski","given":"Philip","non-dropping-particle":"","parse-names":false,"suffix":""},{"dropping-particle":"","family":"Kelmendi","given":"Ben","non-dropping-particle":"","parse-names":false,"suffix":""},{"dropping-particle":"","family":"Wegner","given":"Ryan","non-dropping-particle":"","parse-names":false,"suffix":""},{"dropping-particle":"","family":"Nudel","given":"Jake","non-dropping-particle":"","parse-names":false,"suffix":""},{"dropping-particle":"","family":"Pittenger","given":"Christopher","non-dropping-particle":"","parse-names":false,"suffix":""},{"dropping-particle":"","family":"Leckman","given":"James F.","non-dropping-particle":"","parse-names":false,"suffix":""},{"dropping-particle":"","family":"Coric","given":"Vladimir","non-dropping-particle":"","parse-names":false,"suffix":""}],"container-title":"Biological Psychiatry","id":"ITEM-1","issue":"8","issued":{"date-parts":[["2007"]]},"page":"839-846","title":"Systematic review: Pharmacological and behavioral treatment for trichotillomania","type":"article-journal","volume":"62"},"uris":["http://www.mendeley.com/documents/?uuid=8db7460f-cb2c-403f-b619-952c3fa21a93"]},{"id":"ITEM-2","itemData":{"DOI":"10.1111/cp.12074","ISSN":"17429552","abstract":"© 2015 The Australian Psychological Society. Background: Trichotillomania (hair-pulling disorder) is a debilitating and distressing disorder associated with great secrecy and shame. A lack of understanding regarding interventions for Trichotillomania contributes to poor routine outcomes for the disorder. Method: This systematic review and meta-analysis assessed the efficacy of behaviourally based psychological interventions and pharmacological interventions for trichotillomania compared to a range of control groups. Participants were adults who have been diagnosed with trichotillomania. A systematic search was conducted of the Cochrane library, EBSCOhost, MEDLINE before 1966, and Google Scholar for relevant randomised controlled trials. Results: Of the total 462 records identified, 12 studies were included in the quantitative synthesis, and nine studies were included in meta-analyses. Conclusions: Analyses revealed that-from medication approaches-fluoxetine was not found to be efficacious. However, N-acetyl cysteine, clomipramine, and olanzapine showed potential for the treatment of trichotillomania. Regarding psychotherapy, behaviour therapy showed superior efficacy when compared to a passive control group. However, when behaviour therapy was compared to an active control group (progressive muscle relaxation, supportive therapy), both conditions showed similar efficacy in treating trichotillomania. It was concluded that the psychological mechanisms in trichotillomania may be more complex than the behavioural model indicates. Implications and limitations are discussed.","author":[{"dropping-particle":"","family":"Slikboer","given":"Reneta","non-dropping-particle":"","parse-names":false,"suffix":""},{"dropping-particle":"","family":"Nedeljkovic","given":"Maja","non-dropping-particle":"","parse-names":false,"suffix":""},{"dropping-particle":"","family":"Bowe","given":"Steven J.","non-dropping-particle":"","parse-names":false,"suffix":""},{"dropping-particle":"","family":"Moulding","given":"Richard","non-dropping-particle":"","parse-names":false,"suffix":""}],"container-title":"Clinical Psychologist","id":"ITEM-2","issued":{"date-parts":[["2017"]]},"page":"20-32","title":"A systematic review and meta-analysis of behaviourally based psychological interventions and pharmacological interventions for trichotillomania","type":"article-journal","volume":"21"},"uris":["http://www.mendeley.com/documents/?uuid=d64534c3-d7b4-4ed8-b3af-4707898afeb6"]},{"id":"ITEM-3","itemData":{"DOI":"10.1016/j.jpsychires.2014.07.015","ISBN":"2156623929","ISSN":"18791379","PMID":"25108618","abstract":"Few randomized controlled trials (RCTs) exist examining the efficacy of behavior therapy (BT) or serotonin reuptake inhibitors (SRIs) for the treatment of trichotillomania (TTM), with no examination of treatment moderators. The present meta-analysis synthesized the treatment effect sizes (ES) of BT and SRI relative to comparison conditions, and examined moderators of treatment. A comprehensive literature search identified 11 RCTs that met inclusion criteria. Clinical characteristics (e.g., age, comorbidity, therapeutic contact hours), outcome measures, treatment subtypes (e.g., SRI subtype, BT subtype), and ES data were extracted. The standardized mean difference of change in hair pulling severity was the outcome measure. A random effects meta-analysis found a large pooled ES for BT (ES=1.41, p&lt;0.001). BT trials with greater therapeutic contact hours exhibited larger ES (p=0.009). Additionally, BT trials that used mood enhanced therapeutic techniques exhibited greater ES relative to trials including only traditional BT components (p=0.004). For SRI trials, a random effects meta-analysis identified a moderate pooled ES (ES=0.41, p=0.02). Although clomipramine exhibited larger ES relative to selective serotonin reuptake inhibitors, the difference was not statistically significant. Publication bias was not identified for either treatment. BT yields large treatment effects for TTM, with further examination needed to disentangle confounded treatment moderators. SRI trials exhibited a moderate pooled ES, with no treatment moderators identified. Sensitivity analyses highlighted the need for further RCTs of SRIs, especially among youth with TTM.","author":[{"dropping-particle":"","family":"McGuire","given":"Joseph F.","non-dropping-particle":"","parse-names":false,"suffix":""},{"dropping-particle":"","family":"Ung","given":"Danielle","non-dropping-particle":"","parse-names":false,"suffix":""},{"dropping-particle":"","family":"Selles","given":"Robert R.","non-dropping-particle":"","parse-names":false,"suffix":""},{"dropping-particle":"","family":"Rahman","given":"Omar","non-dropping-particle":"","parse-names":false,"suffix":""},{"dropping-particle":"","family":"Lewin","given":"Adam B.","non-dropping-particle":"","parse-names":false,"suffix":""},{"dropping-particle":"","family":"Murphy","given":"Tanya K.","non-dropping-particle":"","parse-names":false,"suffix":""},{"dropping-particle":"","family":"Storch","given":"Eric A.","non-dropping-particle":"","parse-names":false,"suffix":""}],"container-title":"Journal of Psychiatric Research","id":"ITEM-3","issued":{"date-parts":[["2014"]]},"page":"76-83","title":"Treating trichotillomania: A meta-analysis of treatment effects and moderators for behavior therapy and serotonin reuptake inhibitors","type":"article-journal","volume":"58"},"uris":["http://www.mendeley.com/documents/?uuid=fcc7c8b7-8ded-4dbf-951d-0c8303c05a1a"]},{"id":"ITEM-4","itemData":{"DOI":"10.1016/j.cpr.2009.10.008","ISBN":"1873-7811","ISSN":"02727358","PMID":"19926375","abstract":"This review provides a broad and thorough synthesis of the Trichotillomania (TTM) literature as a resource for health professionals seeking the most current and complete information available. For the treatment provider, up to date information can help inform assessment, treatment, or referral decisions. For the student, this review provides a general overview and broad background information necessary to better understand hair-pulling and associated problems. For the researcher, information can help inform study planning. Prevalence, gender distributions, comorbidities, subtypes, and phenomenological characteristics are presented. Etiological theories are reviewed, and assessment and treatment options are offered. The validity of current DSM requirements is discussed and psychological and psychiatric treatment options are presented and evaluated for their strength of recommendation. Challenges to research and treatment are presented and directions for future research are suggested. © 2009 Elsevier Ltd. All rights reserved.","author":[{"dropping-particle":"","family":"Duke","given":"Danny C.","non-dropping-particle":"","parse-names":false,"suffix":""},{"dropping-particle":"","family":"Keeley","given":"Mary L.","non-dropping-particle":"","parse-names":false,"suffix":""},{"dropping-particle":"","family":"Geffken","given":"Gary R.","non-dropping-particle":"","parse-names":false,"suffix":""},{"dropping-particle":"","family":"Storch","given":"Eric A.","non-dropping-particle":"","parse-names":false,"suffix":""}],"container-title":"Clinical Psychology Review","id":"ITEM-4","issue":"2","issued":{"date-parts":[["2010"]]},"page":"181-193","title":"Trichotillomania: A current review","type":"article-journal","volume":"30"},"uris":["http://www.mendeley.com/documents/?uuid=feb34cba-5cef-4a4d-bec5-f662226e875b"]}],"mendeley":{"formattedCitation":"(Bloch et al., 2007; Duke et al., 2010; McGuire et al., 2014; Slikboer et al., 2017)","plainTextFormattedCitation":"(Bloch et al., 2007; Duke et al., 2010; McGuire et al., 2014; Slikboer et al., 2017)","previouslyFormattedCitation":"(Bloch et al., 2007; Duke et al., 2010; McGuire et al., 2014; Slikboer et al., 2017)"},"properties":{"noteIndex":0},"schema":"https://github.com/citation-style-language/schema/raw/master/csl-citation.json"}</w:instrText>
      </w:r>
      <w:r w:rsidR="004B1FC7">
        <w:rPr>
          <w:rFonts w:eastAsia="Times New Roman" w:cs="Times New Roman"/>
          <w:szCs w:val="24"/>
        </w:rPr>
        <w:fldChar w:fldCharType="separate"/>
      </w:r>
      <w:r w:rsidR="00C064BE" w:rsidRPr="00C064BE">
        <w:rPr>
          <w:rFonts w:eastAsia="Times New Roman" w:cs="Times New Roman"/>
          <w:noProof/>
          <w:szCs w:val="24"/>
        </w:rPr>
        <w:t>(Bloch et al., 2007; Duke et al., 2010; McGuire et al., 2014; Slikboer et al., 2017)</w:t>
      </w:r>
      <w:r w:rsidR="004B1FC7">
        <w:rPr>
          <w:rFonts w:eastAsia="Times New Roman" w:cs="Times New Roman"/>
          <w:szCs w:val="24"/>
        </w:rPr>
        <w:fldChar w:fldCharType="end"/>
      </w:r>
      <w:r w:rsidR="004B1FC7">
        <w:rPr>
          <w:rFonts w:eastAsia="Times New Roman" w:cs="Times New Roman"/>
          <w:szCs w:val="24"/>
        </w:rPr>
        <w:t>,</w:t>
      </w:r>
      <w:r w:rsidR="006407B1">
        <w:rPr>
          <w:rFonts w:eastAsia="Times New Roman" w:cs="Times New Roman"/>
          <w:szCs w:val="24"/>
        </w:rPr>
        <w:t xml:space="preserve"> </w:t>
      </w:r>
      <w:r w:rsidR="009E0F89">
        <w:rPr>
          <w:rFonts w:eastAsia="Times New Roman" w:cs="Times New Roman"/>
          <w:szCs w:val="24"/>
        </w:rPr>
        <w:t>but</w:t>
      </w:r>
      <w:r w:rsidR="00CF7B84">
        <w:rPr>
          <w:rFonts w:eastAsia="Times New Roman" w:cs="Times New Roman"/>
          <w:szCs w:val="24"/>
        </w:rPr>
        <w:t xml:space="preserve"> research </w:t>
      </w:r>
      <w:r w:rsidR="00D9555F">
        <w:rPr>
          <w:rFonts w:eastAsia="Times New Roman" w:cs="Times New Roman"/>
          <w:szCs w:val="24"/>
        </w:rPr>
        <w:t xml:space="preserve">suggests </w:t>
      </w:r>
      <w:r w:rsidR="00666BA7">
        <w:rPr>
          <w:rFonts w:eastAsia="Times New Roman" w:cs="Times New Roman"/>
          <w:szCs w:val="24"/>
        </w:rPr>
        <w:t>behavior therapy</w:t>
      </w:r>
      <w:r w:rsidR="003E2D53">
        <w:rPr>
          <w:rFonts w:eastAsia="Times New Roman" w:cs="Times New Roman"/>
          <w:bCs/>
          <w:szCs w:val="24"/>
        </w:rPr>
        <w:t xml:space="preserve">, particularly </w:t>
      </w:r>
      <w:r w:rsidR="005D2EBE">
        <w:rPr>
          <w:rFonts w:eastAsia="Times New Roman" w:cs="Times New Roman"/>
          <w:bCs/>
          <w:szCs w:val="24"/>
        </w:rPr>
        <w:t>habit reversal training (HRT)</w:t>
      </w:r>
      <w:r w:rsidR="008E766F">
        <w:rPr>
          <w:rFonts w:eastAsia="Times New Roman" w:cs="Times New Roman"/>
          <w:bCs/>
          <w:szCs w:val="24"/>
        </w:rPr>
        <w:t xml:space="preserve"> </w:t>
      </w:r>
      <w:r w:rsidR="00177AD0">
        <w:rPr>
          <w:rFonts w:eastAsia="Times New Roman" w:cs="Times New Roman"/>
          <w:bCs/>
          <w:szCs w:val="24"/>
        </w:rPr>
        <w:t xml:space="preserve">combined </w:t>
      </w:r>
      <w:r w:rsidR="003E2D53">
        <w:rPr>
          <w:rFonts w:eastAsia="Times New Roman" w:cs="Times New Roman"/>
          <w:bCs/>
          <w:szCs w:val="24"/>
        </w:rPr>
        <w:t>with</w:t>
      </w:r>
      <w:r w:rsidR="008E766F">
        <w:rPr>
          <w:rFonts w:eastAsia="Times New Roman" w:cs="Times New Roman"/>
          <w:bCs/>
          <w:szCs w:val="24"/>
        </w:rPr>
        <w:t xml:space="preserve"> stimulus control (SC)</w:t>
      </w:r>
      <w:r w:rsidR="00590B3B">
        <w:rPr>
          <w:rFonts w:eastAsia="Times New Roman" w:cs="Times New Roman"/>
          <w:bCs/>
          <w:szCs w:val="24"/>
        </w:rPr>
        <w:t xml:space="preserve"> procedures</w:t>
      </w:r>
      <w:r w:rsidR="00D9555F">
        <w:rPr>
          <w:rFonts w:eastAsia="Times New Roman" w:cs="Times New Roman"/>
          <w:bCs/>
          <w:szCs w:val="24"/>
        </w:rPr>
        <w:t xml:space="preserve"> may be an</w:t>
      </w:r>
      <w:r w:rsidR="00F06BC6">
        <w:rPr>
          <w:rFonts w:eastAsia="Times New Roman" w:cs="Times New Roman"/>
          <w:bCs/>
          <w:szCs w:val="24"/>
        </w:rPr>
        <w:t xml:space="preserve"> </w:t>
      </w:r>
      <w:r w:rsidR="005D2EBE">
        <w:rPr>
          <w:rFonts w:eastAsia="Times New Roman" w:cs="Times New Roman"/>
          <w:bCs/>
          <w:szCs w:val="24"/>
        </w:rPr>
        <w:t>effective</w:t>
      </w:r>
      <w:r w:rsidR="00CF7B84">
        <w:rPr>
          <w:rFonts w:eastAsia="Times New Roman" w:cs="Times New Roman"/>
          <w:bCs/>
          <w:szCs w:val="24"/>
        </w:rPr>
        <w:t xml:space="preserve"> </w:t>
      </w:r>
      <w:r w:rsidR="00447C43">
        <w:rPr>
          <w:rFonts w:eastAsia="Times New Roman" w:cs="Times New Roman"/>
          <w:bCs/>
          <w:szCs w:val="24"/>
        </w:rPr>
        <w:t xml:space="preserve">treatment for </w:t>
      </w:r>
      <w:r w:rsidR="00CF7B84">
        <w:rPr>
          <w:rFonts w:eastAsia="Times New Roman" w:cs="Times New Roman"/>
          <w:bCs/>
          <w:szCs w:val="24"/>
        </w:rPr>
        <w:t>TTM</w:t>
      </w:r>
      <w:r w:rsidR="00FE7F7E">
        <w:rPr>
          <w:rFonts w:eastAsia="Times New Roman" w:cs="Times New Roman"/>
          <w:bCs/>
          <w:szCs w:val="24"/>
        </w:rPr>
        <w:t xml:space="preserve"> </w:t>
      </w:r>
      <w:r w:rsidR="006F044D">
        <w:rPr>
          <w:rFonts w:eastAsia="Times New Roman" w:cs="Times New Roman"/>
          <w:bCs/>
          <w:szCs w:val="24"/>
        </w:rPr>
        <w:fldChar w:fldCharType="begin" w:fldLock="1"/>
      </w:r>
      <w:r w:rsidR="00C064BE">
        <w:rPr>
          <w:rFonts w:eastAsia="Times New Roman" w:cs="Times New Roman"/>
          <w:bCs/>
          <w:szCs w:val="24"/>
        </w:rPr>
        <w:instrText>ADDIN CSL_CITATION {"citationItems":[{"id":"ITEM-1","itemData":{"DOI":"10.1016/j.biopsych.2007.05.019","ISBN":"0006-3223","ISSN":"00063223","PMID":"17727824","abstract":"Trichotillomania is a psychiatric condition characterized by compulsive hair pulling. Three interventions have been studied in the treatment of trichotillomania: habit-reversal therapy (HRT) and pharmacotherapy with either selective-serotonin reuptake inhibitors (SSRI) or clomipramine. This systematic review compared the efficacy of these interventions in blinded, randomized clinical trials. The electronic databases of Medline, Premedline, PsychINFO, Embase, and the Cochrane Central Register of Controlled Trials were searched for relevant trials using the search terms \"trichotillomania\" or \"hair pulling.\" Trials were eligible for inclusion if they compared habit-reversal therapy, SSRI pharmacotherapy, or clomipramine pharmacotherapy to each other or placebo and employed randomization and blinded assessment of outcome. Our primary outcome measure was mean change in trichotillomania severity. The summary statistic was standardized mean difference. Seven studies were eligible for inclusion in this review. Overall, meta-analysis demonstrated that habit-reversal therapy (effect size [ES] = -1.14, 95% confidence interval [CI] = -1.89, -.38) was superior to pharmacotherapy with clomipramine (ES = -.68, 95% CI = -1.28, -.07) or SSRI (ES = .02, 95% CI = -.32, .35). Clomipramine was more efficacious than placebo, while there was no evidence to demonstrate that SSRI are more efficacious than placebo in the treatment of trichotillomania. Future studies on trichotillomania should seek to determine if HRT can demonstrate efficacy against more rigorous control conditions that account for non-specific effects of therapy and determine if HRT can be an effective intervention for trichotillomania beyond the few sites where it is currently practiced in research studies. Future therapy and pharmacotherapy studies in trichotillomania should employ larger sample sizes and intention-to-treat analysis and seek to validate clinical rating scales of trichotillomania severity. © 2007 Society of Biological Psychiatry.","author":[{"dropping-particle":"","family":"Bloch","given":"Michael H.","non-dropping-particle":"","parse-names":false,"suffix":""},{"dropping-particle":"","family":"Landeros-Weisenberger","given":"Angeli","non-dropping-particle":"","parse-names":false,"suffix":""},{"dropping-particle":"","family":"Dombrowski","given":"Philip","non-dropping-particle":"","parse-names":false,"suffix":""},{"dropping-particle":"","family":"Kelmendi","given":"Ben","non-dropping-particle":"","parse-names":false,"suffix":""},{"dropping-particle":"","family":"Wegner","given":"Ryan","non-dropping-particle":"","parse-names":false,"suffix":""},{"dropping-particle":"","family":"Nudel","given":"Jake","non-dropping-particle":"","parse-names":false,"suffix":""},{"dropping-particle":"","family":"Pittenger","given":"Christopher","non-dropping-particle":"","parse-names":false,"suffix":""},{"dropping-particle":"","family":"Leckman","given":"James F.","non-dropping-particle":"","parse-names":false,"suffix":""},{"dropping-particle":"","family":"Coric","given":"Vladimir","non-dropping-particle":"","parse-names":false,"suffix":""}],"container-title":"Biological Psychiatry","id":"ITEM-1","issue":"8","issued":{"date-parts":[["2007"]]},"page":"839-846","title":"Systematic review: Pharmacological and behavioral treatment for trichotillomania","type":"article-journal","volume":"62"},"uris":["http://www.mendeley.com/documents/?uuid=8db7460f-cb2c-403f-b619-952c3fa21a93"]},{"id":"ITEM-2","itemData":{"DOI":"10.1111/cp.12074","ISSN":"17429552","abstract":"© 2015 The Australian Psychological Society. Background: Trichotillomania (hair-pulling disorder) is a debilitating and distressing disorder associated with great secrecy and shame. A lack of understanding regarding interventions for Trichotillomania contributes to poor routine outcomes for the disorder. Method: This systematic review and meta-analysis assessed the efficacy of behaviourally based psychological interventions and pharmacological interventions for trichotillomania compared to a range of control groups. Participants were adults who have been diagnosed with trichotillomania. A systematic search was conducted of the Cochrane library, EBSCOhost, MEDLINE before 1966, and Google Scholar for relevant randomised controlled trials. Results: Of the total 462 records identified, 12 studies were included in the quantitative synthesis, and nine studies were included in meta-analyses. Conclusions: Analyses revealed that-from medication approaches-fluoxetine was not found to be efficacious. However, N-acetyl cysteine, clomipramine, and olanzapine showed potential for the treatment of trichotillomania. Regarding psychotherapy, behaviour therapy showed superior efficacy when compared to a passive control group. However, when behaviour therapy was compared to an active control group (progressive muscle relaxation, supportive therapy), both conditions showed similar efficacy in treating trichotillomania. It was concluded that the psychological mechanisms in trichotillomania may be more complex than the behavioural model indicates. Implications and limitations are discussed.","author":[{"dropping-particle":"","family":"Slikboer","given":"Reneta","non-dropping-particle":"","parse-names":false,"suffix":""},{"dropping-particle":"","family":"Nedeljkovic","given":"Maja","non-dropping-particle":"","parse-names":false,"suffix":""},{"dropping-particle":"","family":"Bowe","given":"Steven J.","non-dropping-particle":"","parse-names":false,"suffix":""},{"dropping-particle":"","family":"Moulding","given":"Richard","non-dropping-particle":"","parse-names":false,"suffix":""}],"container-title":"Clinical Psychologist","id":"ITEM-2","issued":{"date-parts":[["2017"]]},"page":"20-32","title":"A systematic review and meta-analysis of behaviourally based psychological interventions and pharmacological interventions for trichotillomania","type":"article-journal","volume":"21"},"uris":["http://www.mendeley.com/documents/?uuid=d64534c3-d7b4-4ed8-b3af-4707898afeb6"]},{"id":"ITEM-3","itemData":{"DOI":"10.1016/j.jpsychires.2014.07.015","ISBN":"2156623929","ISSN":"18791379","PMID":"25108618","abstract":"Few randomized controlled trials (RCTs) exist examining the efficacy of behavior therapy (BT) or serotonin reuptake inhibitors (SRIs) for the treatment of trichotillomania (TTM), with no examination of treatment moderators. The present meta-analysis synthesized the treatment effect sizes (ES) of BT and SRI relative to comparison conditions, and examined moderators of treatment. A comprehensive literature search identified 11 RCTs that met inclusion criteria. Clinical characteristics (e.g., age, comorbidity, therapeutic contact hours), outcome measures, treatment subtypes (e.g., SRI subtype, BT subtype), and ES data were extracted. The standardized mean difference of change in hair pulling severity was the outcome measure. A random effects meta-analysis found a large pooled ES for BT (ES=1.41, p&lt;0.001). BT trials with greater therapeutic contact hours exhibited larger ES (p=0.009). Additionally, BT trials that used mood enhanced therapeutic techniques exhibited greater ES relative to trials including only traditional BT components (p=0.004). For SRI trials, a random effects meta-analysis identified a moderate pooled ES (ES=0.41, p=0.02). Although clomipramine exhibited larger ES relative to selective serotonin reuptake inhibitors, the difference was not statistically significant. Publication bias was not identified for either treatment. BT yields large treatment effects for TTM, with further examination needed to disentangle confounded treatment moderators. SRI trials exhibited a moderate pooled ES, with no treatment moderators identified. Sensitivity analyses highlighted the need for further RCTs of SRIs, especially among youth with TTM.","author":[{"dropping-particle":"","family":"McGuire","given":"Joseph F.","non-dropping-particle":"","parse-names":false,"suffix":""},{"dropping-particle":"","family":"Ung","given":"Danielle","non-dropping-particle":"","parse-names":false,"suffix":""},{"dropping-particle":"","family":"Selles","given":"Robert R.","non-dropping-particle":"","parse-names":false,"suffix":""},{"dropping-particle":"","family":"Rahman","given":"Omar","non-dropping-particle":"","parse-names":false,"suffix":""},{"dropping-particle":"","family":"Lewin","given":"Adam B.","non-dropping-particle":"","parse-names":false,"suffix":""},{"dropping-particle":"","family":"Murphy","given":"Tanya K.","non-dropping-particle":"","parse-names":false,"suffix":""},{"dropping-particle":"","family":"Storch","given":"Eric A.","non-dropping-particle":"","parse-names":false,"suffix":""}],"container-title":"Journal of Psychiatric Research","id":"ITEM-3","issued":{"date-parts":[["2014"]]},"page":"76-83","title":"Treating trichotillomania: A meta-analysis of treatment effects and moderators for behavior therapy and serotonin reuptake inhibitors","type":"article-journal","volume":"58"},"uris":["http://www.mendeley.com/documents/?uuid=fcc7c8b7-8ded-4dbf-951d-0c8303c05a1a"]}],"mendeley":{"formattedCitation":"(Bloch et al., 2007; McGuire et al., 2014; Slikboer et al., 2017)","plainTextFormattedCitation":"(Bloch et al., 2007; McGuire et al., 2014; Slikboer et al., 2017)","previouslyFormattedCitation":"(Bloch et al., 2007; McGuire et al., 2014; Slikboer et al., 2017)"},"properties":{"noteIndex":0},"schema":"https://github.com/citation-style-language/schema/raw/master/csl-citation.json"}</w:instrText>
      </w:r>
      <w:r w:rsidR="006F044D">
        <w:rPr>
          <w:rFonts w:eastAsia="Times New Roman" w:cs="Times New Roman"/>
          <w:bCs/>
          <w:szCs w:val="24"/>
        </w:rPr>
        <w:fldChar w:fldCharType="separate"/>
      </w:r>
      <w:r w:rsidR="00C064BE" w:rsidRPr="00C064BE">
        <w:rPr>
          <w:rFonts w:eastAsia="Times New Roman" w:cs="Times New Roman"/>
          <w:bCs/>
          <w:noProof/>
          <w:szCs w:val="24"/>
        </w:rPr>
        <w:t>(Bloch et al., 2007; McGuire et al., 2014; Slikboer et al., 2017)</w:t>
      </w:r>
      <w:r w:rsidR="006F044D">
        <w:rPr>
          <w:rFonts w:eastAsia="Times New Roman" w:cs="Times New Roman"/>
          <w:bCs/>
          <w:szCs w:val="24"/>
        </w:rPr>
        <w:fldChar w:fldCharType="end"/>
      </w:r>
      <w:r w:rsidR="001F5B08">
        <w:rPr>
          <w:rFonts w:eastAsia="Times New Roman" w:cs="Times New Roman"/>
          <w:bCs/>
          <w:szCs w:val="24"/>
        </w:rPr>
        <w:t>.</w:t>
      </w:r>
      <w:r w:rsidR="005D2EBE">
        <w:rPr>
          <w:rFonts w:eastAsia="Times New Roman" w:cs="Times New Roman"/>
          <w:bCs/>
          <w:szCs w:val="24"/>
        </w:rPr>
        <w:t xml:space="preserve"> </w:t>
      </w:r>
      <w:r w:rsidR="00447C43">
        <w:rPr>
          <w:rFonts w:eastAsia="Times New Roman" w:cs="Times New Roman"/>
          <w:bCs/>
          <w:szCs w:val="24"/>
        </w:rPr>
        <w:t xml:space="preserve">In </w:t>
      </w:r>
      <w:r w:rsidR="00CE7424">
        <w:rPr>
          <w:rFonts w:eastAsia="Times New Roman" w:cs="Times New Roman"/>
          <w:bCs/>
          <w:szCs w:val="24"/>
        </w:rPr>
        <w:t>HRT</w:t>
      </w:r>
      <w:r w:rsidR="00447C43">
        <w:rPr>
          <w:rFonts w:eastAsia="Times New Roman" w:cs="Times New Roman"/>
          <w:bCs/>
          <w:szCs w:val="24"/>
        </w:rPr>
        <w:t xml:space="preserve">, </w:t>
      </w:r>
      <w:r w:rsidR="00CE7424">
        <w:rPr>
          <w:rFonts w:eastAsia="Times New Roman" w:cs="Times New Roman"/>
          <w:bCs/>
          <w:szCs w:val="24"/>
        </w:rPr>
        <w:t xml:space="preserve">patients </w:t>
      </w:r>
      <w:r w:rsidR="00447C43">
        <w:rPr>
          <w:rFonts w:eastAsia="Times New Roman" w:cs="Times New Roman"/>
          <w:bCs/>
          <w:szCs w:val="24"/>
        </w:rPr>
        <w:t xml:space="preserve">learn </w:t>
      </w:r>
      <w:r w:rsidR="00CE7424">
        <w:rPr>
          <w:rFonts w:eastAsia="Times New Roman" w:cs="Times New Roman"/>
          <w:bCs/>
          <w:szCs w:val="24"/>
        </w:rPr>
        <w:t xml:space="preserve">to utilize </w:t>
      </w:r>
      <w:r w:rsidR="00447C43">
        <w:rPr>
          <w:rFonts w:eastAsia="Times New Roman" w:cs="Times New Roman"/>
          <w:bCs/>
          <w:szCs w:val="24"/>
        </w:rPr>
        <w:t>competing</w:t>
      </w:r>
      <w:r w:rsidR="00CE7424">
        <w:rPr>
          <w:rFonts w:eastAsia="Times New Roman" w:cs="Times New Roman"/>
          <w:bCs/>
          <w:szCs w:val="24"/>
        </w:rPr>
        <w:t xml:space="preserve"> behaviors when they </w:t>
      </w:r>
      <w:r w:rsidR="0073572B">
        <w:rPr>
          <w:rFonts w:eastAsia="Times New Roman" w:cs="Times New Roman"/>
          <w:bCs/>
          <w:szCs w:val="24"/>
        </w:rPr>
        <w:t>experience the urge</w:t>
      </w:r>
      <w:r w:rsidR="00CE7424">
        <w:rPr>
          <w:rFonts w:eastAsia="Times New Roman" w:cs="Times New Roman"/>
          <w:bCs/>
          <w:szCs w:val="24"/>
        </w:rPr>
        <w:t xml:space="preserve"> to pull or are actively hair pulling. SC entails altering environmental variables to </w:t>
      </w:r>
      <w:r w:rsidR="00B16DE3">
        <w:rPr>
          <w:rFonts w:eastAsia="Times New Roman" w:cs="Times New Roman"/>
          <w:bCs/>
          <w:szCs w:val="24"/>
        </w:rPr>
        <w:t xml:space="preserve">lower the </w:t>
      </w:r>
      <w:r w:rsidR="00B16DE3" w:rsidRPr="00AA31BA">
        <w:rPr>
          <w:rFonts w:eastAsia="Times New Roman" w:cs="Times New Roman"/>
          <w:bCs/>
          <w:szCs w:val="24"/>
        </w:rPr>
        <w:t>likelihood of</w:t>
      </w:r>
      <w:r w:rsidR="00CE7424" w:rsidRPr="00AA31BA">
        <w:rPr>
          <w:rFonts w:eastAsia="Times New Roman" w:cs="Times New Roman"/>
          <w:bCs/>
          <w:szCs w:val="24"/>
        </w:rPr>
        <w:t xml:space="preserve"> hair pulling. </w:t>
      </w:r>
      <w:r w:rsidR="00BD33A9">
        <w:rPr>
          <w:rFonts w:eastAsia="Times New Roman" w:cs="Times New Roman"/>
          <w:bCs/>
          <w:szCs w:val="24"/>
        </w:rPr>
        <w:t>Although</w:t>
      </w:r>
      <w:r w:rsidR="00BD33A9" w:rsidRPr="00AA31BA">
        <w:rPr>
          <w:rFonts w:eastAsia="Times New Roman" w:cs="Times New Roman"/>
          <w:bCs/>
          <w:szCs w:val="24"/>
        </w:rPr>
        <w:t xml:space="preserve"> </w:t>
      </w:r>
      <w:r w:rsidR="00CF7B84" w:rsidRPr="00AA31BA">
        <w:rPr>
          <w:rFonts w:eastAsia="Times New Roman" w:cs="Times New Roman"/>
          <w:bCs/>
          <w:szCs w:val="24"/>
        </w:rPr>
        <w:t>HRT+SC</w:t>
      </w:r>
      <w:r w:rsidR="003E2D53" w:rsidRPr="00AA31BA">
        <w:rPr>
          <w:rFonts w:eastAsia="Times New Roman" w:cs="Times New Roman"/>
          <w:szCs w:val="24"/>
        </w:rPr>
        <w:t xml:space="preserve"> has demonstrated success in small </w:t>
      </w:r>
      <w:r w:rsidR="008E79A5">
        <w:rPr>
          <w:rFonts w:eastAsia="Times New Roman" w:cs="Times New Roman"/>
          <w:szCs w:val="24"/>
        </w:rPr>
        <w:t>studies</w:t>
      </w:r>
      <w:r w:rsidR="001F5B08" w:rsidRPr="00AA31BA">
        <w:rPr>
          <w:rFonts w:eastAsia="Times New Roman" w:cs="Times New Roman"/>
          <w:szCs w:val="24"/>
        </w:rPr>
        <w:t xml:space="preserve"> </w:t>
      </w:r>
      <w:r w:rsidR="00F40C02" w:rsidRPr="00AA31BA">
        <w:rPr>
          <w:rFonts w:eastAsia="Times New Roman" w:cs="Times New Roman"/>
          <w:szCs w:val="24"/>
        </w:rPr>
        <w:fldChar w:fldCharType="begin" w:fldLock="1"/>
      </w:r>
      <w:r w:rsidR="00C064BE">
        <w:rPr>
          <w:rFonts w:eastAsia="Times New Roman" w:cs="Times New Roman"/>
          <w:szCs w:val="24"/>
        </w:rPr>
        <w:instrText>ADDIN CSL_CITATION {"citationItems":[{"id":"ITEM-1","itemData":{"DOI":"10.1016/j.jpsychires.2014.07.015","ISBN":"2156623929","ISSN":"18791379","PMID":"25108618","abstract":"Few randomized controlled trials (RCTs) exist examining the efficacy of behavior therapy (BT) or serotonin reuptake inhibitors (SRIs) for the treatment of trichotillomania (TTM), with no examination of treatment moderators. The present meta-analysis synthesized the treatment effect sizes (ES) of BT and SRI relative to comparison conditions, and examined moderators of treatment. A comprehensive literature search identified 11 RCTs that met inclusion criteria. Clinical characteristics (e.g., age, comorbidity, therapeutic contact hours), outcome measures, treatment subtypes (e.g., SRI subtype, BT subtype), and ES data were extracted. The standardized mean difference of change in hair pulling severity was the outcome measure. A random effects meta-analysis found a large pooled ES for BT (ES=1.41, p&lt;0.001). BT trials with greater therapeutic contact hours exhibited larger ES (p=0.009). Additionally, BT trials that used mood enhanced therapeutic techniques exhibited greater ES relative to trials including only traditional BT components (p=0.004). For SRI trials, a random effects meta-analysis identified a moderate pooled ES (ES=0.41, p=0.02). Although clomipramine exhibited larger ES relative to selective serotonin reuptake inhibitors, the difference was not statistically significant. Publication bias was not identified for either treatment. BT yields large treatment effects for TTM, with further examination needed to disentangle confounded treatment moderators. SRI trials exhibited a moderate pooled ES, with no treatment moderators identified. Sensitivity analyses highlighted the need for further RCTs of SRIs, especially among youth with TTM.","author":[{"dropping-particle":"","family":"McGuire","given":"Joseph F.","non-dropping-particle":"","parse-names":false,"suffix":""},{"dropping-particle":"","family":"Ung","given":"Danielle","non-dropping-particle":"","parse-names":false,"suffix":""},{"dropping-particle":"","family":"Selles","given":"Robert R.","non-dropping-particle":"","parse-names":false,"suffix":""},{"dropping-particle":"","family":"Rahman","given":"Omar","non-dropping-particle":"","parse-names":false,"suffix":""},{"dropping-particle":"","family":"Lewin","given":"Adam B.","non-dropping-particle":"","parse-names":false,"suffix":""},{"dropping-particle":"","family":"Murphy","given":"Tanya K.","non-dropping-particle":"","parse-names":false,"suffix":""},{"dropping-particle":"","family":"Storch","given":"Eric A.","non-dropping-particle":"","parse-names":false,"suffix":""}],"container-title":"Journal of Psychiatric Research","id":"ITEM-1","issued":{"date-parts":[["2014"]]},"page":"76-83","title":"Treating trichotillomania: A meta-analysis of treatment effects and moderators for behavior therapy and serotonin reuptake inhibitors","type":"article-journal","volume":"58"},"uris":["http://www.mendeley.com/documents/?uuid=fcc7c8b7-8ded-4dbf-951d-0c8303c05a1a"]},{"id":"ITEM-2","itemData":{"DOI":"10.1111/cp.12074","ISSN":"17429552","abstract":"© 2015 The Australian Psychological Society. Background: Trichotillomania (hair-pulling disorder) is a debilitating and distressing disorder associated with great secrecy and shame. A lack of understanding regarding interventions for Trichotillomania contributes to poor routine outcomes for the disorder. Method: This systematic review and meta-analysis assessed the efficacy of behaviourally based psychological interventions and pharmacological interventions for trichotillomania compared to a range of control groups. Participants were adults who have been diagnosed with trichotillomania. A systematic search was conducted of the Cochrane library, EBSCOhost, MEDLINE before 1966, and Google Scholar for relevant randomised controlled trials. Results: Of the total 462 records identified, 12 studies were included in the quantitative synthesis, and nine studies were included in meta-analyses. Conclusions: Analyses revealed that-from medication approaches-fluoxetine was not found to be efficacious. However, N-acetyl cysteine, clomipramine, and olanzapine showed potential for the treatment of trichotillomania. Regarding psychotherapy, behaviour therapy showed superior efficacy when compared to a passive control group. However, when behaviour therapy was compared to an active control group (progressive muscle relaxation, supportive therapy), both conditions showed similar efficacy in treating trichotillomania. It was concluded that the psychological mechanisms in trichotillomania may be more complex than the behavioural model indicates. Implications and limitations are discussed.","author":[{"dropping-particle":"","family":"Slikboer","given":"Reneta","non-dropping-particle":"","parse-names":false,"suffix":""},{"dropping-particle":"","family":"Nedeljkovic","given":"Maja","non-dropping-particle":"","parse-names":false,"suffix":""},{"dropping-particle":"","family":"Bowe","given":"Steven J.","non-dropping-particle":"","parse-names":false,"suffix":""},{"dropping-particle":"","family":"Moulding","given":"Richard","non-dropping-particle":"","parse-names":false,"suffix":""}],"container-title":"Clinical Psychologist","id":"ITEM-2","issued":{"date-parts":[["2017"]]},"page":"20-32","title":"A systematic review and meta-analysis of behaviourally based psychological interventions and pharmacological interventions for trichotillomania","type":"article-journal","volume":"21"},"uris":["http://www.mendeley.com/documents/?uuid=d64534c3-d7b4-4ed8-b3af-4707898afeb6"]},{"id":"ITEM-3","itemData":{"DOI":"10.1016/j.biopsych.2007.05.019","ISBN":"0006-3223","ISSN":"00063223","PMID":"17727824","abstract":"Trichotillomania is a psychiatric condition characterized by compulsive hair pulling. Three interventions have been studied in the treatment of trichotillomania: habit-reversal therapy (HRT) and pharmacotherapy with either selective-serotonin reuptake inhibitors (SSRI) or clomipramine. This systematic review compared the efficacy of these interventions in blinded, randomized clinical trials. The electronic databases of Medline, Premedline, PsychINFO, Embase, and the Cochrane Central Register of Controlled Trials were searched for relevant trials using the search terms \"trichotillomania\" or \"hair pulling.\" Trials were eligible for inclusion if they compared habit-reversal therapy, SSRI pharmacotherapy, or clomipramine pharmacotherapy to each other or placebo and employed randomization and blinded assessment of outcome. Our primary outcome measure was mean change in trichotillomania severity. The summary statistic was standardized mean difference. Seven studies were eligible for inclusion in this review. Overall, meta-analysis demonstrated that habit-reversal therapy (effect size [ES] = -1.14, 95% confidence interval [CI] = -1.89, -.38) was superior to pharmacotherapy with clomipramine (ES = -.68, 95% CI = -1.28, -.07) or SSRI (ES = .02, 95% CI = -.32, .35). Clomipramine was more efficacious than placebo, while there was no evidence to demonstrate that SSRI are more efficacious than placebo in the treatment of trichotillomania. Future studies on trichotillomania should seek to determine if HRT can demonstrate efficacy against more rigorous control conditions that account for non-specific effects of therapy and determine if HRT can be an effective intervention for trichotillomania beyond the few sites where it is currently practiced in research studies. Future therapy and pharmacotherapy studies in trichotillomania should employ larger sample sizes and intention-to-treat analysis and seek to validate clinical rating scales of trichotillomania severity. © 2007 Society of Biological Psychiatry.","author":[{"dropping-particle":"","family":"Bloch","given":"Michael H.","non-dropping-particle":"","parse-names":false,"suffix":""},{"dropping-particle":"","family":"Landeros-Weisenberger","given":"Angeli","non-dropping-particle":"","parse-names":false,"suffix":""},{"dropping-particle":"","family":"Dombrowski","given":"Philip","non-dropping-particle":"","parse-names":false,"suffix":""},{"dropping-particle":"","family":"Kelmendi","given":"Ben","non-dropping-particle":"","parse-names":false,"suffix":""},{"dropping-particle":"","family":"Wegner","given":"Ryan","non-dropping-particle":"","parse-names":false,"suffix":""},{"dropping-particle":"","family":"Nudel","given":"Jake","non-dropping-particle":"","parse-names":false,"suffix":""},{"dropping-particle":"","family":"Pittenger","given":"Christopher","non-dropping-particle":"","parse-names":false,"suffix":""},{"dropping-particle":"","family":"Leckman","given":"James F.","non-dropping-particle":"","parse-names":false,"suffix":""},{"dropping-particle":"","family":"Coric","given":"Vladimir","non-dropping-particle":"","parse-names":false,"suffix":""}],"container-title":"Biological Psychiatry","id":"ITEM-3","issue":"8","issued":{"date-parts":[["2007"]]},"page":"839-846","title":"Systematic review: Pharmacological and behavioral treatment for trichotillomania","type":"article-journal","volume":"62"},"uris":["http://www.mendeley.com/documents/?uuid=8db7460f-cb2c-403f-b619-952c3fa21a93"]}],"mendeley":{"formattedCitation":"(Bloch et al., 2007; McGuire et al., 2014; Slikboer et al., 2017)","plainTextFormattedCitation":"(Bloch et al., 2007; McGuire et al., 2014; Slikboer et al., 2017)","previouslyFormattedCitation":"(Bloch et al., 2007; McGuire et al., 2014; Slikboer et al., 2017)"},"properties":{"noteIndex":0},"schema":"https://github.com/citation-style-language/schema/raw/master/csl-citation.json"}</w:instrText>
      </w:r>
      <w:r w:rsidR="00F40C02" w:rsidRPr="00AA31BA">
        <w:rPr>
          <w:rFonts w:eastAsia="Times New Roman" w:cs="Times New Roman"/>
          <w:szCs w:val="24"/>
        </w:rPr>
        <w:fldChar w:fldCharType="separate"/>
      </w:r>
      <w:r w:rsidR="00C064BE" w:rsidRPr="00C064BE">
        <w:rPr>
          <w:rFonts w:eastAsia="Times New Roman" w:cs="Times New Roman"/>
          <w:noProof/>
          <w:szCs w:val="24"/>
        </w:rPr>
        <w:t>(Bloch et al., 2007; McGuire et al., 2014; Slikboer et al., 2017)</w:t>
      </w:r>
      <w:r w:rsidR="00F40C02" w:rsidRPr="00AA31BA">
        <w:rPr>
          <w:rFonts w:eastAsia="Times New Roman" w:cs="Times New Roman"/>
          <w:szCs w:val="24"/>
        </w:rPr>
        <w:fldChar w:fldCharType="end"/>
      </w:r>
      <w:r w:rsidR="001F5B08" w:rsidRPr="00AA31BA">
        <w:rPr>
          <w:rFonts w:eastAsia="Times New Roman" w:cs="Times New Roman"/>
          <w:szCs w:val="24"/>
        </w:rPr>
        <w:t xml:space="preserve">, </w:t>
      </w:r>
      <w:r w:rsidR="000A70D4" w:rsidRPr="00AA31BA">
        <w:rPr>
          <w:rFonts w:eastAsia="Times New Roman" w:cs="Times New Roman"/>
          <w:szCs w:val="24"/>
        </w:rPr>
        <w:t>it</w:t>
      </w:r>
      <w:r w:rsidR="000A70D4" w:rsidRPr="00AA31BA">
        <w:rPr>
          <w:rFonts w:eastAsia="Times New Roman" w:cs="Times New Roman"/>
          <w:bCs/>
          <w:szCs w:val="24"/>
        </w:rPr>
        <w:t xml:space="preserve"> has not been tested in </w:t>
      </w:r>
      <w:r w:rsidR="0064342E" w:rsidRPr="00AA31BA">
        <w:rPr>
          <w:rFonts w:eastAsia="Times New Roman" w:cs="Times New Roman"/>
          <w:bCs/>
          <w:szCs w:val="24"/>
        </w:rPr>
        <w:t xml:space="preserve">a </w:t>
      </w:r>
      <w:r w:rsidR="000A70D4" w:rsidRPr="00AA31BA">
        <w:rPr>
          <w:rFonts w:eastAsia="Times New Roman" w:cs="Times New Roman"/>
          <w:bCs/>
          <w:szCs w:val="24"/>
        </w:rPr>
        <w:t>large</w:t>
      </w:r>
      <w:r w:rsidR="0049201D" w:rsidRPr="00AA31BA">
        <w:rPr>
          <w:rFonts w:eastAsia="Times New Roman" w:cs="Times New Roman"/>
          <w:bCs/>
          <w:szCs w:val="24"/>
        </w:rPr>
        <w:t>-</w:t>
      </w:r>
      <w:r w:rsidR="000A70D4" w:rsidRPr="00AA31BA">
        <w:rPr>
          <w:rFonts w:eastAsia="Times New Roman" w:cs="Times New Roman"/>
          <w:bCs/>
          <w:szCs w:val="24"/>
        </w:rPr>
        <w:t>scale randomized controlled trial (RCT)</w:t>
      </w:r>
      <w:r w:rsidR="00B46C73">
        <w:rPr>
          <w:rFonts w:eastAsia="Times New Roman" w:cs="Times New Roman"/>
          <w:bCs/>
          <w:szCs w:val="24"/>
        </w:rPr>
        <w:t>,</w:t>
      </w:r>
      <w:r w:rsidR="000A70D4" w:rsidRPr="00AA31BA">
        <w:rPr>
          <w:rFonts w:eastAsia="Times New Roman" w:cs="Times New Roman"/>
          <w:bCs/>
          <w:szCs w:val="24"/>
        </w:rPr>
        <w:t xml:space="preserve"> and </w:t>
      </w:r>
      <w:r w:rsidR="000A70D4">
        <w:rPr>
          <w:rFonts w:eastAsia="Times New Roman" w:cs="Times New Roman"/>
          <w:bCs/>
          <w:szCs w:val="24"/>
        </w:rPr>
        <w:t>it is unclear whether such therapy is</w:t>
      </w:r>
      <w:r w:rsidR="00456D1C" w:rsidRPr="00B40CF6">
        <w:rPr>
          <w:rFonts w:eastAsia="Times New Roman" w:cs="Times New Roman"/>
          <w:bCs/>
          <w:szCs w:val="24"/>
        </w:rPr>
        <w:t xml:space="preserve"> </w:t>
      </w:r>
      <w:r w:rsidR="003E2D53" w:rsidRPr="00B40CF6">
        <w:rPr>
          <w:rFonts w:eastAsia="Times New Roman" w:cs="Times New Roman"/>
          <w:bCs/>
          <w:szCs w:val="24"/>
        </w:rPr>
        <w:t xml:space="preserve">more </w:t>
      </w:r>
      <w:r w:rsidR="00E07A6E">
        <w:rPr>
          <w:rFonts w:eastAsia="Times New Roman" w:cs="Times New Roman"/>
          <w:bCs/>
          <w:szCs w:val="24"/>
        </w:rPr>
        <w:t xml:space="preserve">efficacious </w:t>
      </w:r>
      <w:r w:rsidR="003E2D53" w:rsidRPr="00B40CF6">
        <w:rPr>
          <w:rFonts w:eastAsia="Times New Roman" w:cs="Times New Roman"/>
          <w:bCs/>
          <w:szCs w:val="24"/>
        </w:rPr>
        <w:t xml:space="preserve">than general </w:t>
      </w:r>
      <w:r w:rsidR="0073572B">
        <w:rPr>
          <w:rFonts w:eastAsia="Times New Roman" w:cs="Times New Roman"/>
          <w:bCs/>
          <w:szCs w:val="24"/>
        </w:rPr>
        <w:t>non</w:t>
      </w:r>
      <w:r w:rsidR="006407B1">
        <w:rPr>
          <w:rFonts w:eastAsia="Times New Roman" w:cs="Times New Roman"/>
          <w:bCs/>
          <w:szCs w:val="24"/>
        </w:rPr>
        <w:t>-</w:t>
      </w:r>
      <w:r w:rsidR="0073572B">
        <w:rPr>
          <w:rFonts w:eastAsia="Times New Roman" w:cs="Times New Roman"/>
          <w:bCs/>
          <w:szCs w:val="24"/>
        </w:rPr>
        <w:t xml:space="preserve">specific </w:t>
      </w:r>
      <w:r w:rsidR="006407B1">
        <w:rPr>
          <w:rFonts w:eastAsia="Times New Roman" w:cs="Times New Roman"/>
          <w:bCs/>
          <w:szCs w:val="24"/>
        </w:rPr>
        <w:t xml:space="preserve">supportive </w:t>
      </w:r>
      <w:r w:rsidR="003E2D53" w:rsidRPr="00B40CF6">
        <w:rPr>
          <w:rFonts w:eastAsia="Times New Roman" w:cs="Times New Roman"/>
          <w:bCs/>
          <w:szCs w:val="24"/>
        </w:rPr>
        <w:t>psy</w:t>
      </w:r>
      <w:r w:rsidR="003E2D53">
        <w:rPr>
          <w:rFonts w:eastAsia="Times New Roman" w:cs="Times New Roman"/>
          <w:bCs/>
          <w:szCs w:val="24"/>
        </w:rPr>
        <w:t>chotherapy</w:t>
      </w:r>
      <w:r w:rsidR="00B64072">
        <w:rPr>
          <w:rFonts w:eastAsia="Times New Roman" w:cs="Times New Roman"/>
          <w:color w:val="000000"/>
          <w:szCs w:val="24"/>
        </w:rPr>
        <w:t>.</w:t>
      </w:r>
    </w:p>
    <w:p w14:paraId="18A3A59A" w14:textId="25BD98CA" w:rsidR="00940730" w:rsidRPr="004B0C04" w:rsidRDefault="008E766F" w:rsidP="005908D8">
      <w:pPr>
        <w:widowControl w:val="0"/>
        <w:spacing w:line="480" w:lineRule="auto"/>
        <w:ind w:firstLine="720"/>
        <w:rPr>
          <w:rFonts w:eastAsia="Times New Roman" w:cs="Times New Roman"/>
          <w:bCs/>
          <w:szCs w:val="24"/>
        </w:rPr>
      </w:pPr>
      <w:r w:rsidRPr="00A95269">
        <w:rPr>
          <w:rFonts w:eastAsia="Times New Roman" w:cs="Times New Roman"/>
          <w:bCs/>
          <w:szCs w:val="24"/>
        </w:rPr>
        <w:t xml:space="preserve">Furthermore, </w:t>
      </w:r>
      <w:r w:rsidR="00B16DE3" w:rsidRPr="00A95269">
        <w:rPr>
          <w:rFonts w:eastAsia="Times New Roman" w:cs="Times New Roman"/>
          <w:bCs/>
          <w:szCs w:val="24"/>
        </w:rPr>
        <w:t>because HRT+SC was not developed using an empirically-validated model of TTM</w:t>
      </w:r>
      <w:r w:rsidR="008C7895" w:rsidRPr="00A95269">
        <w:rPr>
          <w:rFonts w:eastAsia="Times New Roman" w:cs="Times New Roman"/>
          <w:bCs/>
          <w:szCs w:val="24"/>
        </w:rPr>
        <w:t xml:space="preserve"> </w:t>
      </w:r>
      <w:r w:rsidR="00B16DE3" w:rsidRPr="00A95269">
        <w:rPr>
          <w:rFonts w:eastAsia="Times New Roman" w:cs="Times New Roman"/>
          <w:bCs/>
          <w:szCs w:val="24"/>
        </w:rPr>
        <w:fldChar w:fldCharType="begin" w:fldLock="1"/>
      </w:r>
      <w:r w:rsidR="00C064BE">
        <w:rPr>
          <w:rFonts w:eastAsia="Times New Roman" w:cs="Times New Roman"/>
          <w:bCs/>
          <w:szCs w:val="24"/>
        </w:rPr>
        <w:instrText>ADDIN CSL_CITATION {"citationItems":[{"id":"ITEM-1","itemData":{"DOI":"10.1891/0889-8391.24.1.46","ISSN":"0889-8391","abstract":"Trichotillomania (TTM), or chronic hair pulling, is associated with significant levels of distress and impairment. While research is in its infancy, more data are accumulating regarding the impact, phenomenology, maintaining variables, etiology, and treatment of TTM. Behavior therapy and clomipramine have been moderately effective in reducing TTM symptoms in clinical trials. Enhancing behavior therapy with techniques designed to address TTM patients' emotional control tendencies (e.g., acceptance-based procedures) represents a promising direction in treating TTM. © 2010 Springer Publishing Company.","author":[{"dropping-particle":"","family":"Walther","given":"Michael R.","non-dropping-particle":"","parse-names":false,"suffix":""},{"dropping-particle":"","family":"Ricketts","given":"Emily J.","non-dropping-particle":"","parse-names":false,"suffix":""},{"dropping-particle":"","family":"Conelea","given":"Christine A.","non-dropping-particle":"","parse-names":false,"suffix":""},{"dropping-particle":"","family":"Woods","given":"Douglas W.","non-dropping-particle":"","parse-names":false,"suffix":""}],"container-title":"Journal of Cognitive Psychotherapy","id":"ITEM-1","issue":"1","issued":{"date-parts":[["2010"]]},"page":"46-64","title":"Recent advances in the understanding and treatment of trichotillomania","type":"article-journal","volume":"24"},"uris":["http://www.mendeley.com/documents/?uuid=a46970e6-be75-4fc8-829e-1e8e6876a273"]}],"mendeley":{"formattedCitation":"(Walther et al., 2010)","plainTextFormattedCitation":"(Walther et al., 2010)","previouslyFormattedCitation":"(Walther et al., 2010)"},"properties":{"noteIndex":0},"schema":"https://github.com/citation-style-language/schema/raw/master/csl-citation.json"}</w:instrText>
      </w:r>
      <w:r w:rsidR="00B16DE3" w:rsidRPr="00A95269">
        <w:rPr>
          <w:rFonts w:eastAsia="Times New Roman" w:cs="Times New Roman"/>
          <w:bCs/>
          <w:szCs w:val="24"/>
        </w:rPr>
        <w:fldChar w:fldCharType="separate"/>
      </w:r>
      <w:r w:rsidR="00C064BE" w:rsidRPr="00C064BE">
        <w:rPr>
          <w:rFonts w:eastAsia="Times New Roman" w:cs="Times New Roman"/>
          <w:bCs/>
          <w:noProof/>
          <w:szCs w:val="24"/>
        </w:rPr>
        <w:t>(Walther et al., 2010)</w:t>
      </w:r>
      <w:r w:rsidR="00B16DE3" w:rsidRPr="00A95269">
        <w:rPr>
          <w:rFonts w:eastAsia="Times New Roman" w:cs="Times New Roman"/>
          <w:bCs/>
          <w:szCs w:val="24"/>
        </w:rPr>
        <w:fldChar w:fldCharType="end"/>
      </w:r>
      <w:r w:rsidR="008C7895" w:rsidRPr="00A95269">
        <w:rPr>
          <w:rFonts w:eastAsia="Times New Roman" w:cs="Times New Roman"/>
          <w:bCs/>
          <w:szCs w:val="24"/>
        </w:rPr>
        <w:t>,</w:t>
      </w:r>
      <w:r w:rsidR="00B16DE3" w:rsidRPr="00A95269">
        <w:rPr>
          <w:rFonts w:eastAsia="Times New Roman" w:cs="Times New Roman"/>
          <w:bCs/>
          <w:szCs w:val="24"/>
        </w:rPr>
        <w:t xml:space="preserve"> HRT+SC alone arguably fails to address important aspects of TTM.</w:t>
      </w:r>
      <w:r w:rsidR="005908D8" w:rsidRPr="00A95269">
        <w:rPr>
          <w:rFonts w:eastAsia="Times New Roman" w:cs="Times New Roman"/>
          <w:bCs/>
          <w:szCs w:val="24"/>
        </w:rPr>
        <w:t xml:space="preserve"> </w:t>
      </w:r>
      <w:r w:rsidR="00EF2028" w:rsidRPr="00A95269">
        <w:rPr>
          <w:rFonts w:eastAsia="Times New Roman" w:cs="Times New Roman"/>
          <w:bCs/>
          <w:szCs w:val="24"/>
        </w:rPr>
        <w:t>R</w:t>
      </w:r>
      <w:r w:rsidR="00236A0D" w:rsidRPr="00A95269">
        <w:rPr>
          <w:rFonts w:eastAsia="Times New Roman" w:cs="Times New Roman"/>
          <w:bCs/>
          <w:szCs w:val="24"/>
        </w:rPr>
        <w:t>esearch</w:t>
      </w:r>
      <w:r w:rsidRPr="00A95269">
        <w:rPr>
          <w:rFonts w:eastAsia="Times New Roman" w:cs="Times New Roman"/>
          <w:bCs/>
          <w:szCs w:val="24"/>
        </w:rPr>
        <w:t xml:space="preserve"> suggest</w:t>
      </w:r>
      <w:r w:rsidR="00236A0D" w:rsidRPr="00A95269">
        <w:rPr>
          <w:rFonts w:eastAsia="Times New Roman" w:cs="Times New Roman"/>
          <w:bCs/>
          <w:szCs w:val="24"/>
        </w:rPr>
        <w:t>s those with TTM</w:t>
      </w:r>
      <w:r w:rsidR="007730ED" w:rsidRPr="00A95269">
        <w:rPr>
          <w:rFonts w:eastAsia="Times New Roman" w:cs="Times New Roman"/>
          <w:bCs/>
          <w:szCs w:val="24"/>
        </w:rPr>
        <w:t xml:space="preserve"> exhibit</w:t>
      </w:r>
      <w:r w:rsidR="00940730" w:rsidRPr="00A95269">
        <w:rPr>
          <w:rFonts w:eastAsia="Times New Roman" w:cs="Times New Roman"/>
          <w:bCs/>
          <w:szCs w:val="24"/>
        </w:rPr>
        <w:t xml:space="preserve"> varying </w:t>
      </w:r>
      <w:r w:rsidR="00940730">
        <w:rPr>
          <w:rFonts w:eastAsia="Times New Roman" w:cs="Times New Roman"/>
          <w:bCs/>
          <w:szCs w:val="24"/>
        </w:rPr>
        <w:t xml:space="preserve">strengths of two </w:t>
      </w:r>
      <w:r w:rsidR="00EF2028">
        <w:rPr>
          <w:rFonts w:eastAsia="Times New Roman" w:cs="Times New Roman"/>
          <w:bCs/>
          <w:szCs w:val="24"/>
        </w:rPr>
        <w:t xml:space="preserve">pulling </w:t>
      </w:r>
      <w:r w:rsidR="00940730">
        <w:rPr>
          <w:rFonts w:eastAsia="Times New Roman" w:cs="Times New Roman"/>
          <w:bCs/>
          <w:szCs w:val="24"/>
        </w:rPr>
        <w:t>styles</w:t>
      </w:r>
      <w:r w:rsidR="00590B3B">
        <w:rPr>
          <w:rFonts w:eastAsia="Times New Roman" w:cs="Times New Roman"/>
          <w:bCs/>
          <w:szCs w:val="24"/>
        </w:rPr>
        <w:t xml:space="preserve">: </w:t>
      </w:r>
      <w:r w:rsidR="00940730">
        <w:rPr>
          <w:rFonts w:eastAsia="Times New Roman" w:cs="Times New Roman"/>
          <w:bCs/>
          <w:szCs w:val="24"/>
        </w:rPr>
        <w:t xml:space="preserve">automatic and </w:t>
      </w:r>
      <w:r w:rsidR="00590B3B">
        <w:rPr>
          <w:rFonts w:eastAsia="Times New Roman" w:cs="Times New Roman"/>
          <w:bCs/>
          <w:szCs w:val="24"/>
        </w:rPr>
        <w:t>focused</w:t>
      </w:r>
      <w:r w:rsidR="004E1F9A">
        <w:rPr>
          <w:rFonts w:eastAsia="Times New Roman" w:cs="Times New Roman"/>
          <w:bCs/>
          <w:szCs w:val="24"/>
        </w:rPr>
        <w:t xml:space="preserve"> </w:t>
      </w:r>
      <w:r w:rsidR="00DB4ADE">
        <w:rPr>
          <w:rFonts w:eastAsia="Times New Roman" w:cs="Times New Roman"/>
          <w:bCs/>
          <w:szCs w:val="24"/>
        </w:rPr>
        <w:fldChar w:fldCharType="begin" w:fldLock="1"/>
      </w:r>
      <w:r w:rsidR="00C064BE">
        <w:rPr>
          <w:rFonts w:eastAsia="Times New Roman" w:cs="Times New Roman"/>
          <w:bCs/>
          <w:szCs w:val="24"/>
        </w:rPr>
        <w:instrText>ADDIN CSL_CITATION {"citationItems":[{"id":"ITEM-1","itemData":{"DOI":"10.1007/s10862-007-9073-x","ISSN":"08822689","abstract":"This article describes the development of the Milwaukee Inventory for Subtypes of Trichotillomania- Adult Version (MIST-A), which was designed to assess “automatic” and “focused” pulling subtypes of trichotillo- mania (TTM). Participants reporting symptoms of TTM (n=1,697) completed an internet survey; participants were later randomly assigned to either Exploratory (n=848) or Confirmatory (n=849) Analyses. Exploratory Analyses examined the development and psychometric properties of the MIST-A. Results of an exploratory factor analysis revealed a two-factor solution. Factor 1 (“focused” pulling scale) and 2 (“automatic” pulling scale) consisted of ten and five items respectively, with both scales demonstrating adequate internal consistency and good construct and discriminant validity. Subsequent confirmatory factor anal- ysis demonstrated support for the scale’s underlying factor structure. The MIST-A provides researchers with a reliable and valid assessment of “automatic” and “focused” pulling, although replication using a clinically ascertained sample is necessary.","author":[{"dropping-particle":"","family":"Flessner","given":"Christopher A.","non-dropping-particle":"","parse-names":false,"suffix":""},{"dropping-particle":"","family":"Woods","given":"Douglas W.","non-dropping-particle":"","parse-names":false,"suffix":""},{"dropping-particle":"","family":"Franklin","given":"Martin E.","non-dropping-particle":"","parse-names":false,"suffix":""},{"dropping-particle":"","family":"Cashin","given":"Susan E.","non-dropping-particle":"","parse-names":false,"suffix":""},{"dropping-particle":"","family":"Keuthen","given":"Nancy J.","non-dropping-particle":"","parse-names":false,"suffix":""},{"dropping-particle":"","family":"Mansueto","given":"Charles S.","non-dropping-particle":"","parse-names":false,"suffix":""},{"dropping-particle":"","family":"Lerner","given":"Ethan","non-dropping-particle":"","parse-names":false,"suffix":""},{"dropping-particle":"","family":"Penzel","given":"Frederick","non-dropping-particle":"","parse-names":false,"suffix":""},{"dropping-particle":"","family":"Golomb","given":"Ruth","non-dropping-particle":"","parse-names":false,"suffix":""},{"dropping-particle":"","family":"Mouton-Odum","given":"Suzanne","non-dropping-particle":"","parse-names":false,"suffix":""},{"dropping-particle":"","family":"Novak","given":"Carl","non-dropping-particle":"","parse-names":false,"suffix":""},{"dropping-particle":"","family":"O'Sullivan","given":"Richard L.","non-dropping-particle":"","parse-names":false,"suffix":""},{"dropping-particle":"","family":"Pauls","given":"David","non-dropping-particle":"","parse-names":false,"suffix":""},{"dropping-particle":"","family":"Piacentini","given":"John","non-dropping-particle":"","parse-names":false,"suffix":""},{"dropping-particle":"","family":"Stein","given":"Dan","non-dropping-particle":"","parse-names":false,"suffix":""},{"dropping-particle":"","family":"Thienemann","given":"Margo","non-dropping-particle":"","parse-names":false,"suffix":""},{"dropping-particle":"","family":"Walkup","given":"John T.","non-dropping-particle":"","parse-names":false,"suffix":""},{"dropping-particle":"","family":"Wright","given":"Harry H.","non-dropping-particle":"","parse-names":false,"suffix":""}],"container-title":"Journal of Psychopathology and Behavioral Assessment","id":"ITEM-1","issue":"1","issued":{"date-parts":[["2008"]]},"page":"20-30","title":"The Milwaukee Inventory for Subtypes of Trichotillomania-Adult Version (MIST-A): Development of an instrument for the assessment of \"focused\" and \"automatic\" hair pulling","type":"article-journal","volume":"30"},"uris":["http://www.mendeley.com/documents/?uuid=09719b29-3c87-4269-a318-ac73da2006d8"]}],"mendeley":{"formattedCitation":"(Flessner et al., 2008)","plainTextFormattedCitation":"(Flessner et al., 2008)","previouslyFormattedCitation":"(Flessner et al., 2008)"},"properties":{"noteIndex":0},"schema":"https://github.com/citation-style-language/schema/raw/master/csl-citation.json"}</w:instrText>
      </w:r>
      <w:r w:rsidR="00DB4ADE">
        <w:rPr>
          <w:rFonts w:eastAsia="Times New Roman" w:cs="Times New Roman"/>
          <w:bCs/>
          <w:szCs w:val="24"/>
        </w:rPr>
        <w:fldChar w:fldCharType="separate"/>
      </w:r>
      <w:r w:rsidR="00C064BE" w:rsidRPr="00C064BE">
        <w:rPr>
          <w:rFonts w:eastAsia="Times New Roman" w:cs="Times New Roman"/>
          <w:bCs/>
          <w:noProof/>
          <w:szCs w:val="24"/>
        </w:rPr>
        <w:t>(Flessner et al., 2008)</w:t>
      </w:r>
      <w:r w:rsidR="00DB4ADE">
        <w:rPr>
          <w:rFonts w:eastAsia="Times New Roman" w:cs="Times New Roman"/>
          <w:bCs/>
          <w:szCs w:val="24"/>
        </w:rPr>
        <w:fldChar w:fldCharType="end"/>
      </w:r>
      <w:r w:rsidR="004E1F9A">
        <w:rPr>
          <w:rFonts w:eastAsia="Times New Roman" w:cs="Times New Roman"/>
          <w:bCs/>
          <w:szCs w:val="24"/>
        </w:rPr>
        <w:t>.</w:t>
      </w:r>
      <w:r w:rsidR="00940730">
        <w:rPr>
          <w:rFonts w:eastAsia="Times New Roman" w:cs="Times New Roman"/>
          <w:bCs/>
          <w:szCs w:val="24"/>
        </w:rPr>
        <w:t xml:space="preserve"> </w:t>
      </w:r>
      <w:r w:rsidR="00940730" w:rsidRPr="007730ED">
        <w:rPr>
          <w:rFonts w:eastAsia="Times New Roman" w:cs="Times New Roman"/>
          <w:bCs/>
          <w:i/>
          <w:szCs w:val="24"/>
        </w:rPr>
        <w:t>Automatic</w:t>
      </w:r>
      <w:r w:rsidR="00940730">
        <w:rPr>
          <w:rFonts w:eastAsia="Times New Roman" w:cs="Times New Roman"/>
          <w:bCs/>
          <w:szCs w:val="24"/>
        </w:rPr>
        <w:t xml:space="preserve"> pulling occurs out</w:t>
      </w:r>
      <w:r w:rsidR="00A01367">
        <w:rPr>
          <w:rFonts w:eastAsia="Times New Roman" w:cs="Times New Roman"/>
          <w:bCs/>
          <w:szCs w:val="24"/>
        </w:rPr>
        <w:t>side</w:t>
      </w:r>
      <w:r w:rsidR="00940730">
        <w:rPr>
          <w:rFonts w:eastAsia="Times New Roman" w:cs="Times New Roman"/>
          <w:bCs/>
          <w:szCs w:val="24"/>
        </w:rPr>
        <w:t xml:space="preserve"> of awareness and </w:t>
      </w:r>
      <w:r w:rsidR="00940730">
        <w:rPr>
          <w:rFonts w:eastAsia="Times New Roman" w:cs="Times New Roman"/>
          <w:bCs/>
          <w:szCs w:val="24"/>
        </w:rPr>
        <w:lastRenderedPageBreak/>
        <w:t>is likely maintained by tactile or other sensory stimulati</w:t>
      </w:r>
      <w:r w:rsidR="00940730" w:rsidRPr="004B0C04">
        <w:rPr>
          <w:rFonts w:eastAsia="Times New Roman" w:cs="Times New Roman"/>
          <w:bCs/>
          <w:szCs w:val="24"/>
        </w:rPr>
        <w:t xml:space="preserve">on. </w:t>
      </w:r>
      <w:r w:rsidR="005C3227" w:rsidRPr="004B0C04">
        <w:rPr>
          <w:rFonts w:eastAsia="Times New Roman" w:cs="Times New Roman"/>
          <w:bCs/>
          <w:i/>
          <w:szCs w:val="24"/>
        </w:rPr>
        <w:t>F</w:t>
      </w:r>
      <w:r w:rsidR="00940730" w:rsidRPr="004B0C04">
        <w:rPr>
          <w:rFonts w:eastAsia="Times New Roman" w:cs="Times New Roman"/>
          <w:bCs/>
          <w:i/>
          <w:szCs w:val="24"/>
        </w:rPr>
        <w:t xml:space="preserve">ocused </w:t>
      </w:r>
      <w:r w:rsidR="00940730" w:rsidRPr="004B0C04">
        <w:rPr>
          <w:rFonts w:eastAsia="Times New Roman" w:cs="Times New Roman"/>
          <w:bCs/>
          <w:szCs w:val="24"/>
        </w:rPr>
        <w:t xml:space="preserve">pulling is </w:t>
      </w:r>
      <w:r w:rsidR="00B46C73">
        <w:rPr>
          <w:rFonts w:eastAsia="Times New Roman" w:cs="Times New Roman"/>
          <w:bCs/>
          <w:szCs w:val="24"/>
        </w:rPr>
        <w:t xml:space="preserve">believed to be more intentional, with greater awareness, and </w:t>
      </w:r>
      <w:r w:rsidR="00940730" w:rsidRPr="004B0C04">
        <w:rPr>
          <w:rFonts w:eastAsia="Times New Roman" w:cs="Times New Roman"/>
          <w:bCs/>
          <w:szCs w:val="24"/>
        </w:rPr>
        <w:t>regulate an emotional state.</w:t>
      </w:r>
      <w:r w:rsidR="00AD6337">
        <w:rPr>
          <w:rFonts w:eastAsia="Times New Roman" w:cs="Times New Roman"/>
          <w:bCs/>
          <w:szCs w:val="24"/>
        </w:rPr>
        <w:t xml:space="preserve"> Those </w:t>
      </w:r>
      <w:r w:rsidR="00970475" w:rsidRPr="004B0C04">
        <w:rPr>
          <w:rFonts w:eastAsia="Times New Roman" w:cs="Times New Roman"/>
          <w:bCs/>
          <w:szCs w:val="24"/>
        </w:rPr>
        <w:t xml:space="preserve">with TTM </w:t>
      </w:r>
      <w:r w:rsidR="00AD6337">
        <w:rPr>
          <w:rFonts w:eastAsia="Times New Roman" w:cs="Times New Roman"/>
          <w:bCs/>
          <w:szCs w:val="24"/>
        </w:rPr>
        <w:t xml:space="preserve">typically </w:t>
      </w:r>
      <w:r w:rsidR="00970475" w:rsidRPr="004B0C04">
        <w:rPr>
          <w:rFonts w:eastAsia="Times New Roman" w:cs="Times New Roman"/>
          <w:bCs/>
          <w:szCs w:val="24"/>
        </w:rPr>
        <w:t>engag</w:t>
      </w:r>
      <w:r w:rsidR="00DC475E" w:rsidRPr="004B0C04">
        <w:rPr>
          <w:rFonts w:eastAsia="Times New Roman" w:cs="Times New Roman"/>
          <w:bCs/>
          <w:szCs w:val="24"/>
        </w:rPr>
        <w:t>e</w:t>
      </w:r>
      <w:r w:rsidR="00970475" w:rsidRPr="004B0C04">
        <w:rPr>
          <w:rFonts w:eastAsia="Times New Roman" w:cs="Times New Roman"/>
          <w:bCs/>
          <w:szCs w:val="24"/>
        </w:rPr>
        <w:t xml:space="preserve"> in </w:t>
      </w:r>
      <w:r w:rsidR="00DC475E" w:rsidRPr="004B0C04">
        <w:rPr>
          <w:rFonts w:eastAsia="Times New Roman" w:cs="Times New Roman"/>
          <w:bCs/>
          <w:szCs w:val="24"/>
        </w:rPr>
        <w:t xml:space="preserve">both </w:t>
      </w:r>
      <w:r w:rsidR="00970475" w:rsidRPr="004B0C04">
        <w:rPr>
          <w:rFonts w:eastAsia="Times New Roman" w:cs="Times New Roman"/>
          <w:bCs/>
          <w:szCs w:val="24"/>
        </w:rPr>
        <w:t>styles</w:t>
      </w:r>
      <w:r w:rsidR="004E1F9A">
        <w:rPr>
          <w:rFonts w:eastAsia="Times New Roman" w:cs="Times New Roman"/>
          <w:bCs/>
          <w:szCs w:val="24"/>
        </w:rPr>
        <w:t xml:space="preserve"> </w:t>
      </w:r>
      <w:r w:rsidR="00DB4ADE" w:rsidRPr="004B0C04">
        <w:rPr>
          <w:rFonts w:eastAsia="Times New Roman" w:cs="Times New Roman"/>
          <w:bCs/>
          <w:szCs w:val="24"/>
        </w:rPr>
        <w:fldChar w:fldCharType="begin" w:fldLock="1"/>
      </w:r>
      <w:r w:rsidR="00C064BE">
        <w:rPr>
          <w:rFonts w:eastAsia="Times New Roman" w:cs="Times New Roman"/>
          <w:bCs/>
          <w:szCs w:val="24"/>
        </w:rPr>
        <w:instrText>ADDIN CSL_CITATION {"citationItems":[{"id":"ITEM-1","itemData":{"DOI":"10.1016/j.jocrd.2016.08.001","ISSN":"22113657","abstract":"The Milwaukee Inventory for Subtypes of Trichotillomania-Adult Version (MIST-A; Flessner et al., 2008) measures the degree to which hair pulling in Trichotillomania (TTM) can be described as “automatic” (i.e., done without awareness and unrelated to affective states) and/or “focused” (i.e., done with awareness and to regulate affective states). Despite preliminary evidence in support of the psychometric properties of the MIST-A, emerging research suggests the original factor structure may not optimally capture TTM phenomenology. Using data from a treatment-seeking TTM sample, the current study examined the factor structure of the MIST-A via exploratory factor analysis. The resulting two factor solution suggested the MIST-A consists of a 5-item “awareness of pulling” factor that measures the degree to which pulling is done with awareness and an 8-item “internal-regulated pulling” factor that measures the degree to which pulling is done to regulate internal stimuli (e.g., emotions, cognitions, and urges). Correlational analyses provided preliminary evidence for the validity of these derived factors. Findings from this study challenge the notions of “automatic” and “focused” pulling styles and suggest that researchers should continue to explore TTM subtypes.","author":[{"dropping-particle":"","family":"Alexander","given":"Jennifer R.","non-dropping-particle":"","parse-names":false,"suffix":""},{"dropping-particle":"","family":"Houghton","given":"David C.","non-dropping-particle":"","parse-names":false,"suffix":""},{"dropping-particle":"","family":"Twohig","given":"Michael P.","non-dropping-particle":"","parse-names":false,"suffix":""},{"dropping-particle":"","family":"Franklin","given":"Martin E.","non-dropping-particle":"","parse-names":false,"suffix":""},{"dropping-particle":"","family":"Saunders","given":"Stephen M.","non-dropping-particle":"","parse-names":false,"suffix":""},{"dropping-particle":"","family":"Neal-Barnett","given":"Angela M.","non-dropping-particle":"","parse-names":false,"suffix":""},{"dropping-particle":"","family":"Compton","given":"Scott N.","non-dropping-particle":"","parse-names":false,"suffix":""},{"dropping-particle":"","family":"Woods","given":"Douglas W.","non-dropping-particle":"","parse-names":false,"suffix":""}],"container-title":"Journal of Obsessive-Compulsive and Related Disorders","id":"ITEM-1","issued":{"date-parts":[["2016"]]},"page":"31-38","title":"Factor analysis of the Milwaukee Inventory for Subtypes of Trichotillomania-Adult Version","type":"article-journal","volume":"11"},"uris":["http://www.mendeley.com/documents/?uuid=302947ca-16dd-44fd-ba89-59be5e97eb41"]}],"mendeley":{"formattedCitation":"(Alexander et al., 2016)","plainTextFormattedCitation":"(Alexander et al., 2016)","previouslyFormattedCitation":"(Alexander et al., 2016)"},"properties":{"noteIndex":0},"schema":"https://github.com/citation-style-language/schema/raw/master/csl-citation.json"}</w:instrText>
      </w:r>
      <w:r w:rsidR="00DB4ADE" w:rsidRPr="004B0C04">
        <w:rPr>
          <w:rFonts w:eastAsia="Times New Roman" w:cs="Times New Roman"/>
          <w:bCs/>
          <w:szCs w:val="24"/>
        </w:rPr>
        <w:fldChar w:fldCharType="separate"/>
      </w:r>
      <w:r w:rsidR="00C064BE" w:rsidRPr="00C064BE">
        <w:rPr>
          <w:rFonts w:eastAsia="Times New Roman" w:cs="Times New Roman"/>
          <w:bCs/>
          <w:noProof/>
          <w:szCs w:val="24"/>
        </w:rPr>
        <w:t>(Alexander et al., 2016)</w:t>
      </w:r>
      <w:r w:rsidR="00DB4ADE" w:rsidRPr="004B0C04">
        <w:rPr>
          <w:rFonts w:eastAsia="Times New Roman" w:cs="Times New Roman"/>
          <w:bCs/>
          <w:szCs w:val="24"/>
        </w:rPr>
        <w:fldChar w:fldCharType="end"/>
      </w:r>
      <w:r w:rsidR="004E1F9A">
        <w:rPr>
          <w:rFonts w:eastAsia="Times New Roman" w:cs="Times New Roman"/>
          <w:bCs/>
          <w:szCs w:val="24"/>
        </w:rPr>
        <w:t>.</w:t>
      </w:r>
    </w:p>
    <w:p w14:paraId="0A9A37AC" w14:textId="407DDC83" w:rsidR="007730ED" w:rsidRPr="00E13CFF" w:rsidRDefault="00215604" w:rsidP="00E13CFF">
      <w:pPr>
        <w:widowControl w:val="0"/>
        <w:spacing w:line="480" w:lineRule="auto"/>
        <w:ind w:firstLine="720"/>
        <w:rPr>
          <w:rFonts w:eastAsia="Times New Roman" w:cs="Times New Roman"/>
          <w:bCs/>
          <w:szCs w:val="24"/>
        </w:rPr>
      </w:pPr>
      <w:r>
        <w:rPr>
          <w:rFonts w:eastAsia="Times New Roman" w:cs="Times New Roman"/>
          <w:bCs/>
          <w:szCs w:val="24"/>
        </w:rPr>
        <w:t>Designed to increase</w:t>
      </w:r>
      <w:r w:rsidR="007730ED">
        <w:rPr>
          <w:rFonts w:eastAsia="Times New Roman" w:cs="Times New Roman"/>
          <w:bCs/>
          <w:szCs w:val="24"/>
        </w:rPr>
        <w:t xml:space="preserve"> awareness of </w:t>
      </w:r>
      <w:r w:rsidR="005908D8">
        <w:rPr>
          <w:rFonts w:eastAsia="Times New Roman" w:cs="Times New Roman"/>
          <w:bCs/>
          <w:szCs w:val="24"/>
        </w:rPr>
        <w:t xml:space="preserve">pulling </w:t>
      </w:r>
      <w:r w:rsidR="007730ED">
        <w:rPr>
          <w:rFonts w:eastAsia="Times New Roman" w:cs="Times New Roman"/>
          <w:bCs/>
          <w:szCs w:val="24"/>
        </w:rPr>
        <w:t>and disrupt habitual behavior patterns</w:t>
      </w:r>
      <w:r w:rsidR="0074698B">
        <w:rPr>
          <w:rFonts w:eastAsia="Times New Roman" w:cs="Times New Roman"/>
          <w:bCs/>
          <w:szCs w:val="24"/>
        </w:rPr>
        <w:t>,</w:t>
      </w:r>
      <w:r w:rsidR="00970475">
        <w:rPr>
          <w:rFonts w:eastAsia="Times New Roman" w:cs="Times New Roman"/>
          <w:bCs/>
          <w:color w:val="7030A0"/>
          <w:szCs w:val="24"/>
        </w:rPr>
        <w:t xml:space="preserve"> </w:t>
      </w:r>
      <w:r w:rsidR="000F653C">
        <w:rPr>
          <w:rFonts w:eastAsia="Times New Roman" w:cs="Times New Roman"/>
          <w:bCs/>
          <w:szCs w:val="24"/>
        </w:rPr>
        <w:t xml:space="preserve">HRT+SC </w:t>
      </w:r>
      <w:r w:rsidR="001F162D">
        <w:rPr>
          <w:rFonts w:eastAsia="Times New Roman" w:cs="Times New Roman"/>
          <w:bCs/>
          <w:szCs w:val="24"/>
        </w:rPr>
        <w:t>seem</w:t>
      </w:r>
      <w:r w:rsidR="00267FC7">
        <w:rPr>
          <w:rFonts w:eastAsia="Times New Roman" w:cs="Times New Roman"/>
          <w:bCs/>
          <w:szCs w:val="24"/>
        </w:rPr>
        <w:t>s</w:t>
      </w:r>
      <w:r w:rsidR="001F162D">
        <w:rPr>
          <w:rFonts w:eastAsia="Times New Roman" w:cs="Times New Roman"/>
          <w:bCs/>
          <w:szCs w:val="24"/>
        </w:rPr>
        <w:t xml:space="preserve"> </w:t>
      </w:r>
      <w:r w:rsidR="000F653C">
        <w:rPr>
          <w:rFonts w:eastAsia="Times New Roman" w:cs="Times New Roman"/>
          <w:bCs/>
          <w:szCs w:val="24"/>
        </w:rPr>
        <w:t>ideally suited for addressing automatic pulling</w:t>
      </w:r>
      <w:r w:rsidR="00464777">
        <w:rPr>
          <w:rFonts w:eastAsia="Times New Roman" w:cs="Times New Roman"/>
          <w:bCs/>
          <w:szCs w:val="24"/>
        </w:rPr>
        <w:t xml:space="preserve"> </w:t>
      </w:r>
      <w:r w:rsidR="00464777">
        <w:rPr>
          <w:rFonts w:eastAsia="Times New Roman" w:cs="Times New Roman"/>
          <w:bCs/>
          <w:szCs w:val="24"/>
        </w:rPr>
        <w:fldChar w:fldCharType="begin" w:fldLock="1"/>
      </w:r>
      <w:r w:rsidR="00C064BE">
        <w:rPr>
          <w:rFonts w:eastAsia="Times New Roman" w:cs="Times New Roman"/>
          <w:bCs/>
          <w:szCs w:val="24"/>
        </w:rPr>
        <w:instrText>ADDIN CSL_CITATION {"citationItems":[{"id":"ITEM-1","itemData":{"DOI":"10.1891/0889-8391.24.1.46","ISSN":"0889-8391","abstract":"Trichotillomania (TTM), or chronic hair pulling, is associated with significant levels of distress and impairment. While research is in its infancy, more data are accumulating regarding the impact, phenomenology, maintaining variables, etiology, and treatment of TTM. Behavior therapy and clomipramine have been moderately effective in reducing TTM symptoms in clinical trials. Enhancing behavior therapy with techniques designed to address TTM patients' emotional control tendencies (e.g., acceptance-based procedures) represents a promising direction in treating TTM. © 2010 Springer Publishing Company.","author":[{"dropping-particle":"","family":"Walther","given":"Michael R.","non-dropping-particle":"","parse-names":false,"suffix":""},{"dropping-particle":"","family":"Ricketts","given":"Emily J.","non-dropping-particle":"","parse-names":false,"suffix":""},{"dropping-particle":"","family":"Conelea","given":"Christine A.","non-dropping-particle":"","parse-names":false,"suffix":""},{"dropping-particle":"","family":"Woods","given":"Douglas W.","non-dropping-particle":"","parse-names":false,"suffix":""}],"container-title":"Journal of Cognitive Psychotherapy","id":"ITEM-1","issue":"1","issued":{"date-parts":[["2010"]]},"page":"46-64","title":"Recent advances in the understanding and treatment of trichotillomania","type":"article-journal","volume":"24"},"uris":["http://www.mendeley.com/documents/?uuid=a46970e6-be75-4fc8-829e-1e8e6876a273"]}],"mendeley":{"formattedCitation":"(Walther et al., 2010)","plainTextFormattedCitation":"(Walther et al., 2010)","previouslyFormattedCitation":"(Walther et al., 2010)"},"properties":{"noteIndex":0},"schema":"https://github.com/citation-style-language/schema/raw/master/csl-citation.json"}</w:instrText>
      </w:r>
      <w:r w:rsidR="00464777">
        <w:rPr>
          <w:rFonts w:eastAsia="Times New Roman" w:cs="Times New Roman"/>
          <w:bCs/>
          <w:szCs w:val="24"/>
        </w:rPr>
        <w:fldChar w:fldCharType="separate"/>
      </w:r>
      <w:r w:rsidR="00C064BE" w:rsidRPr="00C064BE">
        <w:rPr>
          <w:rFonts w:eastAsia="Times New Roman" w:cs="Times New Roman"/>
          <w:bCs/>
          <w:noProof/>
          <w:szCs w:val="24"/>
        </w:rPr>
        <w:t>(Walther et al., 2010)</w:t>
      </w:r>
      <w:r w:rsidR="00464777">
        <w:rPr>
          <w:rFonts w:eastAsia="Times New Roman" w:cs="Times New Roman"/>
          <w:bCs/>
          <w:szCs w:val="24"/>
        </w:rPr>
        <w:fldChar w:fldCharType="end"/>
      </w:r>
      <w:r w:rsidR="000F653C">
        <w:rPr>
          <w:rFonts w:eastAsia="Times New Roman" w:cs="Times New Roman"/>
          <w:bCs/>
          <w:szCs w:val="24"/>
        </w:rPr>
        <w:t xml:space="preserve">. </w:t>
      </w:r>
      <w:r w:rsidR="005C3227">
        <w:rPr>
          <w:rFonts w:eastAsia="Times New Roman" w:cs="Times New Roman"/>
          <w:bCs/>
          <w:szCs w:val="24"/>
        </w:rPr>
        <w:t xml:space="preserve">However, </w:t>
      </w:r>
      <w:r w:rsidR="00EF2028">
        <w:rPr>
          <w:rFonts w:eastAsia="Times New Roman" w:cs="Times New Roman"/>
          <w:bCs/>
          <w:szCs w:val="24"/>
        </w:rPr>
        <w:t>HRT</w:t>
      </w:r>
      <w:r w:rsidR="00970475">
        <w:rPr>
          <w:rFonts w:eastAsia="Times New Roman" w:cs="Times New Roman"/>
          <w:bCs/>
          <w:szCs w:val="24"/>
        </w:rPr>
        <w:t>+</w:t>
      </w:r>
      <w:r w:rsidR="000F653C">
        <w:rPr>
          <w:rFonts w:eastAsia="Times New Roman" w:cs="Times New Roman"/>
          <w:bCs/>
          <w:szCs w:val="24"/>
        </w:rPr>
        <w:t xml:space="preserve">SC </w:t>
      </w:r>
      <w:r w:rsidR="00267FC7">
        <w:rPr>
          <w:rFonts w:eastAsia="Times New Roman" w:cs="Times New Roman"/>
          <w:bCs/>
          <w:szCs w:val="24"/>
        </w:rPr>
        <w:t>is</w:t>
      </w:r>
      <w:r w:rsidR="00D25C7F">
        <w:rPr>
          <w:rFonts w:eastAsia="Times New Roman" w:cs="Times New Roman"/>
          <w:bCs/>
          <w:szCs w:val="24"/>
        </w:rPr>
        <w:t xml:space="preserve"> n</w:t>
      </w:r>
      <w:r w:rsidR="007730ED">
        <w:rPr>
          <w:rFonts w:eastAsia="Times New Roman" w:cs="Times New Roman"/>
          <w:bCs/>
          <w:szCs w:val="24"/>
        </w:rPr>
        <w:t>o</w:t>
      </w:r>
      <w:r w:rsidR="00D25C7F">
        <w:rPr>
          <w:rFonts w:eastAsia="Times New Roman" w:cs="Times New Roman"/>
          <w:bCs/>
          <w:szCs w:val="24"/>
        </w:rPr>
        <w:t>t</w:t>
      </w:r>
      <w:r w:rsidR="00EF2028">
        <w:rPr>
          <w:rFonts w:eastAsia="Times New Roman" w:cs="Times New Roman"/>
          <w:bCs/>
          <w:szCs w:val="24"/>
        </w:rPr>
        <w:t xml:space="preserve"> designed to</w:t>
      </w:r>
      <w:r w:rsidR="007730ED">
        <w:rPr>
          <w:rFonts w:eastAsia="Times New Roman" w:cs="Times New Roman"/>
          <w:bCs/>
          <w:szCs w:val="24"/>
        </w:rPr>
        <w:t xml:space="preserve"> diminish pulling-evoking </w:t>
      </w:r>
      <w:r w:rsidR="000F653C">
        <w:rPr>
          <w:rFonts w:eastAsia="Times New Roman" w:cs="Times New Roman"/>
          <w:bCs/>
          <w:szCs w:val="24"/>
        </w:rPr>
        <w:t>emotional states</w:t>
      </w:r>
      <w:r w:rsidR="007730ED">
        <w:rPr>
          <w:rFonts w:eastAsia="Times New Roman" w:cs="Times New Roman"/>
          <w:bCs/>
          <w:szCs w:val="24"/>
        </w:rPr>
        <w:t xml:space="preserve"> nor </w:t>
      </w:r>
      <w:r w:rsidR="00EF2028">
        <w:rPr>
          <w:rFonts w:eastAsia="Times New Roman" w:cs="Times New Roman"/>
          <w:bCs/>
          <w:szCs w:val="24"/>
        </w:rPr>
        <w:t>do</w:t>
      </w:r>
      <w:r w:rsidR="002D7B60">
        <w:rPr>
          <w:rFonts w:eastAsia="Times New Roman" w:cs="Times New Roman"/>
          <w:bCs/>
          <w:szCs w:val="24"/>
        </w:rPr>
        <w:t>es it</w:t>
      </w:r>
      <w:r w:rsidR="00EF2028">
        <w:rPr>
          <w:rFonts w:eastAsia="Times New Roman" w:cs="Times New Roman"/>
          <w:bCs/>
          <w:szCs w:val="24"/>
        </w:rPr>
        <w:t xml:space="preserve"> </w:t>
      </w:r>
      <w:r w:rsidR="000F653C">
        <w:rPr>
          <w:rFonts w:eastAsia="Times New Roman" w:cs="Times New Roman"/>
          <w:bCs/>
          <w:szCs w:val="24"/>
        </w:rPr>
        <w:t xml:space="preserve">teach emotional regulation </w:t>
      </w:r>
      <w:r w:rsidR="007730ED">
        <w:rPr>
          <w:rFonts w:eastAsia="Times New Roman" w:cs="Times New Roman"/>
          <w:bCs/>
          <w:szCs w:val="24"/>
        </w:rPr>
        <w:t xml:space="preserve">skills that </w:t>
      </w:r>
      <w:r>
        <w:rPr>
          <w:rFonts w:eastAsia="Times New Roman" w:cs="Times New Roman"/>
          <w:bCs/>
          <w:szCs w:val="24"/>
        </w:rPr>
        <w:t>may</w:t>
      </w:r>
      <w:r w:rsidR="007730ED">
        <w:rPr>
          <w:rFonts w:eastAsia="Times New Roman" w:cs="Times New Roman"/>
          <w:bCs/>
          <w:szCs w:val="24"/>
        </w:rPr>
        <w:t xml:space="preserve"> </w:t>
      </w:r>
      <w:r w:rsidR="00BA46F5">
        <w:rPr>
          <w:rFonts w:eastAsia="Times New Roman" w:cs="Times New Roman"/>
          <w:bCs/>
          <w:szCs w:val="24"/>
        </w:rPr>
        <w:t xml:space="preserve">mitigate </w:t>
      </w:r>
      <w:r w:rsidR="005C3227">
        <w:rPr>
          <w:rFonts w:eastAsia="Times New Roman" w:cs="Times New Roman"/>
          <w:bCs/>
          <w:szCs w:val="24"/>
        </w:rPr>
        <w:t>focused pulling</w:t>
      </w:r>
      <w:r w:rsidR="0074698B">
        <w:rPr>
          <w:rFonts w:eastAsia="Times New Roman" w:cs="Times New Roman"/>
          <w:bCs/>
          <w:szCs w:val="24"/>
        </w:rPr>
        <w:t xml:space="preserve"> </w:t>
      </w:r>
      <w:r w:rsidR="00DB4ADE">
        <w:rPr>
          <w:rFonts w:eastAsia="Times New Roman" w:cs="Times New Roman"/>
          <w:bCs/>
          <w:szCs w:val="24"/>
        </w:rPr>
        <w:fldChar w:fldCharType="begin" w:fldLock="1"/>
      </w:r>
      <w:r w:rsidR="00C064BE">
        <w:rPr>
          <w:rFonts w:eastAsia="Times New Roman" w:cs="Times New Roman"/>
          <w:bCs/>
          <w:szCs w:val="24"/>
        </w:rPr>
        <w:instrText>ADDIN CSL_CITATION {"citationItems":[{"id":"ITEM-1","itemData":{"DOI":"10.1016/j.brat.2005.05.006","author":[{"dropping-particle":"","family":"Woods","given":"Douglas W.","non-dropping-particle":"","parse-names":false,"suffix":""},{"dropping-particle":"","family":"Wetterneck","given":"Chad T.","non-dropping-particle":"","parse-names":false,"suffix":""},{"dropping-particle":"","family":"Flessner","given":"Christopher A.","non-dropping-particle":"","parse-names":false,"suffix":""}],"container-title":"Behaviour Research and Therapy","id":"ITEM-1","issue":"5","issued":{"date-parts":[["2006"]]},"page":"639-656","title":"A controlled evaluation of acceptance and commitment therapy plus habit reversal for trichotillomania","type":"article-journal","volume":"44"},"uris":["http://www.mendeley.com/documents/?uuid=b02e60de-296e-4066-9019-963f8673a18c"]},{"id":"ITEM-2","itemData":{"DOI":"10.1891/0889-8391.24.1.46","ISSN":"0889-8391","abstract":"Trichotillomania (TTM), or chronic hair pulling, is associated with significant levels of distress and impairment. While research is in its infancy, more data are accumulating regarding the impact, phenomenology, maintaining variables, etiology, and treatment of TTM. Behavior therapy and clomipramine have been moderately effective in reducing TTM symptoms in clinical trials. Enhancing behavior therapy with techniques designed to address TTM patients' emotional control tendencies (e.g., acceptance-based procedures) represents a promising direction in treating TTM. © 2010 Springer Publishing Company.","author":[{"dropping-particle":"","family":"Walther","given":"Michael R.","non-dropping-particle":"","parse-names":false,"suffix":""},{"dropping-particle":"","family":"Ricketts","given":"Emily J.","non-dropping-particle":"","parse-names":false,"suffix":""},{"dropping-particle":"","family":"Conelea","given":"Christine A.","non-dropping-particle":"","parse-names":false,"suffix":""},{"dropping-particle":"","family":"Woods","given":"Douglas W.","non-dropping-particle":"","parse-names":false,"suffix":""}],"container-title":"Journal of Cognitive Psychotherapy","id":"ITEM-2","issue":"1","issued":{"date-parts":[["2010"]]},"page":"46-64","title":"Recent advances in the understanding and treatment of trichotillomania","type":"article-journal","volume":"24"},"uris":["http://www.mendeley.com/documents/?uuid=a46970e6-be75-4fc8-829e-1e8e6876a273"]}],"mendeley":{"formattedCitation":"(Walther et al., 2010; Woods, Wetterneck, et al., 2006)","plainTextFormattedCitation":"(Walther et al., 2010; Woods, Wetterneck, et al., 2006)","previouslyFormattedCitation":"(Walther et al., 2010; Woods, Wetterneck, et al., 2006)"},"properties":{"noteIndex":0},"schema":"https://github.com/citation-style-language/schema/raw/master/csl-citation.json"}</w:instrText>
      </w:r>
      <w:r w:rsidR="00DB4ADE">
        <w:rPr>
          <w:rFonts w:eastAsia="Times New Roman" w:cs="Times New Roman"/>
          <w:bCs/>
          <w:szCs w:val="24"/>
        </w:rPr>
        <w:fldChar w:fldCharType="separate"/>
      </w:r>
      <w:r w:rsidR="00C064BE" w:rsidRPr="00C064BE">
        <w:rPr>
          <w:rFonts w:eastAsia="Times New Roman" w:cs="Times New Roman"/>
          <w:bCs/>
          <w:noProof/>
          <w:szCs w:val="24"/>
        </w:rPr>
        <w:t>(Walther et al., 2010; Woods, Wetterneck, et al., 2006)</w:t>
      </w:r>
      <w:r w:rsidR="00DB4ADE">
        <w:rPr>
          <w:rFonts w:eastAsia="Times New Roman" w:cs="Times New Roman"/>
          <w:bCs/>
          <w:szCs w:val="24"/>
        </w:rPr>
        <w:fldChar w:fldCharType="end"/>
      </w:r>
      <w:r w:rsidR="003628A1">
        <w:rPr>
          <w:rFonts w:eastAsia="Times New Roman" w:cs="Times New Roman"/>
          <w:bCs/>
          <w:szCs w:val="24"/>
        </w:rPr>
        <w:t>.</w:t>
      </w:r>
      <w:r w:rsidR="00D21486">
        <w:rPr>
          <w:rFonts w:eastAsia="Times New Roman" w:cs="Times New Roman"/>
          <w:bCs/>
          <w:szCs w:val="24"/>
        </w:rPr>
        <w:t xml:space="preserve"> </w:t>
      </w:r>
      <w:r w:rsidR="007730ED" w:rsidRPr="008478EE">
        <w:rPr>
          <w:rFonts w:eastAsia="Times New Roman" w:cs="Times New Roman"/>
          <w:bCs/>
          <w:szCs w:val="24"/>
        </w:rPr>
        <w:t xml:space="preserve">As a result, </w:t>
      </w:r>
      <w:r w:rsidR="005908D8">
        <w:rPr>
          <w:rFonts w:eastAsia="Times New Roman" w:cs="Times New Roman"/>
          <w:bCs/>
          <w:szCs w:val="24"/>
        </w:rPr>
        <w:t xml:space="preserve">our research group </w:t>
      </w:r>
      <w:r w:rsidR="00CB120B" w:rsidRPr="008478EE">
        <w:rPr>
          <w:rFonts w:eastAsia="Times New Roman" w:cs="Times New Roman"/>
          <w:bCs/>
          <w:szCs w:val="24"/>
        </w:rPr>
        <w:t xml:space="preserve">created acceptance-enhanced behavior therapy for TTM (AEBT-TTM), a treatment for TTM that supplements HRT+SC with </w:t>
      </w:r>
      <w:r w:rsidR="00EE54F1" w:rsidRPr="008478EE">
        <w:rPr>
          <w:rFonts w:eastAsia="Times New Roman" w:cs="Times New Roman"/>
          <w:bCs/>
          <w:szCs w:val="24"/>
        </w:rPr>
        <w:t xml:space="preserve">acceptance-based </w:t>
      </w:r>
      <w:r w:rsidR="00EE54F1">
        <w:rPr>
          <w:rFonts w:eastAsia="Times New Roman" w:cs="Times New Roman"/>
          <w:bCs/>
          <w:szCs w:val="24"/>
        </w:rPr>
        <w:t>therapy</w:t>
      </w:r>
      <w:r w:rsidR="003628A1">
        <w:rPr>
          <w:rFonts w:eastAsia="Times New Roman" w:cs="Times New Roman"/>
          <w:bCs/>
          <w:szCs w:val="24"/>
        </w:rPr>
        <w:t xml:space="preserve"> </w:t>
      </w:r>
      <w:r w:rsidR="003628A1" w:rsidRPr="008478EE">
        <w:rPr>
          <w:rFonts w:eastAsia="Times New Roman" w:cs="Times New Roman"/>
          <w:bCs/>
          <w:szCs w:val="24"/>
        </w:rPr>
        <w:fldChar w:fldCharType="begin" w:fldLock="1"/>
      </w:r>
      <w:r w:rsidR="00C064BE">
        <w:rPr>
          <w:rFonts w:eastAsia="Times New Roman" w:cs="Times New Roman"/>
          <w:bCs/>
          <w:szCs w:val="24"/>
        </w:rPr>
        <w:instrText>ADDIN CSL_CITATION {"citationItems":[{"id":"ITEM-1","itemData":{"author":[{"dropping-particle":"","family":"Woods","given":"Douglas W.","non-dropping-particle":"","parse-names":false,"suffix":""},{"dropping-particle":"","family":"Twohig","given":"Michael P.","non-dropping-particle":"","parse-names":false,"suffix":""}],"id":"ITEM-1","issued":{"date-parts":[["2008"]]},"publisher":"Oxford University Press","publisher-place":"New York, NY","title":"Trichotillomania: An ACT-enhanced behavior therapy approach therapist guide","type":"book"},"uris":["http://www.mendeley.com/documents/?uuid=f79f0676-7e51-4c36-8f95-3bf8b743016a"]}],"mendeley":{"formattedCitation":"(Woods &amp; Twohig, 2008)","plainTextFormattedCitation":"(Woods &amp; Twohig, 2008)","previouslyFormattedCitation":"(Woods &amp; Twohig, 2008)"},"properties":{"noteIndex":0},"schema":"https://github.com/citation-style-language/schema/raw/master/csl-citation.json"}</w:instrText>
      </w:r>
      <w:r w:rsidR="003628A1" w:rsidRPr="008478EE">
        <w:rPr>
          <w:rFonts w:eastAsia="Times New Roman" w:cs="Times New Roman"/>
          <w:bCs/>
          <w:szCs w:val="24"/>
        </w:rPr>
        <w:fldChar w:fldCharType="separate"/>
      </w:r>
      <w:r w:rsidR="00C064BE" w:rsidRPr="00C064BE">
        <w:rPr>
          <w:rFonts w:eastAsia="Times New Roman" w:cs="Times New Roman"/>
          <w:bCs/>
          <w:noProof/>
          <w:szCs w:val="24"/>
        </w:rPr>
        <w:t>(Woods &amp; Twohig, 2008)</w:t>
      </w:r>
      <w:r w:rsidR="003628A1" w:rsidRPr="008478EE">
        <w:rPr>
          <w:rFonts w:eastAsia="Times New Roman" w:cs="Times New Roman"/>
          <w:bCs/>
          <w:szCs w:val="24"/>
        </w:rPr>
        <w:fldChar w:fldCharType="end"/>
      </w:r>
      <w:r w:rsidR="00CB120B" w:rsidRPr="00960261">
        <w:rPr>
          <w:rFonts w:eastAsia="Times New Roman" w:cs="Times New Roman"/>
          <w:bCs/>
          <w:szCs w:val="24"/>
        </w:rPr>
        <w:t>.</w:t>
      </w:r>
      <w:r w:rsidR="00CB120B" w:rsidRPr="008478EE">
        <w:rPr>
          <w:rFonts w:eastAsia="Times New Roman" w:cs="Times New Roman"/>
          <w:bCs/>
          <w:szCs w:val="24"/>
        </w:rPr>
        <w:t xml:space="preserve"> </w:t>
      </w:r>
      <w:r w:rsidR="005908D8">
        <w:rPr>
          <w:rFonts w:eastAsia="Times New Roman" w:cs="Times New Roman"/>
          <w:bCs/>
          <w:szCs w:val="24"/>
        </w:rPr>
        <w:t>This therapy was</w:t>
      </w:r>
      <w:r w:rsidR="004D5FBC">
        <w:rPr>
          <w:rFonts w:eastAsia="Times New Roman" w:cs="Times New Roman"/>
          <w:bCs/>
          <w:szCs w:val="24"/>
        </w:rPr>
        <w:t xml:space="preserve"> added</w:t>
      </w:r>
      <w:r w:rsidR="00EF2028" w:rsidRPr="008478EE">
        <w:rPr>
          <w:rFonts w:eastAsia="Times New Roman" w:cs="Times New Roman"/>
          <w:bCs/>
          <w:szCs w:val="24"/>
        </w:rPr>
        <w:t xml:space="preserve"> to </w:t>
      </w:r>
      <w:r w:rsidR="00060C84" w:rsidRPr="008478EE">
        <w:rPr>
          <w:rFonts w:eastAsia="Times New Roman" w:cs="Times New Roman"/>
          <w:bCs/>
          <w:szCs w:val="24"/>
        </w:rPr>
        <w:t>(</w:t>
      </w:r>
      <w:r w:rsidR="00F37375">
        <w:rPr>
          <w:rFonts w:eastAsia="Times New Roman" w:cs="Times New Roman"/>
          <w:bCs/>
          <w:szCs w:val="24"/>
        </w:rPr>
        <w:t>a)</w:t>
      </w:r>
      <w:r w:rsidR="005C3227" w:rsidRPr="008478EE">
        <w:rPr>
          <w:rFonts w:eastAsia="Times New Roman" w:cs="Times New Roman"/>
          <w:iCs/>
          <w:szCs w:val="24"/>
        </w:rPr>
        <w:t xml:space="preserve"> reduc</w:t>
      </w:r>
      <w:r w:rsidR="00EF2028" w:rsidRPr="008478EE">
        <w:rPr>
          <w:rFonts w:eastAsia="Times New Roman" w:cs="Times New Roman"/>
          <w:iCs/>
          <w:szCs w:val="24"/>
        </w:rPr>
        <w:t xml:space="preserve">e </w:t>
      </w:r>
      <w:r w:rsidR="007E7EDB">
        <w:rPr>
          <w:rFonts w:eastAsia="Times New Roman" w:cs="Times New Roman"/>
          <w:iCs/>
          <w:szCs w:val="24"/>
        </w:rPr>
        <w:t>patients’</w:t>
      </w:r>
      <w:r w:rsidR="007E7EDB" w:rsidRPr="008478EE">
        <w:rPr>
          <w:rFonts w:eastAsia="Times New Roman" w:cs="Times New Roman"/>
          <w:iCs/>
          <w:szCs w:val="24"/>
        </w:rPr>
        <w:t xml:space="preserve"> </w:t>
      </w:r>
      <w:r w:rsidR="00EF2028" w:rsidRPr="008478EE">
        <w:rPr>
          <w:rFonts w:eastAsia="Times New Roman" w:cs="Times New Roman"/>
          <w:iCs/>
          <w:szCs w:val="24"/>
        </w:rPr>
        <w:t>use of</w:t>
      </w:r>
      <w:r w:rsidR="005C3227" w:rsidRPr="008478EE">
        <w:rPr>
          <w:rFonts w:eastAsia="Times New Roman" w:cs="Times New Roman"/>
          <w:iCs/>
          <w:szCs w:val="24"/>
        </w:rPr>
        <w:t xml:space="preserve"> </w:t>
      </w:r>
      <w:r w:rsidR="007730ED" w:rsidRPr="008478EE">
        <w:rPr>
          <w:rFonts w:eastAsia="Times New Roman" w:cs="Times New Roman"/>
          <w:iCs/>
          <w:szCs w:val="24"/>
        </w:rPr>
        <w:t xml:space="preserve">ineffective </w:t>
      </w:r>
      <w:r w:rsidR="005C3227" w:rsidRPr="008478EE">
        <w:rPr>
          <w:rFonts w:eastAsia="Times New Roman" w:cs="Times New Roman"/>
          <w:iCs/>
          <w:szCs w:val="24"/>
        </w:rPr>
        <w:t>emotional control strategie</w:t>
      </w:r>
      <w:r w:rsidR="00BA4B0F">
        <w:rPr>
          <w:rFonts w:eastAsia="Times New Roman" w:cs="Times New Roman"/>
          <w:iCs/>
          <w:szCs w:val="24"/>
        </w:rPr>
        <w:t>s</w:t>
      </w:r>
      <w:r w:rsidR="007E7EDB">
        <w:rPr>
          <w:rFonts w:eastAsia="Times New Roman" w:cs="Times New Roman"/>
          <w:iCs/>
          <w:szCs w:val="24"/>
        </w:rPr>
        <w:t>;</w:t>
      </w:r>
      <w:r w:rsidR="005C3227" w:rsidRPr="008478EE">
        <w:rPr>
          <w:rFonts w:eastAsia="Times New Roman" w:cs="Times New Roman"/>
          <w:iCs/>
          <w:szCs w:val="24"/>
        </w:rPr>
        <w:t xml:space="preserve"> (</w:t>
      </w:r>
      <w:r w:rsidR="00F37375">
        <w:rPr>
          <w:rFonts w:eastAsia="Times New Roman" w:cs="Times New Roman"/>
          <w:iCs/>
          <w:szCs w:val="24"/>
        </w:rPr>
        <w:t>b</w:t>
      </w:r>
      <w:r w:rsidR="005C3227" w:rsidRPr="008478EE">
        <w:rPr>
          <w:rFonts w:eastAsia="Times New Roman" w:cs="Times New Roman"/>
          <w:iCs/>
          <w:szCs w:val="24"/>
        </w:rPr>
        <w:t>) increas</w:t>
      </w:r>
      <w:r w:rsidR="00EF2028" w:rsidRPr="008478EE">
        <w:rPr>
          <w:rFonts w:eastAsia="Times New Roman" w:cs="Times New Roman"/>
          <w:iCs/>
          <w:szCs w:val="24"/>
        </w:rPr>
        <w:t>e</w:t>
      </w:r>
      <w:r w:rsidR="007E7EDB">
        <w:rPr>
          <w:rFonts w:eastAsia="Times New Roman" w:cs="Times New Roman"/>
          <w:iCs/>
          <w:szCs w:val="24"/>
        </w:rPr>
        <w:t xml:space="preserve"> patients’</w:t>
      </w:r>
      <w:r w:rsidR="005C3227" w:rsidRPr="008478EE">
        <w:rPr>
          <w:rFonts w:eastAsia="Times New Roman" w:cs="Times New Roman"/>
          <w:iCs/>
          <w:szCs w:val="24"/>
        </w:rPr>
        <w:t xml:space="preserve"> acceptance </w:t>
      </w:r>
      <w:r w:rsidR="005908D8">
        <w:rPr>
          <w:rFonts w:eastAsia="Times New Roman" w:cs="Times New Roman"/>
          <w:iCs/>
          <w:szCs w:val="24"/>
        </w:rPr>
        <w:t>(i.e., willingness to experience)</w:t>
      </w:r>
      <w:r w:rsidR="005C3227" w:rsidRPr="008478EE">
        <w:rPr>
          <w:rFonts w:eastAsia="Times New Roman" w:cs="Times New Roman"/>
          <w:iCs/>
          <w:szCs w:val="24"/>
        </w:rPr>
        <w:t xml:space="preserve"> </w:t>
      </w:r>
      <w:r w:rsidR="0049201D" w:rsidRPr="008478EE">
        <w:rPr>
          <w:rFonts w:eastAsia="Times New Roman" w:cs="Times New Roman"/>
          <w:iCs/>
          <w:szCs w:val="24"/>
        </w:rPr>
        <w:t>of</w:t>
      </w:r>
      <w:r w:rsidR="0049201D">
        <w:rPr>
          <w:rFonts w:eastAsia="Times New Roman" w:cs="Times New Roman"/>
          <w:iCs/>
          <w:szCs w:val="24"/>
        </w:rPr>
        <w:t xml:space="preserve"> </w:t>
      </w:r>
      <w:r w:rsidR="005C3227" w:rsidRPr="008478EE">
        <w:rPr>
          <w:rFonts w:eastAsia="Times New Roman" w:cs="Times New Roman"/>
          <w:iCs/>
          <w:szCs w:val="24"/>
        </w:rPr>
        <w:t>private experiences</w:t>
      </w:r>
      <w:r w:rsidR="00FB43A5">
        <w:rPr>
          <w:rFonts w:eastAsia="Times New Roman" w:cs="Times New Roman"/>
          <w:iCs/>
          <w:szCs w:val="24"/>
        </w:rPr>
        <w:t>,</w:t>
      </w:r>
      <w:r w:rsidR="005C3227" w:rsidRPr="008478EE">
        <w:rPr>
          <w:rFonts w:eastAsia="Times New Roman" w:cs="Times New Roman"/>
          <w:iCs/>
          <w:szCs w:val="24"/>
        </w:rPr>
        <w:t xml:space="preserve"> such as urges, thoughts, feelings, </w:t>
      </w:r>
      <w:r w:rsidR="007E7EDB">
        <w:rPr>
          <w:rFonts w:eastAsia="Times New Roman" w:cs="Times New Roman"/>
          <w:iCs/>
          <w:szCs w:val="24"/>
        </w:rPr>
        <w:t>and</w:t>
      </w:r>
      <w:r w:rsidR="005C3227" w:rsidRPr="008478EE">
        <w:rPr>
          <w:rFonts w:eastAsia="Times New Roman" w:cs="Times New Roman"/>
          <w:iCs/>
          <w:szCs w:val="24"/>
        </w:rPr>
        <w:t xml:space="preserve"> cravings</w:t>
      </w:r>
      <w:r w:rsidR="007E7EDB">
        <w:rPr>
          <w:rFonts w:eastAsia="Times New Roman" w:cs="Times New Roman"/>
          <w:iCs/>
          <w:szCs w:val="24"/>
        </w:rPr>
        <w:t>;</w:t>
      </w:r>
      <w:r w:rsidR="005C3227" w:rsidRPr="008478EE">
        <w:rPr>
          <w:rFonts w:eastAsia="Times New Roman" w:cs="Times New Roman"/>
          <w:iCs/>
          <w:szCs w:val="24"/>
        </w:rPr>
        <w:t xml:space="preserve"> (</w:t>
      </w:r>
      <w:r w:rsidR="00F37375">
        <w:rPr>
          <w:rFonts w:eastAsia="Times New Roman" w:cs="Times New Roman"/>
          <w:iCs/>
          <w:szCs w:val="24"/>
        </w:rPr>
        <w:t>c</w:t>
      </w:r>
      <w:r w:rsidR="005C3227" w:rsidRPr="008478EE">
        <w:rPr>
          <w:rFonts w:eastAsia="Times New Roman" w:cs="Times New Roman"/>
          <w:iCs/>
          <w:szCs w:val="24"/>
        </w:rPr>
        <w:t xml:space="preserve">) </w:t>
      </w:r>
      <w:r w:rsidR="00EF2028">
        <w:rPr>
          <w:rFonts w:eastAsia="Times New Roman" w:cs="Times New Roman"/>
          <w:iCs/>
          <w:szCs w:val="24"/>
        </w:rPr>
        <w:t>encourage patient</w:t>
      </w:r>
      <w:r w:rsidR="007E7EDB">
        <w:rPr>
          <w:rFonts w:eastAsia="Times New Roman" w:cs="Times New Roman"/>
          <w:iCs/>
          <w:szCs w:val="24"/>
        </w:rPr>
        <w:t>s</w:t>
      </w:r>
      <w:r w:rsidR="00EF2028">
        <w:rPr>
          <w:rFonts w:eastAsia="Times New Roman" w:cs="Times New Roman"/>
          <w:iCs/>
          <w:szCs w:val="24"/>
        </w:rPr>
        <w:t xml:space="preserve"> to </w:t>
      </w:r>
      <w:r w:rsidR="00666BA7">
        <w:rPr>
          <w:rFonts w:eastAsia="Times New Roman" w:cs="Times New Roman"/>
          <w:iCs/>
          <w:szCs w:val="24"/>
        </w:rPr>
        <w:t xml:space="preserve">recognize </w:t>
      </w:r>
      <w:r w:rsidR="003357EC">
        <w:rPr>
          <w:rFonts w:eastAsia="Times New Roman" w:cs="Times New Roman"/>
          <w:iCs/>
          <w:szCs w:val="24"/>
        </w:rPr>
        <w:t xml:space="preserve">they </w:t>
      </w:r>
      <w:r w:rsidR="00666BA7">
        <w:rPr>
          <w:rFonts w:eastAsia="Times New Roman" w:cs="Times New Roman"/>
          <w:iCs/>
          <w:szCs w:val="24"/>
        </w:rPr>
        <w:t>ascribe meaning to words</w:t>
      </w:r>
      <w:r w:rsidR="0073572B">
        <w:rPr>
          <w:rFonts w:eastAsia="Times New Roman" w:cs="Times New Roman"/>
          <w:iCs/>
          <w:szCs w:val="24"/>
        </w:rPr>
        <w:t>/thoughts</w:t>
      </w:r>
      <w:r w:rsidR="00666BA7">
        <w:rPr>
          <w:rFonts w:eastAsia="Times New Roman" w:cs="Times New Roman"/>
          <w:iCs/>
          <w:szCs w:val="24"/>
        </w:rPr>
        <w:t xml:space="preserve"> (i.e., words</w:t>
      </w:r>
      <w:r w:rsidR="0073572B">
        <w:rPr>
          <w:rFonts w:eastAsia="Times New Roman" w:cs="Times New Roman"/>
          <w:iCs/>
          <w:szCs w:val="24"/>
        </w:rPr>
        <w:t>/thoughts</w:t>
      </w:r>
      <w:r w:rsidR="00666BA7">
        <w:rPr>
          <w:rFonts w:eastAsia="Times New Roman" w:cs="Times New Roman"/>
          <w:iCs/>
          <w:szCs w:val="24"/>
        </w:rPr>
        <w:t xml:space="preserve"> are not </w:t>
      </w:r>
      <w:r w:rsidR="0073572B">
        <w:rPr>
          <w:rFonts w:eastAsia="Times New Roman" w:cs="Times New Roman"/>
          <w:iCs/>
          <w:szCs w:val="24"/>
        </w:rPr>
        <w:t>the same as reality)</w:t>
      </w:r>
      <w:r w:rsidR="007E7EDB">
        <w:rPr>
          <w:rFonts w:eastAsia="Times New Roman" w:cs="Times New Roman"/>
          <w:iCs/>
          <w:szCs w:val="24"/>
        </w:rPr>
        <w:t>;</w:t>
      </w:r>
      <w:r w:rsidR="005C3227">
        <w:rPr>
          <w:rFonts w:eastAsia="Times New Roman" w:cs="Times New Roman"/>
          <w:iCs/>
          <w:szCs w:val="24"/>
        </w:rPr>
        <w:t xml:space="preserve"> and </w:t>
      </w:r>
      <w:r w:rsidR="005C3227" w:rsidRPr="00A20B39">
        <w:rPr>
          <w:rFonts w:eastAsia="Times New Roman" w:cs="Times New Roman"/>
          <w:iCs/>
          <w:szCs w:val="24"/>
        </w:rPr>
        <w:t>(</w:t>
      </w:r>
      <w:r w:rsidR="00F37375">
        <w:rPr>
          <w:rFonts w:eastAsia="Times New Roman" w:cs="Times New Roman"/>
          <w:iCs/>
          <w:szCs w:val="24"/>
        </w:rPr>
        <w:t>d</w:t>
      </w:r>
      <w:r w:rsidR="005C3227" w:rsidRPr="00A20B39">
        <w:rPr>
          <w:rFonts w:eastAsia="Times New Roman" w:cs="Times New Roman"/>
          <w:iCs/>
          <w:szCs w:val="24"/>
        </w:rPr>
        <w:t xml:space="preserve">) </w:t>
      </w:r>
      <w:r w:rsidR="005C3227">
        <w:rPr>
          <w:rFonts w:eastAsia="Times New Roman" w:cs="Times New Roman"/>
          <w:iCs/>
          <w:szCs w:val="24"/>
        </w:rPr>
        <w:t>train patients to experience psychological experience</w:t>
      </w:r>
      <w:r w:rsidR="00970475">
        <w:rPr>
          <w:rFonts w:eastAsia="Times New Roman" w:cs="Times New Roman"/>
          <w:iCs/>
          <w:szCs w:val="24"/>
        </w:rPr>
        <w:t>s fully</w:t>
      </w:r>
      <w:r w:rsidR="005C3227">
        <w:rPr>
          <w:rFonts w:eastAsia="Times New Roman" w:cs="Times New Roman"/>
          <w:iCs/>
          <w:szCs w:val="24"/>
        </w:rPr>
        <w:t xml:space="preserve"> w</w:t>
      </w:r>
      <w:r w:rsidR="005C3227" w:rsidRPr="00A20B39">
        <w:rPr>
          <w:rFonts w:eastAsia="Times New Roman" w:cs="Times New Roman"/>
          <w:iCs/>
          <w:szCs w:val="24"/>
        </w:rPr>
        <w:t xml:space="preserve">hile </w:t>
      </w:r>
      <w:r w:rsidR="00970475">
        <w:rPr>
          <w:rFonts w:eastAsia="Times New Roman" w:cs="Times New Roman"/>
          <w:iCs/>
          <w:szCs w:val="24"/>
        </w:rPr>
        <w:t>simultaneously</w:t>
      </w:r>
      <w:r w:rsidR="004D5FBC">
        <w:rPr>
          <w:rFonts w:eastAsia="Times New Roman" w:cs="Times New Roman"/>
          <w:iCs/>
          <w:szCs w:val="24"/>
        </w:rPr>
        <w:t xml:space="preserve"> engaging in behaviors</w:t>
      </w:r>
      <w:r w:rsidR="005C3227" w:rsidRPr="00A20B39">
        <w:rPr>
          <w:rFonts w:eastAsia="Times New Roman" w:cs="Times New Roman"/>
          <w:iCs/>
          <w:szCs w:val="24"/>
        </w:rPr>
        <w:t xml:space="preserve"> </w:t>
      </w:r>
      <w:r w:rsidR="004D5FBC">
        <w:rPr>
          <w:rFonts w:eastAsia="Times New Roman" w:cs="Times New Roman"/>
          <w:iCs/>
          <w:szCs w:val="24"/>
        </w:rPr>
        <w:t xml:space="preserve">consistent </w:t>
      </w:r>
      <w:r w:rsidR="005C3227" w:rsidRPr="00A20B39">
        <w:rPr>
          <w:rFonts w:eastAsia="Times New Roman" w:cs="Times New Roman"/>
          <w:iCs/>
          <w:szCs w:val="24"/>
        </w:rPr>
        <w:t xml:space="preserve">with </w:t>
      </w:r>
      <w:r w:rsidR="007E7EDB">
        <w:rPr>
          <w:rFonts w:eastAsia="Times New Roman" w:cs="Times New Roman"/>
          <w:iCs/>
          <w:szCs w:val="24"/>
        </w:rPr>
        <w:t>their</w:t>
      </w:r>
      <w:r w:rsidR="00491AED">
        <w:rPr>
          <w:rFonts w:eastAsia="Times New Roman" w:cs="Times New Roman"/>
          <w:iCs/>
          <w:szCs w:val="24"/>
        </w:rPr>
        <w:t xml:space="preserve"> core life</w:t>
      </w:r>
      <w:r w:rsidR="007E7EDB" w:rsidRPr="00A20B39">
        <w:rPr>
          <w:rFonts w:eastAsia="Times New Roman" w:cs="Times New Roman"/>
          <w:iCs/>
          <w:szCs w:val="24"/>
        </w:rPr>
        <w:t xml:space="preserve"> </w:t>
      </w:r>
      <w:r w:rsidR="004D5FBC">
        <w:rPr>
          <w:rFonts w:eastAsia="Times New Roman" w:cs="Times New Roman"/>
          <w:iCs/>
          <w:szCs w:val="24"/>
        </w:rPr>
        <w:t>values</w:t>
      </w:r>
      <w:r w:rsidR="003628A1">
        <w:rPr>
          <w:rFonts w:eastAsia="Times New Roman" w:cs="Times New Roman"/>
          <w:iCs/>
          <w:szCs w:val="24"/>
        </w:rPr>
        <w:t xml:space="preserve"> </w:t>
      </w:r>
      <w:r w:rsidR="00DB4ADE">
        <w:rPr>
          <w:rFonts w:eastAsia="Times New Roman" w:cs="Times New Roman"/>
          <w:iCs/>
          <w:szCs w:val="24"/>
        </w:rPr>
        <w:fldChar w:fldCharType="begin" w:fldLock="1"/>
      </w:r>
      <w:r w:rsidR="00C064BE">
        <w:rPr>
          <w:rFonts w:eastAsia="Times New Roman" w:cs="Times New Roman"/>
          <w:iCs/>
          <w:szCs w:val="24"/>
        </w:rPr>
        <w:instrText>ADDIN CSL_CITATION {"citationItems":[{"id":"ITEM-1","itemData":{"ISBN":"1572304812","ISSN":"1077-7229","PMID":"4326","abstract":"Most therapists and clients believe that a more vital life can be attained by overcoming negative thoughts and feelings. Yet despite efforts to achieve this goal, many individuals continue to suffer with behavior disorders, adjustment difficulties, and low life satisfaction. This volume presents a unique psychotherapeutic approach that addresses the problem of psychological suffering by altering the very ground on which rational change strategies rest. Acceptance and Commitment Therapy (ACT) focuses in particular on the ways clients understand and perpetuate their difficulties through language. Providing a comprehensive overview of the approach and detailed guidelines for practice, this book shows how interventions based on metaphor, paradox, and experiential exercises can enable clients to break free of language traps, overcome common behavioral problems, and enhance general life satisfaction.","author":[{"dropping-particle":"","family":"Hayes","given":"Steven C","non-dropping-particle":"","parse-names":false,"suffix":""},{"dropping-particle":"","family":"Strosahl","given":"Kirk D","non-dropping-particle":"","parse-names":false,"suffix":""},{"dropping-particle":"","family":"Wilson","given":"Kelly G","non-dropping-particle":"","parse-names":false,"suffix":""}],"id":"ITEM-1","issued":{"date-parts":[["1999"]]},"number-of-pages":"304","publisher":"Guilford Press","publisher-place":"New York, NY","title":"Acceptance and commitment therapy: An experiential approach to behavior change","type":"book"},"uris":["http://www.mendeley.com/documents/?uuid=66f86a39-94c5-42ac-b3cb-3e3afb7e344c"]}],"mendeley":{"formattedCitation":"(Hayes et al., 1999)","plainTextFormattedCitation":"(Hayes et al., 1999)","previouslyFormattedCitation":"(Hayes et al., 1999)"},"properties":{"noteIndex":0},"schema":"https://github.com/citation-style-language/schema/raw/master/csl-citation.json"}</w:instrText>
      </w:r>
      <w:r w:rsidR="00DB4ADE">
        <w:rPr>
          <w:rFonts w:eastAsia="Times New Roman" w:cs="Times New Roman"/>
          <w:iCs/>
          <w:szCs w:val="24"/>
        </w:rPr>
        <w:fldChar w:fldCharType="separate"/>
      </w:r>
      <w:r w:rsidR="00C064BE" w:rsidRPr="00C064BE">
        <w:rPr>
          <w:rFonts w:eastAsia="Times New Roman" w:cs="Times New Roman"/>
          <w:iCs/>
          <w:noProof/>
          <w:szCs w:val="24"/>
        </w:rPr>
        <w:t>(Hayes et al., 1999)</w:t>
      </w:r>
      <w:r w:rsidR="00DB4ADE">
        <w:rPr>
          <w:rFonts w:eastAsia="Times New Roman" w:cs="Times New Roman"/>
          <w:iCs/>
          <w:szCs w:val="24"/>
        </w:rPr>
        <w:fldChar w:fldCharType="end"/>
      </w:r>
      <w:r w:rsidR="003628A1">
        <w:rPr>
          <w:rFonts w:eastAsia="Times New Roman" w:cs="Times New Roman"/>
          <w:iCs/>
          <w:szCs w:val="24"/>
        </w:rPr>
        <w:t>.</w:t>
      </w:r>
      <w:r w:rsidR="005C3227" w:rsidRPr="00A20B39">
        <w:rPr>
          <w:rFonts w:eastAsia="Times New Roman" w:cs="Times New Roman"/>
          <w:iCs/>
          <w:szCs w:val="24"/>
        </w:rPr>
        <w:t xml:space="preserve"> </w:t>
      </w:r>
      <w:r w:rsidR="00666BA7">
        <w:rPr>
          <w:rFonts w:eastAsia="Times New Roman" w:cs="Times New Roman"/>
          <w:bCs/>
          <w:szCs w:val="24"/>
        </w:rPr>
        <w:t xml:space="preserve">Research has shown the efficaciousness of </w:t>
      </w:r>
      <w:r w:rsidR="00412466">
        <w:rPr>
          <w:rFonts w:eastAsia="Times New Roman" w:cs="Times New Roman"/>
          <w:bCs/>
          <w:szCs w:val="24"/>
        </w:rPr>
        <w:t xml:space="preserve">similar forms of acceptance-enhanced behavior therapy in treating obsessive-compulsive disorder </w:t>
      </w:r>
      <w:r w:rsidR="00412466">
        <w:rPr>
          <w:rFonts w:eastAsia="Times New Roman" w:cs="Times New Roman"/>
          <w:bCs/>
          <w:szCs w:val="24"/>
        </w:rPr>
        <w:fldChar w:fldCharType="begin" w:fldLock="1"/>
      </w:r>
      <w:r w:rsidR="00C064BE">
        <w:rPr>
          <w:rFonts w:eastAsia="Times New Roman" w:cs="Times New Roman"/>
          <w:bCs/>
          <w:szCs w:val="24"/>
        </w:rPr>
        <w:instrText>ADDIN CSL_CITATION {"citationItems":[{"id":"ITEM-1","itemData":{"DOI":"10.1016/j.beth.2005.02.001","ISBN":"0005-7894","ISSN":"00057894","PMID":"16942956","abstract":"This study evaluated the effectiveness of an 8-session Acceptance and Commitment Therapy for OCD intervention in a nonconcurrent multiple-baseline, across-participants design. Results on self-reported compulsions showed that the intervention produced clinically significant reductions in compulsions by the end of treatment for all participants, with results maintained at 3-month follow-up. Self-monitoring was supported with similar decreases in scores on standardized measures of OCD. Positive changes in anxiety and depression were found for all participants as well as expected process changes in the form of decreased experiential avoidance, believability of obsessions, and need to respond to obsessions. All participants found the treatment to be highly acceptable. Implications and future directions are discussed. © 2006 Association for Behavioral and Cognitive Therapies.","author":[{"dropping-particle":"","family":"Twohig","given":"Michael P.","non-dropping-particle":"","parse-names":false,"suffix":""},{"dropping-particle":"","family":"Hayes","given":"Steven C.","non-dropping-particle":"","parse-names":false,"suffix":""},{"dropping-particle":"","family":"Masuda","given":"Akihiko","non-dropping-particle":"","parse-names":false,"suffix":""}],"container-title":"Behavior Therapy","id":"ITEM-1","issue":"1","issued":{"date-parts":[["2006"]]},"page":"3-13","title":"Increasing willingness to experience obsessions: Acceptance and Commitment Therapy as a treatment for obsessive-compulsive disorder","type":"article-journal","volume":"37"},"uris":["http://www.mendeley.com/documents/?uuid=b77cdf65-e48a-4fb1-b8f0-1b7ef688e184"]}],"mendeley":{"formattedCitation":"(Twohig et al., 2006b)","plainTextFormattedCitation":"(Twohig et al., 2006b)","previouslyFormattedCitation":"(Twohig et al., 2006b)"},"properties":{"noteIndex":0},"schema":"https://github.com/citation-style-language/schema/raw/master/csl-citation.json"}</w:instrText>
      </w:r>
      <w:r w:rsidR="00412466">
        <w:rPr>
          <w:rFonts w:eastAsia="Times New Roman" w:cs="Times New Roman"/>
          <w:bCs/>
          <w:szCs w:val="24"/>
        </w:rPr>
        <w:fldChar w:fldCharType="separate"/>
      </w:r>
      <w:r w:rsidR="00C064BE" w:rsidRPr="00C064BE">
        <w:rPr>
          <w:rFonts w:eastAsia="Times New Roman" w:cs="Times New Roman"/>
          <w:bCs/>
          <w:noProof/>
          <w:szCs w:val="24"/>
        </w:rPr>
        <w:t>(Twohig et al., 2006b)</w:t>
      </w:r>
      <w:r w:rsidR="00412466">
        <w:rPr>
          <w:rFonts w:eastAsia="Times New Roman" w:cs="Times New Roman"/>
          <w:bCs/>
          <w:szCs w:val="24"/>
        </w:rPr>
        <w:fldChar w:fldCharType="end"/>
      </w:r>
      <w:r w:rsidR="00412466">
        <w:rPr>
          <w:rFonts w:eastAsia="Times New Roman" w:cs="Times New Roman"/>
          <w:bCs/>
          <w:szCs w:val="24"/>
        </w:rPr>
        <w:t>,</w:t>
      </w:r>
      <w:r w:rsidR="00412466" w:rsidRPr="00A20B39">
        <w:rPr>
          <w:rFonts w:eastAsia="Times New Roman" w:cs="Times New Roman"/>
          <w:bCs/>
          <w:szCs w:val="24"/>
        </w:rPr>
        <w:t xml:space="preserve"> skin picking</w:t>
      </w:r>
      <w:r w:rsidR="00412466">
        <w:rPr>
          <w:rFonts w:eastAsia="Times New Roman" w:cs="Times New Roman"/>
          <w:bCs/>
          <w:szCs w:val="24"/>
        </w:rPr>
        <w:t xml:space="preserve"> </w:t>
      </w:r>
      <w:r w:rsidR="00412466">
        <w:rPr>
          <w:rFonts w:eastAsia="Times New Roman" w:cs="Times New Roman"/>
          <w:bCs/>
          <w:szCs w:val="24"/>
        </w:rPr>
        <w:fldChar w:fldCharType="begin" w:fldLock="1"/>
      </w:r>
      <w:r w:rsidR="00C064BE">
        <w:rPr>
          <w:rFonts w:eastAsia="Times New Roman" w:cs="Times New Roman"/>
          <w:bCs/>
          <w:szCs w:val="24"/>
        </w:rPr>
        <w:instrText>ADDIN CSL_CITATION {"citationItems":[{"id":"ITEM-1","itemData":{"DOI":"10.1016/j.brat.2005.10.002","ISBN":"0005-7967 (Print)\\r0005-7967 (Linking)","PMID":"16368072","abstract":"The effectiveness of a deliberately limited version of Acceptance and Commitment Therapy (ACT) for chronic skin picking was evaluated in a pair of multiple baseline across participants designs. Self-monitoring of skin picking showed that four of the five participants reached near zero levels of picking by post-treatment, but these gains were not fully maintained for three of the four participants at follow-up. The findings of the self-reported skin picking were generally corroborated by ratings of photographs of the damaged areas and by ratings on a validated measure of skin picking severity. All participants rated the intervention as socially acceptable, and reductions were found on measures of anxiety, depression, and experiential avoidance for most participants as a result of the intervention. Results support the construction of more comprehensive ACT protocols for skin picking.","author":[{"dropping-particle":"","family":"Twohig","given":"Michael P.","non-dropping-particle":"","parse-names":false,"suffix":""},{"dropping-particle":"","family":"Hayes","given":"S C","non-dropping-particle":"","parse-names":false,"suffix":""},{"dropping-particle":"","family":"Masuda","given":"A","non-dropping-particle":"","parse-names":false,"suffix":""}],"container-title":"Behaviour Research and Therapy","id":"ITEM-1","issue":"10","issued":{"date-parts":[["2006"]]},"page":"1513-1522","title":"A preliminary investigation of acceptance and commitment therapy as a treatment for chronic skin picking","type":"article-journal","volume":"44"},"uris":["http://www.mendeley.com/documents/?uuid=6add4c7e-480e-4443-a34d-6627a1fcf2ec"]}],"mendeley":{"formattedCitation":"(Twohig et al., 2006a)","plainTextFormattedCitation":"(Twohig et al., 2006a)","previouslyFormattedCitation":"(Twohig et al., 2006a)"},"properties":{"noteIndex":0},"schema":"https://github.com/citation-style-language/schema/raw/master/csl-citation.json"}</w:instrText>
      </w:r>
      <w:r w:rsidR="00412466">
        <w:rPr>
          <w:rFonts w:eastAsia="Times New Roman" w:cs="Times New Roman"/>
          <w:bCs/>
          <w:szCs w:val="24"/>
        </w:rPr>
        <w:fldChar w:fldCharType="separate"/>
      </w:r>
      <w:r w:rsidR="00C064BE" w:rsidRPr="00C064BE">
        <w:rPr>
          <w:rFonts w:eastAsia="Times New Roman" w:cs="Times New Roman"/>
          <w:bCs/>
          <w:noProof/>
          <w:szCs w:val="24"/>
        </w:rPr>
        <w:t>(Twohig et al., 2006a)</w:t>
      </w:r>
      <w:r w:rsidR="00412466">
        <w:rPr>
          <w:rFonts w:eastAsia="Times New Roman" w:cs="Times New Roman"/>
          <w:bCs/>
          <w:szCs w:val="24"/>
        </w:rPr>
        <w:fldChar w:fldCharType="end"/>
      </w:r>
      <w:r w:rsidR="00412466">
        <w:rPr>
          <w:rFonts w:eastAsia="Times New Roman" w:cs="Times New Roman"/>
          <w:bCs/>
          <w:szCs w:val="24"/>
        </w:rPr>
        <w:t>,</w:t>
      </w:r>
      <w:r w:rsidR="00412466" w:rsidRPr="00A20B39">
        <w:rPr>
          <w:rFonts w:eastAsia="Times New Roman" w:cs="Times New Roman"/>
          <w:bCs/>
          <w:szCs w:val="24"/>
        </w:rPr>
        <w:t xml:space="preserve"> </w:t>
      </w:r>
      <w:r w:rsidR="00412466">
        <w:rPr>
          <w:rFonts w:eastAsia="Times New Roman" w:cs="Times New Roman"/>
          <w:bCs/>
          <w:szCs w:val="24"/>
        </w:rPr>
        <w:t xml:space="preserve">and </w:t>
      </w:r>
      <w:r w:rsidR="00412466" w:rsidRPr="00A20B39">
        <w:rPr>
          <w:rFonts w:eastAsia="Times New Roman" w:cs="Times New Roman"/>
          <w:bCs/>
          <w:szCs w:val="24"/>
        </w:rPr>
        <w:t>psychotic behavior</w:t>
      </w:r>
      <w:r w:rsidR="00412466">
        <w:rPr>
          <w:rFonts w:eastAsia="Times New Roman" w:cs="Times New Roman"/>
          <w:bCs/>
          <w:szCs w:val="24"/>
        </w:rPr>
        <w:t xml:space="preserve"> </w:t>
      </w:r>
      <w:r w:rsidR="00412466">
        <w:rPr>
          <w:rFonts w:eastAsia="Times New Roman" w:cs="Times New Roman"/>
          <w:bCs/>
          <w:szCs w:val="24"/>
        </w:rPr>
        <w:fldChar w:fldCharType="begin" w:fldLock="1"/>
      </w:r>
      <w:r w:rsidR="00C064BE">
        <w:rPr>
          <w:rFonts w:eastAsia="Times New Roman" w:cs="Times New Roman"/>
          <w:bCs/>
          <w:szCs w:val="24"/>
        </w:rPr>
        <w:instrText>ADDIN CSL_CITATION {"citationItems":[{"id":"ITEM-1","itemData":{"DOI":"10.1037/0022-006X.70.5.1129","ISBN":"0022-006X (Print)\\n0022-006X (Linking)","ISSN":"0022006X","PMID":"12362963","abstract":"The present study examined the impact of a brief version of an acceptance-based treatment (acceptance and commitment therapy; ACT) that teaches patients to accept unavoidable private events; to identify and focus on actions directed toward valued goals; and to defuse from odd cognition, just noticing thoughts rather than treating them as either true or false. Eighty inpatient participants with positive psychotic symptoms were randomly assigned to treatment as usual (TAU) or to 4 sessions of ACT plus TAU. ACT participants showed significantly higher symptom reporting and lower symptom believability and a rate of rehospitalization half that of TAU participants over a 4-month follow-up period. The same basic pattern of results was seen with all participant subgroups except delusional participants who denied symptoms.","author":[{"dropping-particle":"","family":"Bach","given":"Patricia","non-dropping-particle":"","parse-names":false,"suffix":""},{"dropping-particle":"","family":"Hayes","given":"Steven C.","non-dropping-particle":"","parse-names":false,"suffix":""}],"container-title":"Journal of Consulting and Clinical Psychology","id":"ITEM-1","issue":"5","issued":{"date-parts":[["2002"]]},"page":"1129-1139","title":"The use of acceptance and commitment therapy to prevent the rehospitalization of psychotic patients: A randomized controlled trial","type":"article-journal","volume":"70"},"uris":["http://www.mendeley.com/documents/?uuid=eca67662-c278-44e8-9ea2-6436f76a5454"]}],"mendeley":{"formattedCitation":"(Bach &amp; Hayes, 2002)","plainTextFormattedCitation":"(Bach &amp; Hayes, 2002)","previouslyFormattedCitation":"(Bach &amp; Hayes, 2002)"},"properties":{"noteIndex":0},"schema":"https://github.com/citation-style-language/schema/raw/master/csl-citation.json"}</w:instrText>
      </w:r>
      <w:r w:rsidR="00412466">
        <w:rPr>
          <w:rFonts w:eastAsia="Times New Roman" w:cs="Times New Roman"/>
          <w:bCs/>
          <w:szCs w:val="24"/>
        </w:rPr>
        <w:fldChar w:fldCharType="separate"/>
      </w:r>
      <w:r w:rsidR="00C064BE" w:rsidRPr="00C064BE">
        <w:rPr>
          <w:rFonts w:eastAsia="Times New Roman" w:cs="Times New Roman"/>
          <w:bCs/>
          <w:noProof/>
          <w:szCs w:val="24"/>
        </w:rPr>
        <w:t>(Bach &amp; Hayes, 2002)</w:t>
      </w:r>
      <w:r w:rsidR="00412466">
        <w:rPr>
          <w:rFonts w:eastAsia="Times New Roman" w:cs="Times New Roman"/>
          <w:bCs/>
          <w:szCs w:val="24"/>
        </w:rPr>
        <w:fldChar w:fldCharType="end"/>
      </w:r>
      <w:r w:rsidR="00412466">
        <w:rPr>
          <w:rFonts w:eastAsia="Times New Roman" w:cs="Times New Roman"/>
          <w:bCs/>
          <w:szCs w:val="24"/>
        </w:rPr>
        <w:t xml:space="preserve">. </w:t>
      </w:r>
      <w:r w:rsidR="00412466">
        <w:rPr>
          <w:rFonts w:eastAsia="Times New Roman" w:cs="Times New Roman"/>
          <w:szCs w:val="24"/>
        </w:rPr>
        <w:t>M</w:t>
      </w:r>
      <w:r w:rsidR="00970475">
        <w:rPr>
          <w:rFonts w:eastAsia="Times New Roman" w:cs="Times New Roman"/>
          <w:szCs w:val="24"/>
        </w:rPr>
        <w:t xml:space="preserve">oreover, </w:t>
      </w:r>
      <w:r w:rsidR="00456D1C">
        <w:rPr>
          <w:rFonts w:eastAsia="Times New Roman" w:cs="Times New Roman"/>
          <w:szCs w:val="24"/>
        </w:rPr>
        <w:t xml:space="preserve">preliminary </w:t>
      </w:r>
      <w:r w:rsidR="00970475">
        <w:rPr>
          <w:rFonts w:eastAsia="Times New Roman" w:cs="Times New Roman"/>
          <w:szCs w:val="24"/>
        </w:rPr>
        <w:t>s</w:t>
      </w:r>
      <w:r w:rsidR="005C3227">
        <w:rPr>
          <w:rFonts w:eastAsia="Times New Roman" w:cs="Times New Roman"/>
          <w:szCs w:val="24"/>
        </w:rPr>
        <w:t xml:space="preserve">tudies </w:t>
      </w:r>
      <w:r w:rsidR="001F162D">
        <w:rPr>
          <w:rFonts w:eastAsia="Times New Roman" w:cs="Times New Roman"/>
          <w:szCs w:val="24"/>
        </w:rPr>
        <w:t>evaluating</w:t>
      </w:r>
      <w:r w:rsidR="008478EE">
        <w:rPr>
          <w:rFonts w:eastAsia="Times New Roman" w:cs="Times New Roman"/>
          <w:szCs w:val="24"/>
        </w:rPr>
        <w:t xml:space="preserve"> </w:t>
      </w:r>
      <w:r w:rsidR="0025739E">
        <w:rPr>
          <w:rFonts w:eastAsia="Times New Roman" w:cs="Times New Roman"/>
          <w:szCs w:val="24"/>
        </w:rPr>
        <w:t>AEBT-TTM</w:t>
      </w:r>
      <w:r w:rsidR="001F162D">
        <w:rPr>
          <w:rFonts w:eastAsia="Times New Roman" w:cs="Times New Roman"/>
          <w:szCs w:val="24"/>
        </w:rPr>
        <w:t xml:space="preserve"> </w:t>
      </w:r>
      <w:r w:rsidR="007730ED">
        <w:rPr>
          <w:rFonts w:eastAsia="Times New Roman" w:cs="Times New Roman"/>
          <w:szCs w:val="24"/>
        </w:rPr>
        <w:t xml:space="preserve">have </w:t>
      </w:r>
      <w:r w:rsidR="001F162D">
        <w:rPr>
          <w:rFonts w:eastAsia="Times New Roman" w:cs="Times New Roman"/>
          <w:szCs w:val="24"/>
        </w:rPr>
        <w:t>show</w:t>
      </w:r>
      <w:r w:rsidR="007730ED">
        <w:rPr>
          <w:rFonts w:eastAsia="Times New Roman" w:cs="Times New Roman"/>
          <w:szCs w:val="24"/>
        </w:rPr>
        <w:t>n</w:t>
      </w:r>
      <w:r w:rsidR="001F162D">
        <w:rPr>
          <w:rFonts w:eastAsia="Times New Roman" w:cs="Times New Roman"/>
          <w:szCs w:val="24"/>
        </w:rPr>
        <w:t xml:space="preserve"> significant reduction</w:t>
      </w:r>
      <w:r w:rsidR="00EF2028">
        <w:rPr>
          <w:rFonts w:eastAsia="Times New Roman" w:cs="Times New Roman"/>
          <w:szCs w:val="24"/>
        </w:rPr>
        <w:t>s</w:t>
      </w:r>
      <w:r w:rsidR="001F162D">
        <w:rPr>
          <w:rFonts w:eastAsia="Times New Roman" w:cs="Times New Roman"/>
          <w:szCs w:val="24"/>
        </w:rPr>
        <w:t xml:space="preserve"> in self-reported pulling </w:t>
      </w:r>
      <w:r w:rsidR="007C510F">
        <w:rPr>
          <w:rFonts w:eastAsia="Times New Roman" w:cs="Times New Roman"/>
          <w:szCs w:val="24"/>
        </w:rPr>
        <w:t>in single-subject (</w:t>
      </w:r>
      <w:r w:rsidR="006827B3">
        <w:rPr>
          <w:rFonts w:eastAsia="Times New Roman" w:cs="Times New Roman"/>
          <w:szCs w:val="24"/>
        </w:rPr>
        <w:t>Fine et al., 2012; Twohig &amp; Woods, 2004) and</w:t>
      </w:r>
      <w:r w:rsidR="00261BC3" w:rsidRPr="008478EE">
        <w:rPr>
          <w:rFonts w:eastAsia="Times New Roman" w:cs="Times New Roman"/>
          <w:szCs w:val="24"/>
        </w:rPr>
        <w:t xml:space="preserve"> wait-list control</w:t>
      </w:r>
      <w:r w:rsidR="001254DC">
        <w:rPr>
          <w:rFonts w:eastAsia="Times New Roman" w:cs="Times New Roman"/>
          <w:szCs w:val="24"/>
        </w:rPr>
        <w:t xml:space="preserve"> </w:t>
      </w:r>
      <w:r w:rsidR="006827B3">
        <w:rPr>
          <w:rFonts w:eastAsia="Times New Roman" w:cs="Times New Roman"/>
          <w:szCs w:val="24"/>
        </w:rPr>
        <w:t>studies</w:t>
      </w:r>
      <w:r w:rsidR="001254DC">
        <w:rPr>
          <w:rFonts w:eastAsia="Times New Roman" w:cs="Times New Roman"/>
          <w:szCs w:val="24"/>
        </w:rPr>
        <w:t xml:space="preserve"> </w:t>
      </w:r>
      <w:r w:rsidR="00201C8B" w:rsidRPr="008478EE">
        <w:rPr>
          <w:rFonts w:eastAsia="Times New Roman" w:cs="Times New Roman"/>
          <w:szCs w:val="24"/>
        </w:rPr>
        <w:fldChar w:fldCharType="begin" w:fldLock="1"/>
      </w:r>
      <w:r w:rsidR="00C064BE">
        <w:rPr>
          <w:rFonts w:eastAsia="Times New Roman" w:cs="Times New Roman"/>
          <w:szCs w:val="24"/>
        </w:rPr>
        <w:instrText>ADDIN CSL_CITATION {"citationItems":[{"id":"ITEM-1","itemData":{"DOI":"10.1016/j.brat.2005.05.006","author":[{"dropping-particle":"","family":"Woods","given":"Douglas W.","non-dropping-particle":"","parse-names":false,"suffix":""},{"dropping-particle":"","family":"Wetterneck","given":"Chad T.","non-dropping-particle":"","parse-names":false,"suffix":""},{"dropping-particle":"","family":"Flessner","given":"Christopher A.","non-dropping-particle":"","parse-names":false,"suffix":""}],"container-title":"Behaviour Research and Therapy","id":"ITEM-1","issue":"5","issued":{"date-parts":[["2006"]]},"page":"639-656","title":"A controlled evaluation of acceptance and commitment therapy plus habit reversal for trichotillomania","type":"article-journal","volume":"44"},"uris":["http://www.mendeley.com/documents/?uuid=b02e60de-296e-4066-9019-963f8673a18c"]},{"id":"ITEM-2","itemData":{"DOI":"10.1016/S0005-7894(04)80021-2","ISBN":"0005-7894","ISSN":"00057894","abstract":"In this study, the combination of Acceptance and Commitment Therapy and Habit Reversal (ACT/HR) was evaluated as a treatment for trichotillomania with 6 adults. The effectiveness of ACT/HR was assessed within two separate multiple baseline designs. Self-monitoring data showed that treatment was successful in decreasing the numbers of hairs pulled to near-0 levels for 4 of the 6 participants, with results being maintained for 3 of the 4 participants at the 3-month follow-up. These findings were confirmed with ancillary measures. The treatment was found to be acceptable by all participants. Copyright 2004 by Association for Advancement of Behavior Therapy All rights for reproduction in any form reserved.","author":[{"dropping-particle":"","family":"Twohig","given":"Michael P.","non-dropping-particle":"","parse-names":false,"suffix":""},{"dropping-particle":"","family":"Woods","given":"Douglas W.","non-dropping-particle":"","parse-names":false,"suffix":""}],"container-title":"Behavior Therapy","id":"ITEM-2","issue":"4","issued":{"date-parts":[["2004"]]},"page":"803-820","title":"A preliminary investigation of acceptance and commitment therapy and habit reversal as a treatment for trichotillomania","type":"article-journal","volume":"35"},"uris":["http://www.mendeley.com/documents/?uuid=79aa1b01-0b91-4a8b-817d-c1c1533fd30f"]},{"id":"ITEM-3","itemData":{"DOI":"10.1016/j.cbpra.2011.10.002","ISBN":"1077-7229","ISSN":"10777229","abstract":"Although several studies have examined the efficacy of Acceptance Enhanced Behavior Therapy (AEBT) for the treatment of trichotillomania (TTM) in adults, data are limited with respect to the treatment of adolescents. Our case series illustrates the use of AEBT for TTM in the treatment of two adolescents. The AEBT protocol (Woods &amp; Twohig, 2008) is a structured treatment manual that was adapted to the individual clients' needs and clinical progress. Both clients reported clinically significant gains in treatment as determined by at least 2 weeks of abstinence from pulling, and subjective reports of decreased distress and impairment, although one required a booster session due to relapse. AEBT is worth further exploration as a treatment for adolescents with TTM. © 2011.","author":[{"dropping-particle":"","family":"Fine","given":"Kathi M.","non-dropping-particle":"","parse-names":false,"suffix":""},{"dropping-particle":"","family":"Walther","given":"Michael R.","non-dropping-particle":"","parse-names":false,"suffix":""},{"dropping-particle":"","family":"Joseph","given":"Jessica M.","non-dropping-particle":"","parse-names":false,"suffix":""},{"dropping-particle":"","family":"Robinson","given":"Jordan","non-dropping-particle":"","parse-names":false,"suffix":""},{"dropping-particle":"","family":"Ricketts","given":"Emily J.","non-dropping-particle":"","parse-names":false,"suffix":""},{"dropping-particle":"","family":"Bowe","given":"William E.","non-dropping-particle":"","parse-names":false,"suffix":""},{"dropping-particle":"","family":"Woods","given":"Douglas W.","non-dropping-particle":"","parse-names":false,"suffix":""}],"container-title":"Cognitive and Behavioral Practice","id":"ITEM-3","issue":"3","issued":{"date-parts":[["2012"]]},"page":"463-471","title":"Acceptance-Enhanced Behavior Therapy for Trichotillomania in adolescents","type":"article-journal","volume":"19"},"uris":["http://www.mendeley.com/documents/?uuid=07f48a81-10ab-4589-bb6e-bbfa556af8d5"]}],"mendeley":{"formattedCitation":"(Fine et al., 2012; Twohig &amp; Woods, 2004; Woods, Wetterneck, et al., 2006)","plainTextFormattedCitation":"(Fine et al., 2012; Twohig &amp; Woods, 2004; Woods, Wetterneck, et al., 2006)","previouslyFormattedCitation":"(Fine et al., 2012; Twohig &amp; Woods, 2004; Woods, Wetterneck, et al., 2006)"},"properties":{"noteIndex":0},"schema":"https://github.com/citation-style-language/schema/raw/master/csl-citation.json"}</w:instrText>
      </w:r>
      <w:r w:rsidR="00201C8B" w:rsidRPr="008478EE">
        <w:rPr>
          <w:rFonts w:eastAsia="Times New Roman" w:cs="Times New Roman"/>
          <w:szCs w:val="24"/>
        </w:rPr>
        <w:fldChar w:fldCharType="separate"/>
      </w:r>
      <w:r w:rsidR="00C064BE" w:rsidRPr="00C064BE">
        <w:rPr>
          <w:rFonts w:eastAsia="Times New Roman" w:cs="Times New Roman"/>
          <w:noProof/>
          <w:szCs w:val="24"/>
        </w:rPr>
        <w:t>(</w:t>
      </w:r>
      <w:r w:rsidR="006926AD">
        <w:rPr>
          <w:rFonts w:eastAsia="Times New Roman" w:cs="Times New Roman"/>
          <w:noProof/>
          <w:szCs w:val="24"/>
        </w:rPr>
        <w:t>Lee et al., 2018</w:t>
      </w:r>
      <w:r w:rsidR="00C064BE" w:rsidRPr="00C064BE">
        <w:rPr>
          <w:rFonts w:eastAsia="Times New Roman" w:cs="Times New Roman"/>
          <w:noProof/>
          <w:szCs w:val="24"/>
        </w:rPr>
        <w:t>; Woods, Wetterneck, et al., 2006)</w:t>
      </w:r>
      <w:r w:rsidR="00201C8B" w:rsidRPr="008478EE">
        <w:rPr>
          <w:rFonts w:eastAsia="Times New Roman" w:cs="Times New Roman"/>
          <w:szCs w:val="24"/>
        </w:rPr>
        <w:fldChar w:fldCharType="end"/>
      </w:r>
      <w:r w:rsidR="001254DC">
        <w:rPr>
          <w:rFonts w:eastAsia="Times New Roman" w:cs="Times New Roman"/>
          <w:szCs w:val="24"/>
        </w:rPr>
        <w:t>.</w:t>
      </w:r>
      <w:r w:rsidR="00261BC3" w:rsidRPr="008478EE">
        <w:rPr>
          <w:rFonts w:eastAsia="Times New Roman" w:cs="Times New Roman"/>
          <w:szCs w:val="24"/>
        </w:rPr>
        <w:t xml:space="preserve"> Unfortunately, </w:t>
      </w:r>
      <w:r w:rsidR="008E79A5">
        <w:rPr>
          <w:rFonts w:eastAsia="Times New Roman" w:cs="Times New Roman"/>
          <w:szCs w:val="24"/>
        </w:rPr>
        <w:t>AEBT-TTM</w:t>
      </w:r>
      <w:r w:rsidR="004D5FBC">
        <w:rPr>
          <w:rFonts w:eastAsia="Times New Roman" w:cs="Times New Roman"/>
          <w:szCs w:val="24"/>
        </w:rPr>
        <w:t xml:space="preserve"> has not been compared</w:t>
      </w:r>
      <w:r w:rsidR="00261BC3" w:rsidRPr="008478EE">
        <w:rPr>
          <w:rFonts w:eastAsia="Times New Roman" w:cs="Times New Roman"/>
          <w:szCs w:val="24"/>
        </w:rPr>
        <w:t xml:space="preserve"> to </w:t>
      </w:r>
      <w:r w:rsidR="00C67FF0">
        <w:rPr>
          <w:rFonts w:eastAsia="Times New Roman" w:cs="Times New Roman"/>
          <w:szCs w:val="24"/>
        </w:rPr>
        <w:t>a credible therapeutic</w:t>
      </w:r>
      <w:r w:rsidR="00261BC3" w:rsidRPr="008478EE">
        <w:rPr>
          <w:rFonts w:eastAsia="Times New Roman" w:cs="Times New Roman"/>
          <w:szCs w:val="24"/>
        </w:rPr>
        <w:t xml:space="preserve"> control.</w:t>
      </w:r>
    </w:p>
    <w:p w14:paraId="1BEC8D73" w14:textId="76C10023" w:rsidR="00262C58" w:rsidRPr="0013137E" w:rsidRDefault="00262C58" w:rsidP="00CF2EEA">
      <w:pPr>
        <w:widowControl w:val="0"/>
        <w:spacing w:line="480" w:lineRule="auto"/>
        <w:ind w:firstLine="720"/>
        <w:rPr>
          <w:rFonts w:cs="Times New Roman"/>
          <w:color w:val="000000"/>
          <w:szCs w:val="24"/>
        </w:rPr>
      </w:pPr>
      <w:r w:rsidRPr="008478EE">
        <w:rPr>
          <w:rFonts w:cs="Times New Roman"/>
          <w:szCs w:val="24"/>
        </w:rPr>
        <w:t xml:space="preserve">The </w:t>
      </w:r>
      <w:r w:rsidR="001F162D" w:rsidRPr="008478EE">
        <w:rPr>
          <w:rFonts w:cs="Times New Roman"/>
          <w:szCs w:val="24"/>
        </w:rPr>
        <w:t xml:space="preserve">current study </w:t>
      </w:r>
      <w:r w:rsidR="00D76040">
        <w:rPr>
          <w:rFonts w:cs="Times New Roman"/>
          <w:szCs w:val="24"/>
        </w:rPr>
        <w:t>compared</w:t>
      </w:r>
      <w:r w:rsidR="001F162D" w:rsidRPr="008478EE">
        <w:rPr>
          <w:rFonts w:cs="Times New Roman"/>
          <w:szCs w:val="24"/>
        </w:rPr>
        <w:t xml:space="preserve"> </w:t>
      </w:r>
      <w:r w:rsidRPr="008478EE">
        <w:rPr>
          <w:rFonts w:cs="Times New Roman"/>
          <w:szCs w:val="24"/>
        </w:rPr>
        <w:t xml:space="preserve">the benefits of </w:t>
      </w:r>
      <w:r w:rsidR="0032588D" w:rsidRPr="008478EE">
        <w:rPr>
          <w:rFonts w:cs="Times New Roman"/>
          <w:szCs w:val="24"/>
        </w:rPr>
        <w:t>AEBT</w:t>
      </w:r>
      <w:r w:rsidR="00261BC3" w:rsidRPr="008478EE">
        <w:rPr>
          <w:rFonts w:cs="Times New Roman"/>
          <w:szCs w:val="24"/>
        </w:rPr>
        <w:t>-TTM</w:t>
      </w:r>
      <w:r w:rsidR="0032588D" w:rsidRPr="008478EE">
        <w:rPr>
          <w:rFonts w:cs="Times New Roman"/>
          <w:szCs w:val="24"/>
        </w:rPr>
        <w:t xml:space="preserve"> to psychoeducation and </w:t>
      </w:r>
      <w:r w:rsidR="0032588D" w:rsidRPr="008478EE">
        <w:rPr>
          <w:rFonts w:cs="Times New Roman"/>
          <w:szCs w:val="24"/>
        </w:rPr>
        <w:lastRenderedPageBreak/>
        <w:t xml:space="preserve">supportive therapy (PST) in the treatment of </w:t>
      </w:r>
      <w:r w:rsidR="0025739E">
        <w:rPr>
          <w:rFonts w:cs="Times New Roman"/>
          <w:szCs w:val="24"/>
        </w:rPr>
        <w:t xml:space="preserve">a diverse sample of </w:t>
      </w:r>
      <w:r w:rsidR="0032588D" w:rsidRPr="008478EE">
        <w:rPr>
          <w:rFonts w:cs="Times New Roman"/>
          <w:szCs w:val="24"/>
        </w:rPr>
        <w:t xml:space="preserve">adults </w:t>
      </w:r>
      <w:r w:rsidR="0032588D">
        <w:rPr>
          <w:rFonts w:cs="Times New Roman"/>
          <w:color w:val="000000"/>
          <w:szCs w:val="24"/>
        </w:rPr>
        <w:t xml:space="preserve">with </w:t>
      </w:r>
      <w:r w:rsidRPr="001F162D">
        <w:rPr>
          <w:rFonts w:cs="Times New Roman"/>
          <w:color w:val="000000"/>
          <w:szCs w:val="24"/>
        </w:rPr>
        <w:t xml:space="preserve">TTM. </w:t>
      </w:r>
      <w:r w:rsidR="0025739E">
        <w:rPr>
          <w:rFonts w:cs="Times New Roman"/>
          <w:color w:val="000000"/>
          <w:szCs w:val="24"/>
        </w:rPr>
        <w:t>Our</w:t>
      </w:r>
      <w:r w:rsidR="00132922">
        <w:rPr>
          <w:rFonts w:cs="Times New Roman"/>
          <w:color w:val="000000"/>
          <w:szCs w:val="24"/>
        </w:rPr>
        <w:t xml:space="preserve"> primary hypothesis was </w:t>
      </w:r>
      <w:r w:rsidR="004D5FBC" w:rsidRPr="0013137E">
        <w:rPr>
          <w:rFonts w:cs="Times New Roman"/>
          <w:color w:val="000000"/>
          <w:szCs w:val="24"/>
        </w:rPr>
        <w:t>that, relative to PST,</w:t>
      </w:r>
      <w:r w:rsidRPr="0013137E">
        <w:rPr>
          <w:rFonts w:cs="Times New Roman"/>
          <w:color w:val="000000"/>
          <w:szCs w:val="24"/>
        </w:rPr>
        <w:t xml:space="preserve"> </w:t>
      </w:r>
      <w:r w:rsidR="001F162D" w:rsidRPr="0013137E">
        <w:rPr>
          <w:rFonts w:cs="Times New Roman"/>
          <w:color w:val="000000"/>
          <w:szCs w:val="24"/>
        </w:rPr>
        <w:t>AEBT</w:t>
      </w:r>
      <w:r w:rsidR="00261BC3" w:rsidRPr="0013137E">
        <w:rPr>
          <w:rFonts w:cs="Times New Roman"/>
          <w:color w:val="000000"/>
          <w:szCs w:val="24"/>
        </w:rPr>
        <w:t>-TTM</w:t>
      </w:r>
      <w:r w:rsidR="001F162D" w:rsidRPr="0013137E">
        <w:rPr>
          <w:rFonts w:cs="Times New Roman"/>
          <w:color w:val="000000"/>
          <w:szCs w:val="24"/>
        </w:rPr>
        <w:t xml:space="preserve"> would yield a</w:t>
      </w:r>
      <w:r w:rsidR="00404365" w:rsidRPr="0013137E">
        <w:rPr>
          <w:rFonts w:cs="Times New Roman"/>
          <w:color w:val="000000"/>
          <w:szCs w:val="24"/>
        </w:rPr>
        <w:t xml:space="preserve"> greater </w:t>
      </w:r>
      <w:r w:rsidR="0032588D" w:rsidRPr="0013137E">
        <w:rPr>
          <w:rFonts w:cs="Times New Roman"/>
          <w:color w:val="000000"/>
          <w:szCs w:val="24"/>
        </w:rPr>
        <w:t xml:space="preserve">treatment </w:t>
      </w:r>
      <w:r w:rsidR="00404365" w:rsidRPr="0013137E">
        <w:rPr>
          <w:rFonts w:cs="Times New Roman"/>
          <w:color w:val="000000"/>
          <w:szCs w:val="24"/>
        </w:rPr>
        <w:t>respons</w:t>
      </w:r>
      <w:r w:rsidR="001F162D" w:rsidRPr="0013137E">
        <w:rPr>
          <w:rFonts w:cs="Times New Roman"/>
          <w:color w:val="000000"/>
          <w:szCs w:val="24"/>
        </w:rPr>
        <w:t>e rate</w:t>
      </w:r>
      <w:r w:rsidR="00404365" w:rsidRPr="0013137E">
        <w:rPr>
          <w:rFonts w:cs="Times New Roman"/>
          <w:color w:val="000000"/>
          <w:szCs w:val="24"/>
        </w:rPr>
        <w:t>.</w:t>
      </w:r>
      <w:r w:rsidR="00132922">
        <w:rPr>
          <w:rFonts w:cs="Times New Roman"/>
          <w:color w:val="000000"/>
          <w:szCs w:val="24"/>
        </w:rPr>
        <w:t xml:space="preserve"> </w:t>
      </w:r>
      <w:r w:rsidR="0025739E">
        <w:rPr>
          <w:rFonts w:cs="Times New Roman"/>
          <w:color w:val="000000"/>
          <w:szCs w:val="24"/>
        </w:rPr>
        <w:t>Our s</w:t>
      </w:r>
      <w:r w:rsidR="00132922">
        <w:rPr>
          <w:rFonts w:cs="Times New Roman"/>
          <w:color w:val="000000"/>
          <w:szCs w:val="24"/>
        </w:rPr>
        <w:t>econdary hypothes</w:t>
      </w:r>
      <w:r w:rsidR="003357EC">
        <w:rPr>
          <w:rFonts w:cs="Times New Roman"/>
          <w:color w:val="000000"/>
          <w:szCs w:val="24"/>
        </w:rPr>
        <w:t>i</w:t>
      </w:r>
      <w:r w:rsidR="00132922">
        <w:rPr>
          <w:rFonts w:cs="Times New Roman"/>
          <w:color w:val="000000"/>
          <w:szCs w:val="24"/>
        </w:rPr>
        <w:t xml:space="preserve">s </w:t>
      </w:r>
      <w:r w:rsidR="0025739E">
        <w:rPr>
          <w:rFonts w:cs="Times New Roman"/>
          <w:color w:val="000000"/>
          <w:szCs w:val="24"/>
        </w:rPr>
        <w:t>was</w:t>
      </w:r>
      <w:r w:rsidR="00132922">
        <w:rPr>
          <w:rFonts w:cs="Times New Roman"/>
          <w:color w:val="000000"/>
          <w:szCs w:val="24"/>
        </w:rPr>
        <w:t xml:space="preserve"> that AEBT-TTM would yield </w:t>
      </w:r>
      <w:r w:rsidR="00132922" w:rsidRPr="0013137E">
        <w:rPr>
          <w:rFonts w:cs="Times New Roman"/>
          <w:color w:val="000000"/>
          <w:szCs w:val="24"/>
        </w:rPr>
        <w:t>larger reductions in TTM symptom severity</w:t>
      </w:r>
      <w:r w:rsidR="00CC5063">
        <w:rPr>
          <w:rFonts w:cs="Times New Roman"/>
          <w:color w:val="000000"/>
          <w:szCs w:val="24"/>
        </w:rPr>
        <w:t xml:space="preserve"> </w:t>
      </w:r>
      <w:r w:rsidR="00132922">
        <w:rPr>
          <w:rFonts w:cs="Times New Roman"/>
          <w:color w:val="000000"/>
          <w:szCs w:val="24"/>
        </w:rPr>
        <w:t>relative to PST.</w:t>
      </w:r>
    </w:p>
    <w:p w14:paraId="5CFB452D" w14:textId="06DE39A8" w:rsidR="00262C58" w:rsidRPr="00A20B39" w:rsidRDefault="00960261" w:rsidP="00CF2EEA">
      <w:pPr>
        <w:pStyle w:val="Heading1"/>
        <w:keepNext w:val="0"/>
        <w:keepLines w:val="0"/>
        <w:widowControl w:val="0"/>
        <w:spacing w:line="480" w:lineRule="auto"/>
      </w:pPr>
      <w:r>
        <w:t>Method</w:t>
      </w:r>
    </w:p>
    <w:p w14:paraId="5769CEB4" w14:textId="41DF2675" w:rsidR="00B56E72" w:rsidRPr="00E43C40" w:rsidRDefault="00262C58" w:rsidP="00CF2EEA">
      <w:pPr>
        <w:widowControl w:val="0"/>
        <w:spacing w:line="480" w:lineRule="auto"/>
        <w:ind w:firstLine="720"/>
        <w:rPr>
          <w:rFonts w:eastAsia="Times New Roman" w:cs="Times New Roman"/>
          <w:szCs w:val="24"/>
        </w:rPr>
      </w:pPr>
      <w:r w:rsidRPr="00262C58">
        <w:rPr>
          <w:rFonts w:eastAsia="Times New Roman" w:cs="Times New Roman"/>
          <w:szCs w:val="24"/>
        </w:rPr>
        <w:t>AEBT</w:t>
      </w:r>
      <w:r w:rsidR="00201C8B">
        <w:rPr>
          <w:rFonts w:eastAsia="Times New Roman" w:cs="Times New Roman"/>
          <w:szCs w:val="24"/>
        </w:rPr>
        <w:t>-TTM</w:t>
      </w:r>
      <w:r w:rsidRPr="00262C58">
        <w:rPr>
          <w:rFonts w:eastAsia="Times New Roman" w:cs="Times New Roman"/>
          <w:szCs w:val="24"/>
        </w:rPr>
        <w:t xml:space="preserve"> </w:t>
      </w:r>
      <w:r>
        <w:rPr>
          <w:rFonts w:eastAsia="Times New Roman" w:cs="Times New Roman"/>
          <w:szCs w:val="24"/>
        </w:rPr>
        <w:t>was</w:t>
      </w:r>
      <w:r w:rsidRPr="00262C58">
        <w:rPr>
          <w:rFonts w:eastAsia="Times New Roman" w:cs="Times New Roman"/>
          <w:szCs w:val="24"/>
        </w:rPr>
        <w:t xml:space="preserve"> evaluated using a parallel group </w:t>
      </w:r>
      <w:r w:rsidR="003357EC">
        <w:rPr>
          <w:rFonts w:eastAsia="Times New Roman" w:cs="Times New Roman"/>
          <w:szCs w:val="24"/>
        </w:rPr>
        <w:t>RCT</w:t>
      </w:r>
      <w:r w:rsidR="006407B1">
        <w:rPr>
          <w:rFonts w:eastAsia="Times New Roman" w:cs="Times New Roman"/>
          <w:szCs w:val="24"/>
        </w:rPr>
        <w:t xml:space="preserve"> </w:t>
      </w:r>
      <w:r w:rsidRPr="00262C58">
        <w:rPr>
          <w:rFonts w:eastAsia="Times New Roman" w:cs="Times New Roman"/>
          <w:szCs w:val="24"/>
        </w:rPr>
        <w:t xml:space="preserve">design. </w:t>
      </w:r>
      <w:r w:rsidR="007730ED">
        <w:rPr>
          <w:rFonts w:eastAsia="Times New Roman" w:cs="Times New Roman"/>
          <w:szCs w:val="24"/>
        </w:rPr>
        <w:t xml:space="preserve">Methodological details are </w:t>
      </w:r>
      <w:r w:rsidR="0032588D">
        <w:rPr>
          <w:rFonts w:eastAsia="Times New Roman" w:cs="Times New Roman"/>
          <w:szCs w:val="24"/>
        </w:rPr>
        <w:t xml:space="preserve">fully </w:t>
      </w:r>
      <w:r w:rsidR="007730ED">
        <w:rPr>
          <w:rFonts w:eastAsia="Times New Roman" w:cs="Times New Roman"/>
          <w:szCs w:val="24"/>
        </w:rPr>
        <w:t>described elsewhere</w:t>
      </w:r>
      <w:r w:rsidR="001254DC">
        <w:rPr>
          <w:rFonts w:eastAsia="Times New Roman" w:cs="Times New Roman"/>
          <w:szCs w:val="24"/>
        </w:rPr>
        <w:t xml:space="preserve"> </w:t>
      </w:r>
      <w:r w:rsidR="008478EE">
        <w:rPr>
          <w:rFonts w:eastAsia="Times New Roman" w:cs="Times New Roman"/>
          <w:szCs w:val="24"/>
        </w:rPr>
        <w:fldChar w:fldCharType="begin" w:fldLock="1"/>
      </w:r>
      <w:r w:rsidR="005A521A">
        <w:rPr>
          <w:rFonts w:eastAsia="Times New Roman" w:cs="Times New Roman"/>
          <w:szCs w:val="24"/>
        </w:rPr>
        <w:instrText>ADDIN CSL_CITATION {"citationItems":[{"id":"ITEM-1","itemData":{"DOI":"10.1521/bumc_2019_83_04","author":[{"dropping-particle":"","family":"Neal-Barnett","given":"Angela M.","non-dropping-particle":"","parse-names":false,"suffix":""},{"dropping-particle":"","family":"Woods","given":"Douglas W.","non-dropping-particle":"","parse-names":false,"suffix":""},{"dropping-particle":"","family":"Espil","given":"Flint M.","non-dropping-particle":"","parse-names":false,"suffix":""},{"dropping-particle":"","family":"Davis","given":"Martale","non-dropping-particle":"","parse-names":false,"suffix":""},{"dropping-particle":"","family":"Alexander","given":"Jennifer R.","non-dropping-particle":"","parse-names":false,"suffix":""},{"dropping-particle":"","family":"Compton","given":"Scott N.","non-dropping-particle":"","parse-names":false,"suffix":""},{"dropping-particle":"","family":"Walther","given":"Michael R.","non-dropping-particle":"","parse-names":false,"suffix":""},{"dropping-particle":"","family":"Twohig","given":"Michael P.","non-dropping-particle":"","parse-names":false,"suffix":""},{"dropping-particle":"","family":"Saunders","given":"Stephen M.","non-dropping-particle":"","parse-names":false,"suffix":""},{"dropping-particle":"","family":"Cahill","given":"Shawn P.","non-dropping-particle":"","parse-names":false,"suffix":""},{"dropping-particle":"","family":"Franklin","given":"Martin E.","non-dropping-particle":"","parse-names":false,"suffix":""}],"container-title":"Bulletin of the Menninger Clinic","id":"ITEM-1","issue":"4","issued":{"date-parts":[["2019"]]},"page":"399-431","title":"Acceptance-enhanced Behavior Therapy for Trichotillomania: Randomized controlled trial rationale, methods and strategies for recruiting minority participants","type":"article-journal","volume":"83"},"uris":["http://www.mendeley.com/documents/?uuid=5f30b163-f333-44b7-90e5-1105a5758fe9","http://www.mendeley.com/documents/?uuid=0a1e5da2-bd70-4a75-b4ca-49cebacc9dbe"]}],"mendeley":{"formattedCitation":"(Neal-Barnett et al., 2019)","plainTextFormattedCitation":"(Neal-Barnett et al., 2019)","previouslyFormattedCitation":"(Neal-Barnett et al., 2019)"},"properties":{"noteIndex":0},"schema":"https://github.com/citation-style-language/schema/raw/master/csl-citation.json"}</w:instrText>
      </w:r>
      <w:r w:rsidR="008478EE">
        <w:rPr>
          <w:rFonts w:eastAsia="Times New Roman" w:cs="Times New Roman"/>
          <w:szCs w:val="24"/>
        </w:rPr>
        <w:fldChar w:fldCharType="separate"/>
      </w:r>
      <w:r w:rsidR="00491BEB" w:rsidRPr="00491BEB">
        <w:rPr>
          <w:rFonts w:eastAsia="Times New Roman" w:cs="Times New Roman"/>
          <w:noProof/>
          <w:szCs w:val="24"/>
        </w:rPr>
        <w:t>(Neal-Barnett et al., 2019)</w:t>
      </w:r>
      <w:r w:rsidR="008478EE">
        <w:rPr>
          <w:rFonts w:eastAsia="Times New Roman" w:cs="Times New Roman"/>
          <w:szCs w:val="24"/>
        </w:rPr>
        <w:fldChar w:fldCharType="end"/>
      </w:r>
      <w:r w:rsidR="009C20A5">
        <w:rPr>
          <w:rFonts w:eastAsia="Times New Roman" w:cs="Times New Roman"/>
          <w:szCs w:val="24"/>
        </w:rPr>
        <w:t xml:space="preserve"> but briefly reviewed here.</w:t>
      </w:r>
      <w:r w:rsidR="00060C84">
        <w:rPr>
          <w:rFonts w:eastAsia="Times New Roman" w:cs="Times New Roman"/>
          <w:szCs w:val="24"/>
        </w:rPr>
        <w:t xml:space="preserve"> </w:t>
      </w:r>
      <w:r w:rsidRPr="00262C58">
        <w:rPr>
          <w:rFonts w:eastAsia="Times New Roman" w:cs="Times New Roman"/>
          <w:szCs w:val="24"/>
        </w:rPr>
        <w:t xml:space="preserve">Eligible and consenting participants </w:t>
      </w:r>
      <w:r>
        <w:rPr>
          <w:rFonts w:eastAsia="Times New Roman" w:cs="Times New Roman"/>
          <w:szCs w:val="24"/>
        </w:rPr>
        <w:t xml:space="preserve">were </w:t>
      </w:r>
      <w:r w:rsidRPr="00262C58">
        <w:rPr>
          <w:rFonts w:eastAsia="Times New Roman" w:cs="Times New Roman"/>
          <w:szCs w:val="24"/>
        </w:rPr>
        <w:t xml:space="preserve">randomly assigned to one of two </w:t>
      </w:r>
      <w:r w:rsidR="00DF0DE1">
        <w:rPr>
          <w:rFonts w:eastAsia="Times New Roman" w:cs="Times New Roman"/>
          <w:szCs w:val="24"/>
        </w:rPr>
        <w:t xml:space="preserve">conditions: </w:t>
      </w:r>
      <w:r w:rsidRPr="00262C58">
        <w:rPr>
          <w:rFonts w:eastAsia="Times New Roman" w:cs="Times New Roman"/>
          <w:szCs w:val="24"/>
        </w:rPr>
        <w:t>AEBT</w:t>
      </w:r>
      <w:r w:rsidR="00DF0DE1">
        <w:rPr>
          <w:rFonts w:eastAsia="Times New Roman" w:cs="Times New Roman"/>
          <w:szCs w:val="24"/>
        </w:rPr>
        <w:t>-TTM or PST</w:t>
      </w:r>
      <w:r w:rsidRPr="00262C58">
        <w:rPr>
          <w:rFonts w:eastAsia="Times New Roman" w:cs="Times New Roman"/>
          <w:szCs w:val="24"/>
        </w:rPr>
        <w:t>. Assessments</w:t>
      </w:r>
      <w:r w:rsidR="00060C84">
        <w:rPr>
          <w:rFonts w:eastAsia="Times New Roman" w:cs="Times New Roman"/>
          <w:szCs w:val="24"/>
        </w:rPr>
        <w:t xml:space="preserve"> were</w:t>
      </w:r>
      <w:r w:rsidRPr="00262C58">
        <w:rPr>
          <w:rFonts w:eastAsia="Times New Roman" w:cs="Times New Roman"/>
          <w:szCs w:val="24"/>
        </w:rPr>
        <w:t xml:space="preserve"> conducted by </w:t>
      </w:r>
      <w:r w:rsidR="00D76040">
        <w:rPr>
          <w:rFonts w:eastAsia="Times New Roman" w:cs="Times New Roman"/>
          <w:szCs w:val="24"/>
        </w:rPr>
        <w:t>masked</w:t>
      </w:r>
      <w:r w:rsidRPr="00262C58">
        <w:rPr>
          <w:rFonts w:eastAsia="Times New Roman" w:cs="Times New Roman"/>
          <w:szCs w:val="24"/>
        </w:rPr>
        <w:t xml:space="preserve"> </w:t>
      </w:r>
      <w:r>
        <w:rPr>
          <w:rFonts w:eastAsia="Times New Roman" w:cs="Times New Roman"/>
          <w:szCs w:val="24"/>
        </w:rPr>
        <w:t>independent evaluator</w:t>
      </w:r>
      <w:r w:rsidR="003357EC">
        <w:rPr>
          <w:rFonts w:eastAsia="Times New Roman" w:cs="Times New Roman"/>
          <w:szCs w:val="24"/>
        </w:rPr>
        <w:t>s</w:t>
      </w:r>
      <w:r>
        <w:rPr>
          <w:rFonts w:eastAsia="Times New Roman" w:cs="Times New Roman"/>
          <w:szCs w:val="24"/>
        </w:rPr>
        <w:t xml:space="preserve"> </w:t>
      </w:r>
      <w:r w:rsidR="005B4442">
        <w:rPr>
          <w:rFonts w:eastAsia="Times New Roman" w:cs="Times New Roman"/>
          <w:szCs w:val="24"/>
        </w:rPr>
        <w:t>(IE</w:t>
      </w:r>
      <w:r w:rsidR="003357EC">
        <w:rPr>
          <w:rFonts w:eastAsia="Times New Roman" w:cs="Times New Roman"/>
          <w:szCs w:val="24"/>
        </w:rPr>
        <w:t>s</w:t>
      </w:r>
      <w:r w:rsidR="005B4442">
        <w:rPr>
          <w:rFonts w:eastAsia="Times New Roman" w:cs="Times New Roman"/>
          <w:szCs w:val="24"/>
        </w:rPr>
        <w:t xml:space="preserve">) </w:t>
      </w:r>
      <w:r w:rsidRPr="00262C58">
        <w:rPr>
          <w:rFonts w:eastAsia="Times New Roman" w:cs="Times New Roman"/>
          <w:szCs w:val="24"/>
        </w:rPr>
        <w:t>at pretreatment (0 weeks), midpoint (6</w:t>
      </w:r>
      <w:r w:rsidR="0032588D">
        <w:rPr>
          <w:rFonts w:eastAsia="Times New Roman" w:cs="Times New Roman"/>
          <w:szCs w:val="24"/>
        </w:rPr>
        <w:t xml:space="preserve"> weeks)</w:t>
      </w:r>
      <w:r w:rsidR="00DF0DE1">
        <w:rPr>
          <w:rFonts w:eastAsia="Times New Roman" w:cs="Times New Roman"/>
          <w:szCs w:val="24"/>
        </w:rPr>
        <w:t>,</w:t>
      </w:r>
      <w:r w:rsidR="0032588D">
        <w:rPr>
          <w:rFonts w:eastAsia="Times New Roman" w:cs="Times New Roman"/>
          <w:szCs w:val="24"/>
        </w:rPr>
        <w:t xml:space="preserve"> </w:t>
      </w:r>
      <w:r w:rsidR="00060C84">
        <w:rPr>
          <w:rFonts w:eastAsia="Times New Roman" w:cs="Times New Roman"/>
          <w:szCs w:val="24"/>
        </w:rPr>
        <w:t xml:space="preserve">and </w:t>
      </w:r>
      <w:r w:rsidRPr="00262C58">
        <w:rPr>
          <w:rFonts w:eastAsia="Times New Roman" w:cs="Times New Roman"/>
          <w:szCs w:val="24"/>
        </w:rPr>
        <w:t xml:space="preserve">posttreatment (12 weeks). Each treatment condition </w:t>
      </w:r>
      <w:r w:rsidR="001E2485">
        <w:rPr>
          <w:rFonts w:eastAsia="Times New Roman" w:cs="Times New Roman"/>
          <w:szCs w:val="24"/>
        </w:rPr>
        <w:t>consisted</w:t>
      </w:r>
      <w:r w:rsidRPr="00262C58">
        <w:rPr>
          <w:rFonts w:eastAsia="Times New Roman" w:cs="Times New Roman"/>
          <w:szCs w:val="24"/>
        </w:rPr>
        <w:t xml:space="preserve"> of 10 sessions </w:t>
      </w:r>
      <w:r w:rsidRPr="00E43C40">
        <w:rPr>
          <w:rFonts w:eastAsia="Times New Roman" w:cs="Times New Roman"/>
          <w:szCs w:val="24"/>
        </w:rPr>
        <w:t xml:space="preserve">spaced over 12 weeks. </w:t>
      </w:r>
      <w:r w:rsidR="00060C84" w:rsidRPr="00E43C40">
        <w:rPr>
          <w:rFonts w:eastAsia="Times New Roman" w:cs="Times New Roman"/>
          <w:szCs w:val="24"/>
        </w:rPr>
        <w:t xml:space="preserve"> </w:t>
      </w:r>
      <w:r w:rsidRPr="00E43C40">
        <w:rPr>
          <w:rFonts w:eastAsia="Times New Roman" w:cs="Times New Roman"/>
          <w:szCs w:val="24"/>
        </w:rPr>
        <w:t>Session duration was equivalent across groups.</w:t>
      </w:r>
      <w:r w:rsidR="00E43C40">
        <w:rPr>
          <w:rFonts w:eastAsia="Times New Roman" w:cs="Times New Roman"/>
          <w:szCs w:val="24"/>
        </w:rPr>
        <w:t xml:space="preserve"> </w:t>
      </w:r>
      <w:r w:rsidR="00B56E72" w:rsidRPr="00E43C40">
        <w:rPr>
          <w:rFonts w:eastAsia="Times New Roman" w:cs="Times New Roman"/>
          <w:szCs w:val="24"/>
        </w:rPr>
        <w:t xml:space="preserve">This study </w:t>
      </w:r>
      <w:r w:rsidR="003E2D53" w:rsidRPr="00E43C40">
        <w:rPr>
          <w:rFonts w:eastAsia="Times New Roman" w:cs="Times New Roman"/>
          <w:szCs w:val="24"/>
        </w:rPr>
        <w:t xml:space="preserve">was funded by the NIMH </w:t>
      </w:r>
      <w:r w:rsidR="00B56E72" w:rsidRPr="00E43C40">
        <w:rPr>
          <w:rFonts w:eastAsia="Times New Roman" w:cs="Times New Roman"/>
          <w:szCs w:val="24"/>
        </w:rPr>
        <w:t>(R01</w:t>
      </w:r>
      <w:r w:rsidR="00DD563E" w:rsidRPr="00E43C40">
        <w:rPr>
          <w:rFonts w:eastAsia="Times New Roman" w:cs="Times New Roman"/>
          <w:szCs w:val="24"/>
        </w:rPr>
        <w:t>MH080966</w:t>
      </w:r>
      <w:r w:rsidR="00B56E72" w:rsidRPr="00E43C40">
        <w:rPr>
          <w:rFonts w:eastAsia="Times New Roman" w:cs="Times New Roman"/>
          <w:szCs w:val="24"/>
        </w:rPr>
        <w:t>; Woods, PI)</w:t>
      </w:r>
      <w:r w:rsidR="00E43C40">
        <w:rPr>
          <w:rFonts w:eastAsia="Times New Roman" w:cs="Times New Roman"/>
          <w:szCs w:val="24"/>
        </w:rPr>
        <w:t>,</w:t>
      </w:r>
      <w:r w:rsidR="00B56E72" w:rsidRPr="00E43C40">
        <w:rPr>
          <w:rFonts w:eastAsia="Times New Roman" w:cs="Times New Roman"/>
          <w:szCs w:val="24"/>
        </w:rPr>
        <w:t xml:space="preserve"> registered with </w:t>
      </w:r>
      <w:hyperlink r:id="rId25" w:history="1">
        <w:r w:rsidR="003D0528" w:rsidRPr="000F6C9B">
          <w:rPr>
            <w:rStyle w:val="Hyperlink"/>
            <w:rFonts w:eastAsia="Times New Roman" w:cs="Times New Roman"/>
            <w:szCs w:val="24"/>
          </w:rPr>
          <w:t>www.clinicaltrials.gov</w:t>
        </w:r>
      </w:hyperlink>
      <w:r w:rsidR="003D0528">
        <w:rPr>
          <w:rFonts w:eastAsia="Times New Roman" w:cs="Times New Roman"/>
          <w:szCs w:val="24"/>
        </w:rPr>
        <w:t xml:space="preserve"> </w:t>
      </w:r>
      <w:r w:rsidR="00B56E72" w:rsidRPr="00E43C40">
        <w:rPr>
          <w:rFonts w:eastAsia="Times New Roman" w:cs="Times New Roman"/>
          <w:szCs w:val="24"/>
        </w:rPr>
        <w:t>(</w:t>
      </w:r>
      <w:r w:rsidR="00B56E72" w:rsidRPr="00E43C40">
        <w:rPr>
          <w:rFonts w:cs="Times New Roman"/>
          <w:lang w:val="en"/>
        </w:rPr>
        <w:t>NCT00872742)</w:t>
      </w:r>
      <w:r w:rsidR="00E43C40">
        <w:rPr>
          <w:rFonts w:cs="Times New Roman"/>
          <w:lang w:val="en"/>
        </w:rPr>
        <w:t>, and</w:t>
      </w:r>
      <w:r w:rsidR="00B56E72" w:rsidRPr="00E43C40">
        <w:rPr>
          <w:rFonts w:eastAsia="Times New Roman" w:cs="Times New Roman"/>
          <w:szCs w:val="24"/>
        </w:rPr>
        <w:t xml:space="preserve"> approved by Institutional Review Boards </w:t>
      </w:r>
      <w:r w:rsidR="006407B1">
        <w:rPr>
          <w:rFonts w:eastAsia="Times New Roman" w:cs="Times New Roman"/>
          <w:szCs w:val="24"/>
        </w:rPr>
        <w:t xml:space="preserve">(IRBs) </w:t>
      </w:r>
      <w:r w:rsidR="00B56E72" w:rsidRPr="00E43C40">
        <w:rPr>
          <w:rFonts w:eastAsia="Times New Roman" w:cs="Times New Roman"/>
          <w:szCs w:val="24"/>
        </w:rPr>
        <w:t>at both the University of Wisconsin-Milwa</w:t>
      </w:r>
      <w:r w:rsidR="00201C8B" w:rsidRPr="00E43C40">
        <w:rPr>
          <w:rFonts w:eastAsia="Times New Roman" w:cs="Times New Roman"/>
          <w:szCs w:val="24"/>
        </w:rPr>
        <w:t>ukee and Texas A&amp;M University.</w:t>
      </w:r>
    </w:p>
    <w:p w14:paraId="112BBB24" w14:textId="63823A04" w:rsidR="00262C58" w:rsidRDefault="00262C58" w:rsidP="00CF2EEA">
      <w:pPr>
        <w:pStyle w:val="Heading2"/>
        <w:keepNext w:val="0"/>
        <w:keepLines w:val="0"/>
        <w:widowControl w:val="0"/>
        <w:spacing w:line="480" w:lineRule="auto"/>
      </w:pPr>
      <w:r w:rsidRPr="00060C84">
        <w:t>Participants</w:t>
      </w:r>
    </w:p>
    <w:p w14:paraId="3C80E446" w14:textId="03EF6285" w:rsidR="007D527A" w:rsidRDefault="00262C58" w:rsidP="00CF2EEA">
      <w:pPr>
        <w:widowControl w:val="0"/>
        <w:spacing w:line="480" w:lineRule="auto"/>
        <w:ind w:firstLine="720"/>
        <w:rPr>
          <w:rFonts w:eastAsia="Times New Roman" w:cs="Times New Roman"/>
          <w:szCs w:val="24"/>
        </w:rPr>
      </w:pPr>
      <w:r w:rsidRPr="00DF0DE1">
        <w:rPr>
          <w:rFonts w:eastAsia="Times New Roman" w:cs="Times New Roman"/>
          <w:b/>
          <w:bCs/>
          <w:szCs w:val="24"/>
        </w:rPr>
        <w:t>Recruitment.</w:t>
      </w:r>
      <w:r w:rsidRPr="00262C58">
        <w:rPr>
          <w:rFonts w:eastAsia="Times New Roman" w:cs="Times New Roman"/>
          <w:bCs/>
          <w:i/>
          <w:szCs w:val="24"/>
        </w:rPr>
        <w:t xml:space="preserve"> </w:t>
      </w:r>
      <w:r w:rsidR="00B56E72">
        <w:rPr>
          <w:rFonts w:eastAsia="Times New Roman" w:cs="Times New Roman"/>
          <w:szCs w:val="24"/>
        </w:rPr>
        <w:t xml:space="preserve">The study took place </w:t>
      </w:r>
      <w:r w:rsidR="0032588D">
        <w:rPr>
          <w:rFonts w:eastAsia="Times New Roman" w:cs="Times New Roman"/>
          <w:szCs w:val="24"/>
        </w:rPr>
        <w:t xml:space="preserve">at a university-based psychology clinic located </w:t>
      </w:r>
      <w:r w:rsidR="00B56E72">
        <w:rPr>
          <w:rFonts w:eastAsia="Times New Roman" w:cs="Times New Roman"/>
          <w:szCs w:val="24"/>
        </w:rPr>
        <w:t xml:space="preserve">in a large Midwestern city. </w:t>
      </w:r>
      <w:r w:rsidRPr="00262C58">
        <w:rPr>
          <w:rFonts w:eastAsia="Times New Roman" w:cs="Times New Roman"/>
          <w:szCs w:val="24"/>
        </w:rPr>
        <w:t>Recruitment occur</w:t>
      </w:r>
      <w:r>
        <w:rPr>
          <w:rFonts w:eastAsia="Times New Roman" w:cs="Times New Roman"/>
          <w:szCs w:val="24"/>
        </w:rPr>
        <w:t>red</w:t>
      </w:r>
      <w:r w:rsidRPr="00262C58">
        <w:rPr>
          <w:rFonts w:eastAsia="Times New Roman" w:cs="Times New Roman"/>
          <w:szCs w:val="24"/>
        </w:rPr>
        <w:t xml:space="preserve"> via (</w:t>
      </w:r>
      <w:r w:rsidR="00F37375">
        <w:rPr>
          <w:rFonts w:eastAsia="Times New Roman" w:cs="Times New Roman"/>
          <w:szCs w:val="24"/>
        </w:rPr>
        <w:t>a</w:t>
      </w:r>
      <w:r w:rsidRPr="00262C58">
        <w:rPr>
          <w:rFonts w:eastAsia="Times New Roman" w:cs="Times New Roman"/>
          <w:szCs w:val="24"/>
        </w:rPr>
        <w:t>) standard clinic flow</w:t>
      </w:r>
      <w:r w:rsidR="00FD75F4">
        <w:rPr>
          <w:rFonts w:eastAsia="Times New Roman" w:cs="Times New Roman"/>
          <w:szCs w:val="24"/>
        </w:rPr>
        <w:t>;</w:t>
      </w:r>
      <w:r w:rsidRPr="00262C58">
        <w:rPr>
          <w:rFonts w:eastAsia="Times New Roman" w:cs="Times New Roman"/>
          <w:szCs w:val="24"/>
        </w:rPr>
        <w:t xml:space="preserve"> (</w:t>
      </w:r>
      <w:r w:rsidR="00F37375">
        <w:rPr>
          <w:rFonts w:eastAsia="Times New Roman" w:cs="Times New Roman"/>
          <w:szCs w:val="24"/>
        </w:rPr>
        <w:t>b</w:t>
      </w:r>
      <w:r w:rsidRPr="00262C58">
        <w:rPr>
          <w:rFonts w:eastAsia="Times New Roman" w:cs="Times New Roman"/>
          <w:szCs w:val="24"/>
        </w:rPr>
        <w:t>) written solicitations to local physicians, psychiatrists, dermatologists, and hairdressers</w:t>
      </w:r>
      <w:r w:rsidR="00FD75F4">
        <w:rPr>
          <w:rFonts w:eastAsia="Times New Roman" w:cs="Times New Roman"/>
          <w:szCs w:val="24"/>
        </w:rPr>
        <w:t>;</w:t>
      </w:r>
      <w:r w:rsidRPr="00262C58">
        <w:rPr>
          <w:rFonts w:eastAsia="Times New Roman" w:cs="Times New Roman"/>
          <w:szCs w:val="24"/>
        </w:rPr>
        <w:t xml:space="preserve"> (</w:t>
      </w:r>
      <w:r w:rsidR="00F37375">
        <w:rPr>
          <w:rFonts w:eastAsia="Times New Roman" w:cs="Times New Roman"/>
          <w:szCs w:val="24"/>
        </w:rPr>
        <w:t>c</w:t>
      </w:r>
      <w:r w:rsidRPr="00262C58">
        <w:rPr>
          <w:rFonts w:eastAsia="Times New Roman" w:cs="Times New Roman"/>
          <w:szCs w:val="24"/>
        </w:rPr>
        <w:t>) print</w:t>
      </w:r>
      <w:r>
        <w:rPr>
          <w:rFonts w:eastAsia="Times New Roman" w:cs="Times New Roman"/>
          <w:szCs w:val="24"/>
        </w:rPr>
        <w:t>,</w:t>
      </w:r>
      <w:r w:rsidRPr="00262C58">
        <w:rPr>
          <w:rFonts w:eastAsia="Times New Roman" w:cs="Times New Roman"/>
          <w:szCs w:val="24"/>
        </w:rPr>
        <w:t xml:space="preserve"> radio</w:t>
      </w:r>
      <w:r>
        <w:rPr>
          <w:rFonts w:eastAsia="Times New Roman" w:cs="Times New Roman"/>
          <w:szCs w:val="24"/>
        </w:rPr>
        <w:t>, and public transportation</w:t>
      </w:r>
      <w:r w:rsidRPr="00262C58">
        <w:rPr>
          <w:rFonts w:eastAsia="Times New Roman" w:cs="Times New Roman"/>
          <w:szCs w:val="24"/>
        </w:rPr>
        <w:t xml:space="preserve"> advertisements</w:t>
      </w:r>
      <w:r w:rsidR="00FD75F4">
        <w:rPr>
          <w:rFonts w:eastAsia="Times New Roman" w:cs="Times New Roman"/>
          <w:szCs w:val="24"/>
        </w:rPr>
        <w:t>;</w:t>
      </w:r>
      <w:r w:rsidRPr="00262C58">
        <w:rPr>
          <w:rFonts w:eastAsia="Times New Roman" w:cs="Times New Roman"/>
          <w:szCs w:val="24"/>
        </w:rPr>
        <w:t xml:space="preserve"> and (</w:t>
      </w:r>
      <w:r w:rsidR="00F37375">
        <w:rPr>
          <w:rFonts w:eastAsia="Times New Roman" w:cs="Times New Roman"/>
          <w:szCs w:val="24"/>
        </w:rPr>
        <w:t>d</w:t>
      </w:r>
      <w:r w:rsidRPr="00262C58">
        <w:rPr>
          <w:rFonts w:eastAsia="Times New Roman" w:cs="Times New Roman"/>
          <w:szCs w:val="24"/>
        </w:rPr>
        <w:t xml:space="preserve">) assistance from the </w:t>
      </w:r>
      <w:r w:rsidR="00A222CE">
        <w:rPr>
          <w:rFonts w:eastAsia="Times New Roman" w:cs="Times New Roman"/>
          <w:szCs w:val="24"/>
        </w:rPr>
        <w:t>TLC Foundation for Body-Focused Repetitive Behaviors</w:t>
      </w:r>
      <w:r w:rsidR="003E2D53">
        <w:rPr>
          <w:rFonts w:eastAsia="Times New Roman" w:cs="Times New Roman"/>
          <w:szCs w:val="24"/>
        </w:rPr>
        <w:t xml:space="preserve"> (</w:t>
      </w:r>
      <w:hyperlink r:id="rId26" w:history="1">
        <w:r w:rsidR="007D527A" w:rsidRPr="000F6C9B">
          <w:rPr>
            <w:rStyle w:val="Hyperlink"/>
            <w:rFonts w:eastAsia="Times New Roman" w:cs="Times New Roman"/>
            <w:szCs w:val="24"/>
          </w:rPr>
          <w:t>www.bfrb.org</w:t>
        </w:r>
      </w:hyperlink>
      <w:r w:rsidR="003E2D53">
        <w:rPr>
          <w:rFonts w:eastAsia="Times New Roman" w:cs="Times New Roman"/>
          <w:szCs w:val="24"/>
        </w:rPr>
        <w:t>)</w:t>
      </w:r>
      <w:r>
        <w:rPr>
          <w:rFonts w:eastAsia="Times New Roman" w:cs="Times New Roman"/>
          <w:szCs w:val="24"/>
        </w:rPr>
        <w:t>.</w:t>
      </w:r>
    </w:p>
    <w:p w14:paraId="352163E5" w14:textId="37EEDED9" w:rsidR="00F24EEC" w:rsidRPr="008776F1" w:rsidRDefault="007D527A" w:rsidP="00F24EEC">
      <w:pPr>
        <w:widowControl w:val="0"/>
        <w:spacing w:line="480" w:lineRule="auto"/>
        <w:ind w:firstLine="720"/>
        <w:rPr>
          <w:rFonts w:eastAsia="Times New Roman" w:cs="Times New Roman"/>
          <w:bCs/>
          <w:i/>
          <w:szCs w:val="24"/>
        </w:rPr>
      </w:pPr>
      <w:r>
        <w:rPr>
          <w:rFonts w:eastAsia="Times New Roman" w:cs="Times New Roman"/>
          <w:bCs/>
          <w:szCs w:val="24"/>
        </w:rPr>
        <w:t xml:space="preserve">During the 55-month recruitment phase, from April 2009 to November 2013, </w:t>
      </w:r>
      <w:r w:rsidRPr="001E43B0">
        <w:rPr>
          <w:rFonts w:eastAsia="Times New Roman" w:cs="Times New Roman"/>
          <w:bCs/>
          <w:szCs w:val="24"/>
        </w:rPr>
        <w:t xml:space="preserve">117 </w:t>
      </w:r>
      <w:r>
        <w:rPr>
          <w:rFonts w:eastAsia="Times New Roman" w:cs="Times New Roman"/>
          <w:bCs/>
          <w:szCs w:val="24"/>
        </w:rPr>
        <w:t xml:space="preserve">participants completed an in-person screening session, and </w:t>
      </w:r>
      <w:r w:rsidRPr="001E43B0">
        <w:rPr>
          <w:rFonts w:eastAsia="Times New Roman" w:cs="Times New Roman"/>
          <w:bCs/>
          <w:szCs w:val="24"/>
        </w:rPr>
        <w:t>8</w:t>
      </w:r>
      <w:r>
        <w:rPr>
          <w:rFonts w:eastAsia="Times New Roman" w:cs="Times New Roman"/>
          <w:bCs/>
          <w:szCs w:val="24"/>
        </w:rPr>
        <w:t xml:space="preserve">5 were randomized to AEBT-TTM or PST (Figure 1). </w:t>
      </w:r>
      <w:r w:rsidR="00970682">
        <w:rPr>
          <w:rFonts w:eastAsia="Times New Roman" w:cs="Times New Roman"/>
          <w:bCs/>
          <w:szCs w:val="24"/>
        </w:rPr>
        <w:t>T</w:t>
      </w:r>
      <w:r w:rsidRPr="006C0D12">
        <w:rPr>
          <w:rFonts w:eastAsia="Times New Roman" w:cs="Times New Roman"/>
          <w:bCs/>
          <w:szCs w:val="24"/>
        </w:rPr>
        <w:t xml:space="preserve">he desired sample size </w:t>
      </w:r>
      <w:r>
        <w:rPr>
          <w:rFonts w:eastAsia="Times New Roman" w:cs="Times New Roman"/>
          <w:bCs/>
          <w:szCs w:val="24"/>
        </w:rPr>
        <w:t>(</w:t>
      </w:r>
      <w:r>
        <w:rPr>
          <w:rFonts w:eastAsia="Times New Roman" w:cs="Times New Roman"/>
          <w:bCs/>
          <w:i/>
          <w:szCs w:val="24"/>
        </w:rPr>
        <w:t xml:space="preserve">n </w:t>
      </w:r>
      <w:r>
        <w:rPr>
          <w:rFonts w:eastAsia="Times New Roman" w:cs="Times New Roman"/>
          <w:bCs/>
          <w:szCs w:val="24"/>
        </w:rPr>
        <w:t xml:space="preserve">= 84) </w:t>
      </w:r>
      <w:r w:rsidR="00AA18E5">
        <w:rPr>
          <w:rFonts w:eastAsia="Times New Roman" w:cs="Times New Roman"/>
          <w:bCs/>
          <w:szCs w:val="24"/>
        </w:rPr>
        <w:t xml:space="preserve">was </w:t>
      </w:r>
      <w:r>
        <w:rPr>
          <w:rFonts w:eastAsia="Times New Roman" w:cs="Times New Roman"/>
          <w:bCs/>
          <w:szCs w:val="24"/>
        </w:rPr>
        <w:t xml:space="preserve">determined via an a priori power </w:t>
      </w:r>
      <w:r w:rsidRPr="008776F1">
        <w:rPr>
          <w:rFonts w:eastAsia="Times New Roman" w:cs="Times New Roman"/>
          <w:bCs/>
          <w:szCs w:val="24"/>
        </w:rPr>
        <w:lastRenderedPageBreak/>
        <w:t>analysis</w:t>
      </w:r>
      <w:r w:rsidR="00BA58B6" w:rsidRPr="008776F1">
        <w:t xml:space="preserve"> </w:t>
      </w:r>
      <w:r w:rsidR="00F24EEC" w:rsidRPr="008776F1">
        <w:t xml:space="preserve">based on the estimated treatment response to AEBT-TTM versus PST on this study’s </w:t>
      </w:r>
      <w:r w:rsidR="007303E1">
        <w:t xml:space="preserve">binary </w:t>
      </w:r>
      <w:r w:rsidR="00F24EEC" w:rsidRPr="008776F1">
        <w:t>primary outcome measure (</w:t>
      </w:r>
      <w:r w:rsidR="00F24EEC" w:rsidRPr="008776F1">
        <w:rPr>
          <w:rFonts w:eastAsia="Times New Roman" w:cs="Times New Roman"/>
          <w:iCs/>
          <w:szCs w:val="24"/>
        </w:rPr>
        <w:t>Clinical Global Impression</w:t>
      </w:r>
      <w:r w:rsidR="00FA2602" w:rsidRPr="008776F1">
        <w:rPr>
          <w:rFonts w:eastAsia="Times New Roman" w:cs="Times New Roman"/>
          <w:iCs/>
          <w:szCs w:val="24"/>
        </w:rPr>
        <w:t>s-Improvement [</w:t>
      </w:r>
      <w:r w:rsidR="00FA2602" w:rsidRPr="008776F1">
        <w:rPr>
          <w:iCs/>
        </w:rPr>
        <w:t xml:space="preserve">CGI-I]) </w:t>
      </w:r>
      <w:r w:rsidR="00EB5CE0">
        <w:rPr>
          <w:iCs/>
        </w:rPr>
        <w:t xml:space="preserve">and on </w:t>
      </w:r>
      <w:r w:rsidR="00FA2602" w:rsidRPr="008776F1">
        <w:t xml:space="preserve">the </w:t>
      </w:r>
      <w:r w:rsidR="00FA2602" w:rsidRPr="008776F1">
        <w:rPr>
          <w:rFonts w:eastAsia="Times New Roman" w:cs="Times New Roman"/>
          <w:szCs w:val="24"/>
        </w:rPr>
        <w:t>Massachusetts General Hospital-Hairpulling Scale [MGH-HS]</w:t>
      </w:r>
      <w:r w:rsidR="00FA2602" w:rsidRPr="008776F1">
        <w:t xml:space="preserve">. Estimated treatment response to AEBT-TTM was derived in a pilot study </w:t>
      </w:r>
      <w:r w:rsidR="005A521A" w:rsidRPr="008776F1">
        <w:fldChar w:fldCharType="begin" w:fldLock="1"/>
      </w:r>
      <w:r w:rsidR="005A521A" w:rsidRPr="008776F1">
        <w:instrText>ADDIN CSL_CITATION {"citationItems":[{"id":"ITEM-1","itemData":{"DOI":"10.1016/j.brat.2005.05.006","author":[{"dropping-particle":"","family":"Woods","given":"Douglas W.","non-dropping-particle":"","parse-names":false,"suffix":""},{"dropping-particle":"","family":"Wetterneck","given":"Chad T.","non-dropping-particle":"","parse-names":false,"suffix":""},{"dropping-particle":"","family":"Flessner","given":"Christopher A.","non-dropping-particle":"","parse-names":false,"suffix":""}],"container-title":"Behaviour Research and Therapy","id":"ITEM-1","issue":"5","issued":{"date-parts":[["2006"]]},"page":"639-656","title":"A controlled evaluation of acceptance and commitment therapy plus habit reversal for trichotillomania","type":"article-journal","volume":"44"},"uris":["http://www.mendeley.com/documents/?uuid=b02e60de-296e-4066-9019-963f8673a18c"]}],"mendeley":{"formattedCitation":"(Woods, Wetterneck, et al., 2006)","plainTextFormattedCitation":"(Woods, Wetterneck, et al., 2006)","previouslyFormattedCitation":"(Woods, Wetterneck, et al., 2006)"},"properties":{"noteIndex":0},"schema":"https://github.com/citation-style-language/schema/raw/master/csl-citation.json"}</w:instrText>
      </w:r>
      <w:r w:rsidR="005A521A" w:rsidRPr="008776F1">
        <w:fldChar w:fldCharType="separate"/>
      </w:r>
      <w:r w:rsidR="005A521A" w:rsidRPr="008776F1">
        <w:rPr>
          <w:noProof/>
        </w:rPr>
        <w:t>(Woods, Wetterneck, et al., 2006)</w:t>
      </w:r>
      <w:r w:rsidR="005A521A" w:rsidRPr="008776F1">
        <w:fldChar w:fldCharType="end"/>
      </w:r>
      <w:r w:rsidR="00FA2602" w:rsidRPr="008776F1">
        <w:t xml:space="preserve">. As there </w:t>
      </w:r>
      <w:r w:rsidR="0046481C" w:rsidRPr="008776F1">
        <w:t>are</w:t>
      </w:r>
      <w:r w:rsidR="00FA2602" w:rsidRPr="008776F1">
        <w:t xml:space="preserve"> limited data upon which to estimate the response rate for PST, we used an estimate of a minimum clinically significant difference between PST and AEBT-TTM. A power analysis </w:t>
      </w:r>
      <w:r w:rsidR="007303E1">
        <w:t xml:space="preserve">conducted </w:t>
      </w:r>
      <w:r w:rsidR="0008429C">
        <w:t>on</w:t>
      </w:r>
      <w:r w:rsidR="00FA2602" w:rsidRPr="008776F1">
        <w:t xml:space="preserve"> the primary outcome measure </w:t>
      </w:r>
      <w:r w:rsidR="007303E1">
        <w:t xml:space="preserve">revealed that a </w:t>
      </w:r>
      <w:r w:rsidR="004721B4">
        <w:t xml:space="preserve">total </w:t>
      </w:r>
      <w:r w:rsidR="00FA2602" w:rsidRPr="008776F1">
        <w:t xml:space="preserve">sample size of </w:t>
      </w:r>
      <w:r w:rsidR="00FA2602" w:rsidRPr="005143BA">
        <w:t>N</w:t>
      </w:r>
      <w:r w:rsidR="004721B4">
        <w:t>=</w:t>
      </w:r>
      <w:r w:rsidR="00FA2602" w:rsidRPr="008776F1">
        <w:t>84</w:t>
      </w:r>
      <w:r w:rsidR="004721B4">
        <w:t xml:space="preserve"> (</w:t>
      </w:r>
      <w:r w:rsidR="007303E1">
        <w:t xml:space="preserve">or </w:t>
      </w:r>
      <w:r w:rsidR="004721B4">
        <w:t>n=</w:t>
      </w:r>
      <w:r w:rsidR="00FA2602" w:rsidRPr="008776F1">
        <w:t xml:space="preserve">42 </w:t>
      </w:r>
      <w:r w:rsidR="004721B4">
        <w:t>per group</w:t>
      </w:r>
      <w:r w:rsidR="00FA2602" w:rsidRPr="008776F1">
        <w:t xml:space="preserve">) would have </w:t>
      </w:r>
      <w:r w:rsidR="0008429C">
        <w:t>approximately 80%</w:t>
      </w:r>
      <w:r w:rsidR="00FA2602" w:rsidRPr="008776F1">
        <w:t xml:space="preserve"> power </w:t>
      </w:r>
      <w:r w:rsidR="004721B4">
        <w:t>to detect</w:t>
      </w:r>
      <w:r w:rsidR="00FA2602" w:rsidRPr="008776F1">
        <w:t xml:space="preserve"> a </w:t>
      </w:r>
      <w:r w:rsidR="004721B4">
        <w:t xml:space="preserve">30% </w:t>
      </w:r>
      <w:r w:rsidR="00FA2602" w:rsidRPr="008776F1">
        <w:t xml:space="preserve">difference </w:t>
      </w:r>
      <w:r w:rsidR="004721B4">
        <w:t xml:space="preserve">in response rates </w:t>
      </w:r>
      <w:r w:rsidR="00FA2602" w:rsidRPr="008776F1">
        <w:t xml:space="preserve">between the </w:t>
      </w:r>
      <w:r w:rsidR="004721B4">
        <w:t xml:space="preserve">two </w:t>
      </w:r>
      <w:r w:rsidR="00FA2602" w:rsidRPr="008776F1">
        <w:t>treatment conditions</w:t>
      </w:r>
      <w:r w:rsidR="0008429C">
        <w:t xml:space="preserve">, assuming that </w:t>
      </w:r>
      <w:r w:rsidR="00FA2602" w:rsidRPr="008776F1">
        <w:t xml:space="preserve">the </w:t>
      </w:r>
      <w:r w:rsidR="0008429C">
        <w:t>population response rate for AEBT-TTM and PST is 60% and 30%, respectively.</w:t>
      </w:r>
      <w:r w:rsidR="00FA2602" w:rsidRPr="008776F1">
        <w:t xml:space="preserve"> Further, based on estimated </w:t>
      </w:r>
      <w:r w:rsidR="0008429C">
        <w:t>between</w:t>
      </w:r>
      <w:r w:rsidR="00FA2602" w:rsidRPr="008776F1">
        <w:t xml:space="preserve"> group differences on the MGH-</w:t>
      </w:r>
      <w:r w:rsidR="00EB5CE0">
        <w:t>HS</w:t>
      </w:r>
      <w:r w:rsidR="00FA2602" w:rsidRPr="008776F1">
        <w:t xml:space="preserve">, </w:t>
      </w:r>
      <w:r w:rsidR="00EB5CE0">
        <w:t xml:space="preserve">an </w:t>
      </w:r>
      <w:r w:rsidR="0008429C">
        <w:t>additional power analys</w:t>
      </w:r>
      <w:r w:rsidR="00EB5CE0">
        <w:t>i</w:t>
      </w:r>
      <w:r w:rsidR="0008429C">
        <w:t>s revealed</w:t>
      </w:r>
      <w:r w:rsidR="00FA2602" w:rsidRPr="008776F1">
        <w:t xml:space="preserve"> that having 42 </w:t>
      </w:r>
      <w:r w:rsidR="00BD33A9">
        <w:t>participants</w:t>
      </w:r>
      <w:r w:rsidR="00BD33A9" w:rsidRPr="008776F1">
        <w:t xml:space="preserve"> </w:t>
      </w:r>
      <w:r w:rsidR="00FA2602" w:rsidRPr="008776F1">
        <w:t xml:space="preserve">in each group would yield have at least 90% power to detect </w:t>
      </w:r>
      <w:r w:rsidR="0008429C">
        <w:t xml:space="preserve">a </w:t>
      </w:r>
      <w:r w:rsidR="00FA2602" w:rsidRPr="008776F1">
        <w:t>between</w:t>
      </w:r>
      <w:r w:rsidR="009E058A">
        <w:t xml:space="preserve"> </w:t>
      </w:r>
      <w:r w:rsidR="00FA2602" w:rsidRPr="008776F1">
        <w:t xml:space="preserve">group </w:t>
      </w:r>
      <w:r w:rsidR="009E058A">
        <w:t>effect size of 0.71</w:t>
      </w:r>
      <w:r w:rsidR="00FA2602" w:rsidRPr="008776F1">
        <w:t xml:space="preserve"> on the MGH-</w:t>
      </w:r>
      <w:proofErr w:type="gramStart"/>
      <w:r w:rsidR="00FA2602" w:rsidRPr="008776F1">
        <w:t>HS</w:t>
      </w:r>
      <w:r w:rsidR="00EB5CE0">
        <w:t>.</w:t>
      </w:r>
      <w:r w:rsidR="00FA2602" w:rsidRPr="008776F1">
        <w:t>.</w:t>
      </w:r>
      <w:proofErr w:type="gramEnd"/>
    </w:p>
    <w:p w14:paraId="29227149" w14:textId="4588F97A" w:rsidR="00BA663D" w:rsidRPr="00262C58" w:rsidRDefault="00262C58" w:rsidP="00BA663D">
      <w:pPr>
        <w:widowControl w:val="0"/>
        <w:spacing w:line="480" w:lineRule="auto"/>
        <w:ind w:firstLine="720"/>
        <w:rPr>
          <w:rFonts w:eastAsia="Times New Roman" w:cs="Times New Roman"/>
          <w:szCs w:val="24"/>
        </w:rPr>
      </w:pPr>
      <w:r>
        <w:rPr>
          <w:rFonts w:eastAsia="Times New Roman" w:cs="Times New Roman"/>
          <w:szCs w:val="24"/>
        </w:rPr>
        <w:t xml:space="preserve">The CONSORT diagram (see Figure </w:t>
      </w:r>
      <w:r w:rsidR="0032588D">
        <w:rPr>
          <w:rFonts w:eastAsia="Times New Roman" w:cs="Times New Roman"/>
          <w:szCs w:val="24"/>
        </w:rPr>
        <w:t>1</w:t>
      </w:r>
      <w:r>
        <w:rPr>
          <w:rFonts w:eastAsia="Times New Roman" w:cs="Times New Roman"/>
          <w:szCs w:val="24"/>
        </w:rPr>
        <w:t xml:space="preserve">) describes the </w:t>
      </w:r>
      <w:r w:rsidR="000B5BF1">
        <w:rPr>
          <w:rFonts w:eastAsia="Times New Roman" w:cs="Times New Roman"/>
          <w:szCs w:val="24"/>
        </w:rPr>
        <w:t xml:space="preserve">participant </w:t>
      </w:r>
      <w:r>
        <w:rPr>
          <w:rFonts w:eastAsia="Times New Roman" w:cs="Times New Roman"/>
          <w:szCs w:val="24"/>
        </w:rPr>
        <w:t>recruitment flow.</w:t>
      </w:r>
      <w:r w:rsidR="00580A4B">
        <w:rPr>
          <w:rFonts w:eastAsia="Times New Roman" w:cs="Times New Roman"/>
          <w:szCs w:val="24"/>
        </w:rPr>
        <w:t xml:space="preserve"> All participants of this study provided written informed consent after receiving a complete description of the study.</w:t>
      </w:r>
    </w:p>
    <w:p w14:paraId="6ACED710" w14:textId="75A9883E" w:rsidR="00262C58" w:rsidRDefault="00262C58" w:rsidP="00CF2EEA">
      <w:pPr>
        <w:widowControl w:val="0"/>
        <w:spacing w:line="480" w:lineRule="auto"/>
        <w:ind w:firstLine="720"/>
        <w:rPr>
          <w:rFonts w:eastAsia="Times New Roman" w:cs="Times New Roman"/>
          <w:szCs w:val="24"/>
        </w:rPr>
      </w:pPr>
      <w:r w:rsidRPr="00DF0DE1">
        <w:rPr>
          <w:rFonts w:eastAsia="Times New Roman" w:cs="Times New Roman"/>
          <w:b/>
          <w:bCs/>
          <w:szCs w:val="24"/>
        </w:rPr>
        <w:t>Inclusion/</w:t>
      </w:r>
      <w:r w:rsidR="005B4442">
        <w:rPr>
          <w:rFonts w:eastAsia="Times New Roman" w:cs="Times New Roman"/>
          <w:b/>
          <w:bCs/>
          <w:szCs w:val="24"/>
        </w:rPr>
        <w:t>e</w:t>
      </w:r>
      <w:r w:rsidRPr="00DF0DE1">
        <w:rPr>
          <w:rFonts w:eastAsia="Times New Roman" w:cs="Times New Roman"/>
          <w:b/>
          <w:bCs/>
          <w:szCs w:val="24"/>
        </w:rPr>
        <w:t xml:space="preserve">xclusion </w:t>
      </w:r>
      <w:r w:rsidR="005B4442">
        <w:rPr>
          <w:rFonts w:eastAsia="Times New Roman" w:cs="Times New Roman"/>
          <w:b/>
          <w:bCs/>
          <w:szCs w:val="24"/>
        </w:rPr>
        <w:t>c</w:t>
      </w:r>
      <w:r w:rsidRPr="00DF0DE1">
        <w:rPr>
          <w:rFonts w:eastAsia="Times New Roman" w:cs="Times New Roman"/>
          <w:b/>
          <w:bCs/>
          <w:szCs w:val="24"/>
        </w:rPr>
        <w:t>riteria.</w:t>
      </w:r>
      <w:r w:rsidRPr="00262C58">
        <w:rPr>
          <w:rFonts w:eastAsia="Times New Roman" w:cs="Times New Roman"/>
          <w:i/>
          <w:szCs w:val="24"/>
        </w:rPr>
        <w:t xml:space="preserve"> </w:t>
      </w:r>
      <w:r w:rsidR="00185182" w:rsidRPr="003357EC">
        <w:rPr>
          <w:rFonts w:eastAsia="Times New Roman" w:cs="Times New Roman"/>
          <w:i/>
          <w:szCs w:val="24"/>
        </w:rPr>
        <w:t>I</w:t>
      </w:r>
      <w:r w:rsidRPr="00B74A50">
        <w:rPr>
          <w:rFonts w:eastAsia="Times New Roman" w:cs="Times New Roman"/>
          <w:i/>
          <w:iCs/>
          <w:szCs w:val="24"/>
        </w:rPr>
        <w:t xml:space="preserve">nclusion </w:t>
      </w:r>
      <w:r w:rsidR="0032588D" w:rsidRPr="00B74A50">
        <w:rPr>
          <w:rFonts w:eastAsia="Times New Roman" w:cs="Times New Roman"/>
          <w:i/>
          <w:iCs/>
          <w:szCs w:val="24"/>
        </w:rPr>
        <w:t>c</w:t>
      </w:r>
      <w:r w:rsidRPr="00B74A50">
        <w:rPr>
          <w:rFonts w:eastAsia="Times New Roman" w:cs="Times New Roman"/>
          <w:i/>
          <w:iCs/>
          <w:szCs w:val="24"/>
        </w:rPr>
        <w:t>riteria</w:t>
      </w:r>
      <w:r w:rsidRPr="00B74A50">
        <w:rPr>
          <w:rFonts w:eastAsia="Times New Roman" w:cs="Times New Roman"/>
          <w:iCs/>
          <w:szCs w:val="24"/>
        </w:rPr>
        <w:t xml:space="preserve"> </w:t>
      </w:r>
      <w:r w:rsidRPr="00262C58">
        <w:rPr>
          <w:rFonts w:eastAsia="Times New Roman" w:cs="Times New Roman"/>
          <w:szCs w:val="24"/>
        </w:rPr>
        <w:t>include</w:t>
      </w:r>
      <w:r>
        <w:rPr>
          <w:rFonts w:eastAsia="Times New Roman" w:cs="Times New Roman"/>
          <w:szCs w:val="24"/>
        </w:rPr>
        <w:t>d</w:t>
      </w:r>
      <w:r w:rsidRPr="00262C58">
        <w:rPr>
          <w:rFonts w:eastAsia="Times New Roman" w:cs="Times New Roman"/>
          <w:szCs w:val="24"/>
        </w:rPr>
        <w:t xml:space="preserve"> (</w:t>
      </w:r>
      <w:r w:rsidR="00F37375">
        <w:rPr>
          <w:rFonts w:eastAsia="Times New Roman" w:cs="Times New Roman"/>
          <w:szCs w:val="24"/>
        </w:rPr>
        <w:t>a)</w:t>
      </w:r>
      <w:r w:rsidRPr="00262C58">
        <w:rPr>
          <w:rFonts w:eastAsia="Times New Roman" w:cs="Times New Roman"/>
          <w:szCs w:val="24"/>
        </w:rPr>
        <w:t xml:space="preserve"> current DSM-IV</w:t>
      </w:r>
      <w:r w:rsidR="00060C84">
        <w:rPr>
          <w:rFonts w:eastAsia="Times New Roman" w:cs="Times New Roman"/>
          <w:szCs w:val="24"/>
        </w:rPr>
        <w:t>-TR</w:t>
      </w:r>
      <w:r w:rsidR="00C7288E">
        <w:rPr>
          <w:rFonts w:eastAsia="Times New Roman" w:cs="Times New Roman"/>
          <w:szCs w:val="24"/>
        </w:rPr>
        <w:t xml:space="preserve"> </w:t>
      </w:r>
      <w:r w:rsidR="00755E9C">
        <w:rPr>
          <w:rFonts w:eastAsia="Times New Roman" w:cs="Times New Roman"/>
          <w:szCs w:val="24"/>
        </w:rPr>
        <w:fldChar w:fldCharType="begin" w:fldLock="1"/>
      </w:r>
      <w:r w:rsidR="007222B6">
        <w:rPr>
          <w:rFonts w:eastAsia="Times New Roman" w:cs="Times New Roman"/>
          <w:szCs w:val="24"/>
        </w:rPr>
        <w:instrText>ADDIN CSL_CITATION {"citationItems":[{"id":"ITEM-1","itemData":{"author":[{"dropping-particle":"","family":"American Psychiatric Association","given":"","non-dropping-particle":"","parse-names":false,"suffix":""}],"edition":"4th ed., t","id":"ITEM-1","issued":{"date-parts":[["2000"]]},"publisher":"Author","publisher-place":"Washington DC","title":"Diagnostic and Statistical Manual","type":"book"},"uris":["http://www.mendeley.com/documents/?uuid=5cc85ea3-59aa-4d10-b32d-69f4e4c60381"]}],"mendeley":{"formattedCitation":"(American Psychiatric Association, 2000)","plainTextFormattedCitation":"(American Psychiatric Association, 2000)","previouslyFormattedCitation":"(Association, 2000)"},"properties":{"noteIndex":0},"schema":"https://github.com/citation-style-language/schema/raw/master/csl-citation.json"}</w:instrText>
      </w:r>
      <w:r w:rsidR="00755E9C">
        <w:rPr>
          <w:rFonts w:eastAsia="Times New Roman" w:cs="Times New Roman"/>
          <w:szCs w:val="24"/>
        </w:rPr>
        <w:fldChar w:fldCharType="separate"/>
      </w:r>
      <w:r w:rsidR="007222B6" w:rsidRPr="007222B6">
        <w:rPr>
          <w:rFonts w:eastAsia="Times New Roman" w:cs="Times New Roman"/>
          <w:noProof/>
          <w:szCs w:val="24"/>
        </w:rPr>
        <w:t>(American Psychiatric Association, 2000)</w:t>
      </w:r>
      <w:r w:rsidR="00755E9C">
        <w:rPr>
          <w:rFonts w:eastAsia="Times New Roman" w:cs="Times New Roman"/>
          <w:szCs w:val="24"/>
        </w:rPr>
        <w:fldChar w:fldCharType="end"/>
      </w:r>
      <w:r w:rsidRPr="00262C58">
        <w:rPr>
          <w:rFonts w:eastAsia="Times New Roman" w:cs="Times New Roman"/>
          <w:szCs w:val="24"/>
        </w:rPr>
        <w:t xml:space="preserve"> </w:t>
      </w:r>
      <w:bookmarkStart w:id="1" w:name="OLE_LINK5"/>
      <w:bookmarkStart w:id="2" w:name="OLE_LINK6"/>
      <w:r w:rsidR="003E2D53">
        <w:rPr>
          <w:rFonts w:eastAsia="Times New Roman" w:cs="Times New Roman"/>
          <w:szCs w:val="24"/>
        </w:rPr>
        <w:t xml:space="preserve">TTM </w:t>
      </w:r>
      <w:r w:rsidRPr="00262C58">
        <w:rPr>
          <w:rFonts w:eastAsia="Times New Roman" w:cs="Times New Roman"/>
          <w:szCs w:val="24"/>
        </w:rPr>
        <w:t>diagnosis</w:t>
      </w:r>
      <w:bookmarkEnd w:id="1"/>
      <w:bookmarkEnd w:id="2"/>
      <w:r w:rsidR="003E2D53">
        <w:rPr>
          <w:rFonts w:eastAsia="Times New Roman" w:cs="Times New Roman"/>
          <w:szCs w:val="24"/>
        </w:rPr>
        <w:t>,</w:t>
      </w:r>
      <w:r w:rsidRPr="00262C58">
        <w:rPr>
          <w:rFonts w:eastAsia="Times New Roman" w:cs="Times New Roman"/>
          <w:szCs w:val="24"/>
        </w:rPr>
        <w:t xml:space="preserve"> (</w:t>
      </w:r>
      <w:r w:rsidR="00F37375">
        <w:rPr>
          <w:rFonts w:eastAsia="Times New Roman" w:cs="Times New Roman"/>
          <w:szCs w:val="24"/>
        </w:rPr>
        <w:t>b</w:t>
      </w:r>
      <w:r w:rsidRPr="00262C58">
        <w:rPr>
          <w:rFonts w:eastAsia="Times New Roman" w:cs="Times New Roman"/>
          <w:szCs w:val="24"/>
        </w:rPr>
        <w:t xml:space="preserve">) </w:t>
      </w:r>
      <w:r w:rsidR="00060C84">
        <w:rPr>
          <w:rFonts w:eastAsia="Times New Roman" w:cs="Times New Roman"/>
          <w:szCs w:val="24"/>
        </w:rPr>
        <w:t>Massachusetts General Hospital-Hairpulling Scale</w:t>
      </w:r>
      <w:r w:rsidR="00DF0DE1">
        <w:rPr>
          <w:rFonts w:eastAsia="Times New Roman" w:cs="Times New Roman"/>
          <w:szCs w:val="24"/>
        </w:rPr>
        <w:t xml:space="preserve"> (MGH-HS</w:t>
      </w:r>
      <w:r w:rsidR="00201C8B">
        <w:rPr>
          <w:rFonts w:eastAsia="Times New Roman" w:cs="Times New Roman"/>
          <w:szCs w:val="24"/>
        </w:rPr>
        <w:t>)</w:t>
      </w:r>
      <w:r w:rsidR="00E60E65">
        <w:rPr>
          <w:rFonts w:eastAsia="Times New Roman" w:cs="Times New Roman"/>
          <w:szCs w:val="24"/>
        </w:rPr>
        <w:t xml:space="preserve"> </w:t>
      </w:r>
      <w:r w:rsidR="00201C8B">
        <w:rPr>
          <w:rFonts w:eastAsia="Times New Roman" w:cs="Times New Roman"/>
          <w:szCs w:val="24"/>
        </w:rPr>
        <w:fldChar w:fldCharType="begin" w:fldLock="1"/>
      </w:r>
      <w:r w:rsidR="00C064BE">
        <w:rPr>
          <w:rFonts w:eastAsia="Times New Roman" w:cs="Times New Roman"/>
          <w:szCs w:val="24"/>
        </w:rPr>
        <w:instrText>ADDIN CSL_CITATION {"citationItems":[{"id":"ITEM-1","itemData":{"DOI":"10.1159/000289003","ISBN":"9788578110796","ISSN":"0033-3190","PMID":"8657844","abstract":"We developed the MGH Hairpulling Scale to provide a brief, self-report instrument for assessing repetitive hairpulling. Seven individual items, rated for severity from 0 to 4, assess urges to pull, actual pulling, perceived control, and associated distress. We administered the scale to 119 consecutive patients with chronic hairpulling. Statistical analyses indicate that the seven items form a homogenous scale for the measurement of severity in this disorder.","author":[{"dropping-particle":"","family":"Keuthen","given":"Nancy J.","non-dropping-particle":"","parse-names":false,"suffix":""},{"dropping-particle":"","family":"O'Sullivan","given":"R L","non-dropping-particle":"","parse-names":false,"suffix":""},{"dropping-particle":"","family":"Ricciardi","given":"J N","non-dropping-particle":"","parse-names":false,"suffix":""},{"dropping-particle":"","family":"Shera","given":"D","non-dropping-particle":"","parse-names":false,"suffix":""},{"dropping-particle":"","family":"Savage","given":"C R","non-dropping-particle":"","parse-names":false,"suffix":""},{"dropping-particle":"","family":"Borgmann","given":"A S","non-dropping-particle":"","parse-names":false,"suffix":""},{"dropping-particle":"","family":"Jenike","given":"M A","non-dropping-particle":"","parse-names":false,"suffix":""},{"dropping-particle":"","family":"Baer","given":"L","non-dropping-particle":"","parse-names":false,"suffix":""}],"container-title":"Psychotherapy and Psychosomatics","id":"ITEM-1","issue":"3-4","issued":{"date-parts":[["1995"]]},"page":"141-145","title":"The Massachusetts General Hospital (MGH) Hairpulling Scale: 1. Development and factor analyses.","type":"article-journal","volume":"64"},"uris":["http://www.mendeley.com/documents/?uuid=e43ef5c4-52a8-4c8c-b31c-4cd81c02eeda"]}],"mendeley":{"formattedCitation":"(Keuthen et al., 1995)","plainTextFormattedCitation":"(Keuthen et al., 1995)","previouslyFormattedCitation":"(Keuthen et al., 1995)"},"properties":{"noteIndex":0},"schema":"https://github.com/citation-style-language/schema/raw/master/csl-citation.json"}</w:instrText>
      </w:r>
      <w:r w:rsidR="00201C8B">
        <w:rPr>
          <w:rFonts w:eastAsia="Times New Roman" w:cs="Times New Roman"/>
          <w:szCs w:val="24"/>
        </w:rPr>
        <w:fldChar w:fldCharType="separate"/>
      </w:r>
      <w:r w:rsidR="00C064BE" w:rsidRPr="00C064BE">
        <w:rPr>
          <w:rFonts w:eastAsia="Times New Roman" w:cs="Times New Roman"/>
          <w:noProof/>
          <w:szCs w:val="24"/>
        </w:rPr>
        <w:t>(Keuthen et al., 1995)</w:t>
      </w:r>
      <w:r w:rsidR="00201C8B">
        <w:rPr>
          <w:rFonts w:eastAsia="Times New Roman" w:cs="Times New Roman"/>
          <w:szCs w:val="24"/>
        </w:rPr>
        <w:fldChar w:fldCharType="end"/>
      </w:r>
      <w:r w:rsidRPr="00262C58">
        <w:rPr>
          <w:rFonts w:eastAsia="Times New Roman" w:cs="Times New Roman"/>
          <w:szCs w:val="24"/>
        </w:rPr>
        <w:t xml:space="preserve"> score of </w:t>
      </w:r>
      <w:r w:rsidRPr="00262C58">
        <w:rPr>
          <w:rFonts w:eastAsia="Times New Roman" w:cs="Times New Roman"/>
          <w:szCs w:val="24"/>
          <w:u w:val="single"/>
        </w:rPr>
        <w:t>&gt;</w:t>
      </w:r>
      <w:r w:rsidRPr="00262C58">
        <w:rPr>
          <w:rFonts w:eastAsia="Times New Roman" w:cs="Times New Roman"/>
          <w:szCs w:val="24"/>
        </w:rPr>
        <w:t xml:space="preserve"> 12, (</w:t>
      </w:r>
      <w:r w:rsidR="00F37375">
        <w:rPr>
          <w:rFonts w:eastAsia="Times New Roman" w:cs="Times New Roman"/>
          <w:szCs w:val="24"/>
        </w:rPr>
        <w:t>c</w:t>
      </w:r>
      <w:r w:rsidRPr="00262C58">
        <w:rPr>
          <w:rFonts w:eastAsia="Times New Roman" w:cs="Times New Roman"/>
          <w:szCs w:val="24"/>
        </w:rPr>
        <w:t xml:space="preserve">) </w:t>
      </w:r>
      <w:r w:rsidR="00201C8B">
        <w:rPr>
          <w:rFonts w:eastAsia="Times New Roman" w:cs="Times New Roman"/>
          <w:szCs w:val="24"/>
        </w:rPr>
        <w:t>Wechsler Test of Adult Reading (WTAR)</w:t>
      </w:r>
      <w:r w:rsidR="00E60E65">
        <w:rPr>
          <w:rFonts w:eastAsia="Times New Roman" w:cs="Times New Roman"/>
          <w:szCs w:val="24"/>
        </w:rPr>
        <w:t xml:space="preserve"> </w:t>
      </w:r>
      <w:r w:rsidR="00201C8B">
        <w:rPr>
          <w:rFonts w:eastAsia="Times New Roman" w:cs="Times New Roman"/>
          <w:szCs w:val="24"/>
        </w:rPr>
        <w:fldChar w:fldCharType="begin" w:fldLock="1"/>
      </w:r>
      <w:r w:rsidR="00C064BE">
        <w:rPr>
          <w:rFonts w:eastAsia="Times New Roman" w:cs="Times New Roman"/>
          <w:szCs w:val="24"/>
        </w:rPr>
        <w:instrText>ADDIN CSL_CITATION {"citationItems":[{"id":"ITEM-1","itemData":{"author":[{"dropping-particle":"","family":"Wechsler","given":"David","non-dropping-particle":"","parse-names":false,"suffix":""}],"id":"ITEM-1","issued":{"date-parts":[["2001"]]},"publisher":"The Psychological Corporation","publisher-place":"San Antonio, TX","title":"Wechsler Test of Adult Reading (WTAR)","type":"book"},"uris":["http://www.mendeley.com/documents/?uuid=91253bdb-a594-4391-9c96-1f559e8ee60e"]}],"mendeley":{"formattedCitation":"(Wechsler, 2001)","plainTextFormattedCitation":"(Wechsler, 2001)","previouslyFormattedCitation":"(Wechsler, 2001)"},"properties":{"noteIndex":0},"schema":"https://github.com/citation-style-language/schema/raw/master/csl-citation.json"}</w:instrText>
      </w:r>
      <w:r w:rsidR="00201C8B">
        <w:rPr>
          <w:rFonts w:eastAsia="Times New Roman" w:cs="Times New Roman"/>
          <w:szCs w:val="24"/>
        </w:rPr>
        <w:fldChar w:fldCharType="separate"/>
      </w:r>
      <w:r w:rsidR="00C064BE" w:rsidRPr="00C064BE">
        <w:rPr>
          <w:rFonts w:eastAsia="Times New Roman" w:cs="Times New Roman"/>
          <w:noProof/>
          <w:szCs w:val="24"/>
        </w:rPr>
        <w:t>(Wechsler, 2001)</w:t>
      </w:r>
      <w:r w:rsidR="00201C8B">
        <w:rPr>
          <w:rFonts w:eastAsia="Times New Roman" w:cs="Times New Roman"/>
          <w:szCs w:val="24"/>
        </w:rPr>
        <w:fldChar w:fldCharType="end"/>
      </w:r>
      <w:r w:rsidRPr="00262C58">
        <w:rPr>
          <w:rFonts w:eastAsia="Times New Roman" w:cs="Times New Roman"/>
          <w:szCs w:val="24"/>
        </w:rPr>
        <w:t xml:space="preserve"> score of </w:t>
      </w:r>
      <w:r w:rsidRPr="00262C58">
        <w:rPr>
          <w:rFonts w:eastAsia="Times New Roman" w:cs="Times New Roman"/>
          <w:szCs w:val="24"/>
          <w:u w:val="single"/>
        </w:rPr>
        <w:t>&gt;</w:t>
      </w:r>
      <w:r w:rsidRPr="00262C58">
        <w:rPr>
          <w:rFonts w:eastAsia="Times New Roman" w:cs="Times New Roman"/>
          <w:szCs w:val="24"/>
        </w:rPr>
        <w:t xml:space="preserve"> 85, (</w:t>
      </w:r>
      <w:r w:rsidR="00F37375">
        <w:rPr>
          <w:rFonts w:eastAsia="Times New Roman" w:cs="Times New Roman"/>
          <w:szCs w:val="24"/>
        </w:rPr>
        <w:t>d</w:t>
      </w:r>
      <w:r w:rsidRPr="00262C58">
        <w:rPr>
          <w:rFonts w:eastAsia="Times New Roman" w:cs="Times New Roman"/>
          <w:szCs w:val="24"/>
        </w:rPr>
        <w:t>) age 18</w:t>
      </w:r>
      <w:r w:rsidRPr="00262C58">
        <w:rPr>
          <w:rFonts w:eastAsia="Times New Roman" w:cs="Times New Roman"/>
          <w:i/>
          <w:szCs w:val="24"/>
        </w:rPr>
        <w:t>-</w:t>
      </w:r>
      <w:r w:rsidRPr="00262C58">
        <w:rPr>
          <w:rFonts w:eastAsia="Times New Roman" w:cs="Times New Roman"/>
          <w:szCs w:val="24"/>
        </w:rPr>
        <w:t>65</w:t>
      </w:r>
      <w:r w:rsidR="00DF0DE1">
        <w:rPr>
          <w:rFonts w:eastAsia="Times New Roman" w:cs="Times New Roman"/>
          <w:szCs w:val="24"/>
        </w:rPr>
        <w:t xml:space="preserve"> years</w:t>
      </w:r>
      <w:r w:rsidRPr="00262C58">
        <w:rPr>
          <w:rFonts w:eastAsia="Times New Roman" w:cs="Times New Roman"/>
          <w:szCs w:val="24"/>
        </w:rPr>
        <w:t xml:space="preserve">, </w:t>
      </w:r>
      <w:r w:rsidRPr="0075286D">
        <w:rPr>
          <w:rFonts w:eastAsia="Times New Roman" w:cs="Times New Roman"/>
          <w:szCs w:val="24"/>
        </w:rPr>
        <w:t>(</w:t>
      </w:r>
      <w:r w:rsidR="00F37375">
        <w:rPr>
          <w:rFonts w:eastAsia="Times New Roman" w:cs="Times New Roman"/>
          <w:szCs w:val="24"/>
        </w:rPr>
        <w:t>e</w:t>
      </w:r>
      <w:r w:rsidRPr="0075286D">
        <w:rPr>
          <w:rFonts w:eastAsia="Times New Roman" w:cs="Times New Roman"/>
          <w:szCs w:val="24"/>
        </w:rPr>
        <w:t>) English</w:t>
      </w:r>
      <w:r w:rsidR="00A05D74">
        <w:rPr>
          <w:rFonts w:eastAsia="Times New Roman" w:cs="Times New Roman"/>
          <w:szCs w:val="24"/>
        </w:rPr>
        <w:t xml:space="preserve"> fluency</w:t>
      </w:r>
      <w:r w:rsidRPr="00262C58">
        <w:rPr>
          <w:rFonts w:eastAsia="Times New Roman" w:cs="Times New Roman"/>
          <w:szCs w:val="24"/>
        </w:rPr>
        <w:t>, (</w:t>
      </w:r>
      <w:r w:rsidR="00F37375">
        <w:rPr>
          <w:rFonts w:eastAsia="Times New Roman" w:cs="Times New Roman"/>
          <w:szCs w:val="24"/>
        </w:rPr>
        <w:t>f</w:t>
      </w:r>
      <w:r w:rsidRPr="00262C58">
        <w:rPr>
          <w:rFonts w:eastAsia="Times New Roman" w:cs="Times New Roman"/>
          <w:szCs w:val="24"/>
        </w:rPr>
        <w:t>) outpatient status, (</w:t>
      </w:r>
      <w:r w:rsidR="00F37375">
        <w:rPr>
          <w:rFonts w:eastAsia="Times New Roman" w:cs="Times New Roman"/>
          <w:szCs w:val="24"/>
        </w:rPr>
        <w:t>g</w:t>
      </w:r>
      <w:r w:rsidRPr="00262C58">
        <w:rPr>
          <w:rFonts w:eastAsia="Times New Roman" w:cs="Times New Roman"/>
          <w:szCs w:val="24"/>
        </w:rPr>
        <w:t xml:space="preserve">) no </w:t>
      </w:r>
      <w:r w:rsidR="00AA3597" w:rsidRPr="00262C58">
        <w:rPr>
          <w:rFonts w:eastAsia="Times New Roman" w:cs="Times New Roman"/>
          <w:szCs w:val="24"/>
        </w:rPr>
        <w:t xml:space="preserve">psychotropic medication </w:t>
      </w:r>
      <w:r w:rsidRPr="00262C58">
        <w:rPr>
          <w:rFonts w:eastAsia="Times New Roman" w:cs="Times New Roman"/>
          <w:szCs w:val="24"/>
        </w:rPr>
        <w:t xml:space="preserve">initiation or </w:t>
      </w:r>
      <w:r w:rsidR="00AA3597">
        <w:rPr>
          <w:rFonts w:eastAsia="Times New Roman" w:cs="Times New Roman"/>
          <w:szCs w:val="24"/>
        </w:rPr>
        <w:t xml:space="preserve">dosage </w:t>
      </w:r>
      <w:r w:rsidRPr="00262C58">
        <w:rPr>
          <w:rFonts w:eastAsia="Times New Roman" w:cs="Times New Roman"/>
          <w:szCs w:val="24"/>
        </w:rPr>
        <w:t xml:space="preserve">change for up to eight weeks preceding </w:t>
      </w:r>
      <w:r w:rsidR="00AA3597">
        <w:rPr>
          <w:rFonts w:eastAsia="Times New Roman" w:cs="Times New Roman"/>
          <w:szCs w:val="24"/>
        </w:rPr>
        <w:t xml:space="preserve">study </w:t>
      </w:r>
      <w:r w:rsidRPr="00262C58">
        <w:rPr>
          <w:rFonts w:eastAsia="Times New Roman" w:cs="Times New Roman"/>
          <w:szCs w:val="24"/>
        </w:rPr>
        <w:t xml:space="preserve">participation, </w:t>
      </w:r>
      <w:r w:rsidR="0075286D" w:rsidRPr="00321A14">
        <w:rPr>
          <w:rFonts w:eastAsia="Times New Roman" w:cs="Times New Roman"/>
          <w:szCs w:val="24"/>
        </w:rPr>
        <w:t>(</w:t>
      </w:r>
      <w:r w:rsidR="00F37375">
        <w:rPr>
          <w:rFonts w:eastAsia="Times New Roman" w:cs="Times New Roman"/>
          <w:szCs w:val="24"/>
        </w:rPr>
        <w:t>h</w:t>
      </w:r>
      <w:r w:rsidR="0075286D" w:rsidRPr="00321A14">
        <w:rPr>
          <w:rFonts w:eastAsia="Times New Roman" w:cs="Times New Roman"/>
          <w:szCs w:val="24"/>
        </w:rPr>
        <w:t xml:space="preserve">) an agreement </w:t>
      </w:r>
      <w:r w:rsidR="00AA3597">
        <w:rPr>
          <w:rFonts w:eastAsia="Times New Roman" w:cs="Times New Roman"/>
          <w:szCs w:val="24"/>
        </w:rPr>
        <w:t>to refrain from</w:t>
      </w:r>
      <w:r w:rsidR="0075286D" w:rsidRPr="00321A14">
        <w:rPr>
          <w:rFonts w:eastAsia="Times New Roman" w:cs="Times New Roman"/>
          <w:szCs w:val="24"/>
        </w:rPr>
        <w:t xml:space="preserve"> alter</w:t>
      </w:r>
      <w:r w:rsidR="00AA3597">
        <w:rPr>
          <w:rFonts w:eastAsia="Times New Roman" w:cs="Times New Roman"/>
          <w:szCs w:val="24"/>
        </w:rPr>
        <w:t>ing</w:t>
      </w:r>
      <w:r w:rsidR="0075286D" w:rsidRPr="00321A14">
        <w:rPr>
          <w:rFonts w:eastAsia="Times New Roman" w:cs="Times New Roman"/>
          <w:szCs w:val="24"/>
        </w:rPr>
        <w:t xml:space="preserve"> the dosage of any psychotropic </w:t>
      </w:r>
      <w:r w:rsidR="0075286D" w:rsidRPr="00202EDE">
        <w:rPr>
          <w:rFonts w:eastAsia="Times New Roman" w:cs="Times New Roman"/>
          <w:szCs w:val="24"/>
        </w:rPr>
        <w:t xml:space="preserve">medication throughout the course of the study, and </w:t>
      </w:r>
      <w:r w:rsidRPr="00202EDE">
        <w:rPr>
          <w:rFonts w:eastAsia="Times New Roman" w:cs="Times New Roman"/>
          <w:szCs w:val="24"/>
        </w:rPr>
        <w:t>(</w:t>
      </w:r>
      <w:proofErr w:type="spellStart"/>
      <w:r w:rsidR="00F37375">
        <w:rPr>
          <w:rFonts w:eastAsia="Times New Roman" w:cs="Times New Roman"/>
          <w:szCs w:val="24"/>
        </w:rPr>
        <w:t>i</w:t>
      </w:r>
      <w:proofErr w:type="spellEnd"/>
      <w:r w:rsidRPr="00202EDE">
        <w:rPr>
          <w:rFonts w:eastAsia="Times New Roman" w:cs="Times New Roman"/>
          <w:szCs w:val="24"/>
        </w:rPr>
        <w:t xml:space="preserve">) </w:t>
      </w:r>
      <w:r w:rsidR="003E2D53" w:rsidRPr="00202EDE">
        <w:rPr>
          <w:rFonts w:eastAsia="Times New Roman" w:cs="Times New Roman"/>
          <w:szCs w:val="24"/>
        </w:rPr>
        <w:t xml:space="preserve">no </w:t>
      </w:r>
      <w:r w:rsidR="00AA3597" w:rsidRPr="00202EDE">
        <w:rPr>
          <w:rFonts w:eastAsia="Times New Roman" w:cs="Times New Roman"/>
          <w:szCs w:val="24"/>
        </w:rPr>
        <w:t>con</w:t>
      </w:r>
      <w:r w:rsidR="003E2D53" w:rsidRPr="00202EDE">
        <w:rPr>
          <w:rFonts w:eastAsia="Times New Roman" w:cs="Times New Roman"/>
          <w:szCs w:val="24"/>
        </w:rPr>
        <w:t>cur</w:t>
      </w:r>
      <w:r w:rsidRPr="00202EDE">
        <w:rPr>
          <w:rFonts w:eastAsia="Times New Roman" w:cs="Times New Roman"/>
          <w:szCs w:val="24"/>
        </w:rPr>
        <w:t>rent psychotherapy for TTM or other psychi</w:t>
      </w:r>
      <w:r w:rsidR="001E43B0" w:rsidRPr="00202EDE">
        <w:rPr>
          <w:rFonts w:eastAsia="Times New Roman" w:cs="Times New Roman"/>
          <w:szCs w:val="24"/>
        </w:rPr>
        <w:t>atric condition</w:t>
      </w:r>
      <w:r w:rsidR="00A05D74">
        <w:rPr>
          <w:rFonts w:eastAsia="Times New Roman" w:cs="Times New Roman"/>
          <w:szCs w:val="24"/>
        </w:rPr>
        <w:t>s</w:t>
      </w:r>
      <w:r w:rsidR="001E43B0" w:rsidRPr="00202EDE">
        <w:rPr>
          <w:rFonts w:eastAsia="Times New Roman" w:cs="Times New Roman"/>
          <w:szCs w:val="24"/>
        </w:rPr>
        <w:t>.</w:t>
      </w:r>
      <w:r w:rsidR="00060C84" w:rsidRPr="00202EDE">
        <w:rPr>
          <w:rFonts w:eastAsia="Times New Roman" w:cs="Times New Roman"/>
          <w:szCs w:val="24"/>
        </w:rPr>
        <w:t xml:space="preserve"> </w:t>
      </w:r>
      <w:r w:rsidR="00185182">
        <w:rPr>
          <w:rFonts w:eastAsia="Times New Roman" w:cs="Times New Roman"/>
          <w:szCs w:val="24"/>
        </w:rPr>
        <w:t>Consistent with DSM-</w:t>
      </w:r>
      <w:r w:rsidR="004F2C57">
        <w:rPr>
          <w:rFonts w:eastAsia="Times New Roman" w:cs="Times New Roman"/>
          <w:szCs w:val="24"/>
        </w:rPr>
        <w:t>5</w:t>
      </w:r>
      <w:r w:rsidR="00185182">
        <w:rPr>
          <w:rFonts w:eastAsia="Times New Roman" w:cs="Times New Roman"/>
          <w:szCs w:val="24"/>
        </w:rPr>
        <w:t xml:space="preserve"> criteria, which were being </w:t>
      </w:r>
      <w:r w:rsidR="00185182">
        <w:rPr>
          <w:rFonts w:eastAsia="Times New Roman" w:cs="Times New Roman"/>
          <w:szCs w:val="24"/>
        </w:rPr>
        <w:lastRenderedPageBreak/>
        <w:t xml:space="preserve">formulated during this trial, </w:t>
      </w:r>
      <w:r w:rsidR="00B36869">
        <w:rPr>
          <w:rFonts w:eastAsia="Times New Roman" w:cs="Times New Roman"/>
          <w:szCs w:val="24"/>
        </w:rPr>
        <w:t>p</w:t>
      </w:r>
      <w:r w:rsidR="00B36869" w:rsidRPr="00202EDE">
        <w:rPr>
          <w:rFonts w:eastAsia="Times New Roman" w:cs="Times New Roman"/>
          <w:szCs w:val="24"/>
        </w:rPr>
        <w:t xml:space="preserve">articipants who failed to meet DSM-IV-TR criteria B (tension prior to hair pulling) and/or C (relief following hair pulling) for TTM were permitted to enroll </w:t>
      </w:r>
      <w:r w:rsidR="00B36869">
        <w:rPr>
          <w:rFonts w:eastAsia="Times New Roman" w:cs="Times New Roman"/>
          <w:szCs w:val="24"/>
        </w:rPr>
        <w:t xml:space="preserve">if, after review by the </w:t>
      </w:r>
      <w:r w:rsidR="00B36869" w:rsidRPr="00202EDE">
        <w:rPr>
          <w:rFonts w:eastAsia="Times New Roman" w:cs="Times New Roman"/>
          <w:szCs w:val="24"/>
        </w:rPr>
        <w:t>principal investigator</w:t>
      </w:r>
      <w:r w:rsidR="00B36869">
        <w:rPr>
          <w:rFonts w:eastAsia="Times New Roman" w:cs="Times New Roman"/>
          <w:szCs w:val="24"/>
        </w:rPr>
        <w:t>, they were found to meet the remaining inclusion/exclusion criteria</w:t>
      </w:r>
      <w:r w:rsidR="00B36869" w:rsidRPr="00202EDE">
        <w:rPr>
          <w:rFonts w:eastAsia="Times New Roman" w:cs="Times New Roman"/>
          <w:szCs w:val="24"/>
        </w:rPr>
        <w:t xml:space="preserve">. </w:t>
      </w:r>
      <w:r w:rsidR="00484DAA" w:rsidRPr="00202EDE">
        <w:rPr>
          <w:rFonts w:eastAsia="Times New Roman" w:cs="Times New Roman"/>
          <w:szCs w:val="24"/>
        </w:rPr>
        <w:t>Moreover, i</w:t>
      </w:r>
      <w:r w:rsidRPr="00202EDE">
        <w:rPr>
          <w:rFonts w:eastAsia="Times New Roman" w:cs="Times New Roman"/>
          <w:szCs w:val="24"/>
        </w:rPr>
        <w:t xml:space="preserve">ndividuals who </w:t>
      </w:r>
      <w:r w:rsidR="003E2D53" w:rsidRPr="00202EDE">
        <w:rPr>
          <w:rFonts w:eastAsia="Times New Roman" w:cs="Times New Roman"/>
          <w:szCs w:val="24"/>
        </w:rPr>
        <w:t xml:space="preserve">reported eating </w:t>
      </w:r>
      <w:r w:rsidRPr="00202EDE">
        <w:rPr>
          <w:rFonts w:eastAsia="Times New Roman" w:cs="Times New Roman"/>
          <w:szCs w:val="24"/>
        </w:rPr>
        <w:t xml:space="preserve">their </w:t>
      </w:r>
      <w:r w:rsidR="003E2D53">
        <w:rPr>
          <w:rFonts w:eastAsia="Times New Roman" w:cs="Times New Roman"/>
          <w:szCs w:val="24"/>
        </w:rPr>
        <w:t xml:space="preserve">pulled </w:t>
      </w:r>
      <w:r w:rsidRPr="00262C58">
        <w:rPr>
          <w:rFonts w:eastAsia="Times New Roman" w:cs="Times New Roman"/>
          <w:szCs w:val="24"/>
        </w:rPr>
        <w:t>hair</w:t>
      </w:r>
      <w:r w:rsidR="003E2D53">
        <w:rPr>
          <w:rFonts w:eastAsia="Times New Roman" w:cs="Times New Roman"/>
          <w:szCs w:val="24"/>
        </w:rPr>
        <w:t xml:space="preserve"> were</w:t>
      </w:r>
      <w:r w:rsidRPr="00262C58">
        <w:rPr>
          <w:rFonts w:eastAsia="Times New Roman" w:cs="Times New Roman"/>
          <w:szCs w:val="24"/>
        </w:rPr>
        <w:t xml:space="preserve"> eligible </w:t>
      </w:r>
      <w:r w:rsidR="003E2D53">
        <w:rPr>
          <w:rFonts w:eastAsia="Times New Roman" w:cs="Times New Roman"/>
          <w:szCs w:val="24"/>
        </w:rPr>
        <w:t>o</w:t>
      </w:r>
      <w:r w:rsidRPr="00262C58">
        <w:rPr>
          <w:rFonts w:eastAsia="Times New Roman" w:cs="Times New Roman"/>
          <w:szCs w:val="24"/>
        </w:rPr>
        <w:t xml:space="preserve">nly </w:t>
      </w:r>
      <w:r w:rsidR="00060C84">
        <w:rPr>
          <w:rFonts w:eastAsia="Times New Roman" w:cs="Times New Roman"/>
          <w:szCs w:val="24"/>
        </w:rPr>
        <w:t xml:space="preserve">after </w:t>
      </w:r>
      <w:r w:rsidRPr="00262C58">
        <w:rPr>
          <w:rFonts w:eastAsia="Times New Roman" w:cs="Times New Roman"/>
          <w:szCs w:val="24"/>
        </w:rPr>
        <w:t xml:space="preserve">their primary care physician </w:t>
      </w:r>
      <w:r w:rsidR="0032588D">
        <w:rPr>
          <w:rFonts w:eastAsia="Times New Roman" w:cs="Times New Roman"/>
          <w:szCs w:val="24"/>
        </w:rPr>
        <w:t>conducted a physical exam and cleared them to participate</w:t>
      </w:r>
      <w:r w:rsidRPr="00262C58">
        <w:rPr>
          <w:rFonts w:eastAsia="Times New Roman" w:cs="Times New Roman"/>
          <w:szCs w:val="24"/>
        </w:rPr>
        <w:t xml:space="preserve">. </w:t>
      </w:r>
      <w:r w:rsidRPr="00262C58">
        <w:rPr>
          <w:rFonts w:eastAsia="Times New Roman" w:cs="Times New Roman"/>
          <w:i/>
          <w:iCs/>
          <w:szCs w:val="24"/>
        </w:rPr>
        <w:t>Exclusion Criteria</w:t>
      </w:r>
      <w:r w:rsidRPr="00262C58">
        <w:rPr>
          <w:rFonts w:eastAsia="Times New Roman" w:cs="Times New Roman"/>
          <w:szCs w:val="24"/>
        </w:rPr>
        <w:t xml:space="preserve"> include</w:t>
      </w:r>
      <w:r w:rsidR="00060C84">
        <w:rPr>
          <w:rFonts w:eastAsia="Times New Roman" w:cs="Times New Roman"/>
          <w:szCs w:val="24"/>
        </w:rPr>
        <w:t>d</w:t>
      </w:r>
      <w:r w:rsidRPr="00262C58">
        <w:rPr>
          <w:rFonts w:eastAsia="Times New Roman" w:cs="Times New Roman"/>
          <w:szCs w:val="24"/>
        </w:rPr>
        <w:t xml:space="preserve"> (</w:t>
      </w:r>
      <w:r w:rsidR="00A71FE4">
        <w:rPr>
          <w:rFonts w:eastAsia="Times New Roman" w:cs="Times New Roman"/>
          <w:szCs w:val="24"/>
        </w:rPr>
        <w:t>a</w:t>
      </w:r>
      <w:r w:rsidRPr="00262C58">
        <w:rPr>
          <w:rFonts w:eastAsia="Times New Roman" w:cs="Times New Roman"/>
          <w:szCs w:val="24"/>
        </w:rPr>
        <w:t xml:space="preserve">) a positive diagnosis of </w:t>
      </w:r>
      <w:r w:rsidR="00DF0DE1">
        <w:rPr>
          <w:rFonts w:eastAsia="Times New Roman" w:cs="Times New Roman"/>
          <w:szCs w:val="24"/>
        </w:rPr>
        <w:t xml:space="preserve">a </w:t>
      </w:r>
      <w:r w:rsidRPr="00262C58">
        <w:rPr>
          <w:rFonts w:eastAsia="Times New Roman" w:cs="Times New Roman"/>
          <w:szCs w:val="24"/>
        </w:rPr>
        <w:t xml:space="preserve">bipolar </w:t>
      </w:r>
      <w:r w:rsidR="00DF0DE1">
        <w:rPr>
          <w:rFonts w:eastAsia="Times New Roman" w:cs="Times New Roman"/>
          <w:szCs w:val="24"/>
        </w:rPr>
        <w:t xml:space="preserve">disorder, </w:t>
      </w:r>
      <w:r w:rsidRPr="00262C58">
        <w:rPr>
          <w:rFonts w:eastAsia="Times New Roman" w:cs="Times New Roman"/>
          <w:szCs w:val="24"/>
        </w:rPr>
        <w:t xml:space="preserve">psychotic disorder, substance dependence (with the exception of nicotine dependence), </w:t>
      </w:r>
      <w:r w:rsidR="008C351B">
        <w:rPr>
          <w:rFonts w:eastAsia="Times New Roman" w:cs="Times New Roman"/>
          <w:szCs w:val="24"/>
        </w:rPr>
        <w:t>intellectual development disorder</w:t>
      </w:r>
      <w:r w:rsidRPr="00262C58">
        <w:rPr>
          <w:rFonts w:eastAsia="Times New Roman" w:cs="Times New Roman"/>
          <w:szCs w:val="24"/>
        </w:rPr>
        <w:t xml:space="preserve">, </w:t>
      </w:r>
      <w:r w:rsidR="00DF0DE1">
        <w:rPr>
          <w:rFonts w:eastAsia="Times New Roman" w:cs="Times New Roman"/>
          <w:szCs w:val="24"/>
        </w:rPr>
        <w:t>or</w:t>
      </w:r>
      <w:r w:rsidRPr="00262C58">
        <w:rPr>
          <w:rFonts w:eastAsia="Times New Roman" w:cs="Times New Roman"/>
          <w:szCs w:val="24"/>
        </w:rPr>
        <w:t xml:space="preserve"> pervasive </w:t>
      </w:r>
      <w:r w:rsidRPr="0075286D">
        <w:rPr>
          <w:rFonts w:eastAsia="Times New Roman" w:cs="Times New Roman"/>
          <w:szCs w:val="24"/>
        </w:rPr>
        <w:t xml:space="preserve">developmental disorder </w:t>
      </w:r>
      <w:r w:rsidR="00060C84" w:rsidRPr="0075286D">
        <w:rPr>
          <w:rFonts w:eastAsia="Times New Roman" w:cs="Times New Roman"/>
          <w:szCs w:val="24"/>
        </w:rPr>
        <w:t xml:space="preserve">and </w:t>
      </w:r>
      <w:r w:rsidRPr="0075286D">
        <w:rPr>
          <w:rFonts w:eastAsia="Times New Roman" w:cs="Times New Roman"/>
          <w:szCs w:val="24"/>
        </w:rPr>
        <w:t>(</w:t>
      </w:r>
      <w:r w:rsidR="00A71FE4">
        <w:rPr>
          <w:rFonts w:eastAsia="Times New Roman" w:cs="Times New Roman"/>
          <w:szCs w:val="24"/>
        </w:rPr>
        <w:t>b</w:t>
      </w:r>
      <w:r w:rsidRPr="0075286D">
        <w:rPr>
          <w:rFonts w:eastAsia="Times New Roman" w:cs="Times New Roman"/>
          <w:szCs w:val="24"/>
        </w:rPr>
        <w:t xml:space="preserve">) </w:t>
      </w:r>
      <w:r w:rsidR="00DF0DE1" w:rsidRPr="0075286D">
        <w:rPr>
          <w:rFonts w:eastAsia="Times New Roman" w:cs="Times New Roman"/>
          <w:szCs w:val="24"/>
        </w:rPr>
        <w:t>concurrent</w:t>
      </w:r>
      <w:r w:rsidR="00236A0D" w:rsidRPr="0075286D">
        <w:rPr>
          <w:rFonts w:eastAsia="Times New Roman" w:cs="Times New Roman"/>
          <w:szCs w:val="24"/>
        </w:rPr>
        <w:t xml:space="preserve"> active suicide risk</w:t>
      </w:r>
      <w:r w:rsidR="00185182">
        <w:rPr>
          <w:rFonts w:eastAsia="Times New Roman" w:cs="Times New Roman"/>
          <w:szCs w:val="24"/>
        </w:rPr>
        <w:t xml:space="preserve"> as ascertained by the assessing clinician and confirmed by the study principal investigator, a licensed clinical psychologist</w:t>
      </w:r>
      <w:r w:rsidR="00AE0A71">
        <w:rPr>
          <w:rFonts w:eastAsia="Times New Roman" w:cs="Times New Roman"/>
          <w:szCs w:val="24"/>
        </w:rPr>
        <w:t xml:space="preserve"> </w:t>
      </w:r>
      <w:r w:rsidR="00AE0A71">
        <w:rPr>
          <w:rFonts w:eastAsia="Times New Roman" w:cs="Times New Roman"/>
          <w:szCs w:val="24"/>
        </w:rPr>
        <w:fldChar w:fldCharType="begin" w:fldLock="1"/>
      </w:r>
      <w:r w:rsidR="00121F68">
        <w:rPr>
          <w:rFonts w:eastAsia="Times New Roman" w:cs="Times New Roman"/>
          <w:szCs w:val="24"/>
        </w:rPr>
        <w:instrText>ADDIN CSL_CITATION {"citationItems":[{"id":"ITEM-1","itemData":{"DOI":"10.1521/bumc_2019_83_04","author":[{"dropping-particle":"","family":"Neal-Barnett","given":"Angela M.","non-dropping-particle":"","parse-names":false,"suffix":""},{"dropping-particle":"","family":"Woods","given":"Douglas W.","non-dropping-particle":"","parse-names":false,"suffix":""},{"dropping-particle":"","family":"Espil","given":"Flint M.","non-dropping-particle":"","parse-names":false,"suffix":""},{"dropping-particle":"","family":"Davis","given":"Martale","non-dropping-particle":"","parse-names":false,"suffix":""},{"dropping-particle":"","family":"Alexander","given":"Jennifer R.","non-dropping-particle":"","parse-names":false,"suffix":""},{"dropping-particle":"","family":"Compton","given":"Scott N.","non-dropping-particle":"","parse-names":false,"suffix":""},{"dropping-particle":"","family":"Walther","given":"Michael R.","non-dropping-particle":"","parse-names":false,"suffix":""},{"dropping-particle":"","family":"Twohig","given":"Michael P.","non-dropping-particle":"","parse-names":false,"suffix":""},{"dropping-particle":"","family":"Saunders","given":"Stephen M.","non-dropping-particle":"","parse-names":false,"suffix":""},{"dropping-particle":"","family":"Cahill","given":"Shawn P.","non-dropping-particle":"","parse-names":false,"suffix":""},{"dropping-particle":"","family":"Franklin","given":"Martin E.","non-dropping-particle":"","parse-names":false,"suffix":""}],"container-title":"Bulletin of the Menninger Clinic","id":"ITEM-1","issue":"4","issued":{"date-parts":[["2019"]]},"page":"399-431","title":"Acceptance-enhanced Behavior Therapy for Trichotillomania: Randomized controlled trial rationale, methods and strategies for recruiting minority participants","type":"article-journal","volume":"83"},"uris":["http://www.mendeley.com/documents/?uuid=5f30b163-f333-44b7-90e5-1105a5758fe9"]}],"mendeley":{"formattedCitation":"(Neal-Barnett et al., 2019)","plainTextFormattedCitation":"(Neal-Barnett et al., 2019)","previouslyFormattedCitation":"(Neal-Barnett et al., 2019)"},"properties":{"noteIndex":0},"schema":"https://github.com/citation-style-language/schema/raw/master/csl-citation.json"}</w:instrText>
      </w:r>
      <w:r w:rsidR="00AE0A71">
        <w:rPr>
          <w:rFonts w:eastAsia="Times New Roman" w:cs="Times New Roman"/>
          <w:szCs w:val="24"/>
        </w:rPr>
        <w:fldChar w:fldCharType="separate"/>
      </w:r>
      <w:r w:rsidR="00AE0A71" w:rsidRPr="00AE0A71">
        <w:rPr>
          <w:rFonts w:eastAsia="Times New Roman" w:cs="Times New Roman"/>
          <w:noProof/>
          <w:szCs w:val="24"/>
        </w:rPr>
        <w:t>(Neal-Barnett et al., 2019)</w:t>
      </w:r>
      <w:r w:rsidR="00AE0A71">
        <w:rPr>
          <w:rFonts w:eastAsia="Times New Roman" w:cs="Times New Roman"/>
          <w:szCs w:val="24"/>
        </w:rPr>
        <w:fldChar w:fldCharType="end"/>
      </w:r>
      <w:r w:rsidR="00204215">
        <w:rPr>
          <w:rFonts w:eastAsia="Times New Roman" w:cs="Times New Roman"/>
          <w:szCs w:val="24"/>
        </w:rPr>
        <w:t>.</w:t>
      </w:r>
    </w:p>
    <w:p w14:paraId="1C1D8237" w14:textId="77777777" w:rsidR="001E43B0" w:rsidRPr="001E43B0" w:rsidRDefault="00054BD0" w:rsidP="00CF2EEA">
      <w:pPr>
        <w:pStyle w:val="Heading2"/>
        <w:keepNext w:val="0"/>
        <w:keepLines w:val="0"/>
        <w:widowControl w:val="0"/>
        <w:spacing w:line="480" w:lineRule="auto"/>
        <w:rPr>
          <w:bCs/>
        </w:rPr>
      </w:pPr>
      <w:r>
        <w:t>Measures</w:t>
      </w:r>
    </w:p>
    <w:p w14:paraId="3F06834F" w14:textId="617B1DF2" w:rsidR="00DF0DE1" w:rsidRPr="000F4F89" w:rsidRDefault="001E43B0" w:rsidP="00CF2EEA">
      <w:pPr>
        <w:widowControl w:val="0"/>
        <w:spacing w:line="480" w:lineRule="auto"/>
        <w:ind w:firstLine="720"/>
        <w:rPr>
          <w:rFonts w:eastAsia="Times New Roman" w:cs="Times New Roman"/>
          <w:bCs/>
          <w:szCs w:val="24"/>
        </w:rPr>
      </w:pPr>
      <w:r w:rsidRPr="00DF0DE1">
        <w:rPr>
          <w:rFonts w:eastAsia="Times New Roman" w:cs="Times New Roman"/>
          <w:b/>
          <w:bCs/>
          <w:szCs w:val="24"/>
        </w:rPr>
        <w:t xml:space="preserve">Primary Outcome </w:t>
      </w:r>
      <w:r w:rsidR="002A45AB" w:rsidRPr="00DF0DE1">
        <w:rPr>
          <w:rFonts w:eastAsia="Times New Roman" w:cs="Times New Roman"/>
          <w:b/>
          <w:bCs/>
          <w:szCs w:val="24"/>
        </w:rPr>
        <w:t>Measure</w:t>
      </w:r>
      <w:r w:rsidRPr="00DF0DE1">
        <w:rPr>
          <w:rFonts w:eastAsia="Times New Roman" w:cs="Times New Roman"/>
          <w:b/>
          <w:bCs/>
          <w:szCs w:val="24"/>
        </w:rPr>
        <w:t>.</w:t>
      </w:r>
      <w:r w:rsidRPr="00404365">
        <w:rPr>
          <w:rFonts w:eastAsia="Times New Roman" w:cs="Times New Roman"/>
          <w:bCs/>
          <w:szCs w:val="24"/>
        </w:rPr>
        <w:t xml:space="preserve"> </w:t>
      </w:r>
      <w:r w:rsidR="0069542D">
        <w:rPr>
          <w:rFonts w:eastAsia="Times New Roman" w:cs="Times New Roman"/>
          <w:bCs/>
          <w:szCs w:val="24"/>
        </w:rPr>
        <w:t>IE</w:t>
      </w:r>
      <w:r w:rsidR="00267FC7">
        <w:rPr>
          <w:rFonts w:eastAsia="Times New Roman" w:cs="Times New Roman"/>
          <w:bCs/>
          <w:szCs w:val="24"/>
        </w:rPr>
        <w:t>s</w:t>
      </w:r>
      <w:r w:rsidR="0069542D">
        <w:rPr>
          <w:rFonts w:eastAsia="Times New Roman" w:cs="Times New Roman"/>
          <w:bCs/>
          <w:szCs w:val="24"/>
        </w:rPr>
        <w:t xml:space="preserve"> administered the</w:t>
      </w:r>
      <w:r w:rsidR="00F743E2">
        <w:rPr>
          <w:rFonts w:eastAsia="Times New Roman" w:cs="Times New Roman"/>
          <w:bCs/>
          <w:szCs w:val="24"/>
        </w:rPr>
        <w:t xml:space="preserve"> reliable and valid</w:t>
      </w:r>
      <w:r w:rsidR="0069542D">
        <w:rPr>
          <w:rFonts w:eastAsia="Times New Roman" w:cs="Times New Roman"/>
          <w:bCs/>
          <w:szCs w:val="24"/>
        </w:rPr>
        <w:t xml:space="preserve"> </w:t>
      </w:r>
      <w:r w:rsidR="00E31D66">
        <w:rPr>
          <w:rFonts w:eastAsia="Times New Roman" w:cs="Times New Roman"/>
          <w:bCs/>
          <w:szCs w:val="24"/>
        </w:rPr>
        <w:t xml:space="preserve">1-7 point </w:t>
      </w:r>
      <w:r w:rsidR="00204215">
        <w:rPr>
          <w:rFonts w:eastAsia="Times New Roman" w:cs="Times New Roman"/>
          <w:i/>
          <w:szCs w:val="24"/>
        </w:rPr>
        <w:t xml:space="preserve">CGI-I </w:t>
      </w:r>
      <w:r w:rsidR="00204215" w:rsidRPr="003357EC">
        <w:rPr>
          <w:rFonts w:eastAsia="Times New Roman" w:cs="Times New Roman"/>
          <w:szCs w:val="24"/>
        </w:rPr>
        <w:t>scale</w:t>
      </w:r>
      <w:r w:rsidR="00E60E65">
        <w:rPr>
          <w:rFonts w:eastAsia="Times New Roman" w:cs="Times New Roman"/>
          <w:i/>
          <w:szCs w:val="24"/>
        </w:rPr>
        <w:t xml:space="preserve"> </w:t>
      </w:r>
      <w:r w:rsidR="0069542D">
        <w:rPr>
          <w:rFonts w:eastAsia="Times New Roman" w:cs="Times New Roman"/>
          <w:i/>
          <w:szCs w:val="24"/>
        </w:rPr>
        <w:fldChar w:fldCharType="begin" w:fldLock="1"/>
      </w:r>
      <w:r w:rsidR="00C064BE">
        <w:rPr>
          <w:rFonts w:eastAsia="Times New Roman" w:cs="Times New Roman"/>
          <w:i/>
          <w:szCs w:val="24"/>
        </w:rPr>
        <w:instrText>ADDIN CSL_CITATION {"citationItems":[{"id":"ITEM-1","itemData":{"author":[{"dropping-particle":"","family":"Guy","given":"W.","non-dropping-particle":"","parse-names":false,"suffix":""}],"container-title":"ECDEU Assessment Manual for Psychopharmacology","id":"ITEM-1","issued":{"date-parts":[["1976"]]},"page":"217-222","publisher":"National Institute of Mental Health","publisher-place":"Rockville, MD","title":"Clinical Global Impressions Scale","type":"chapter"},"uris":["http://www.mendeley.com/documents/?uuid=7aa2798b-7686-4b4f-a95f-d3ee1a448607"]},{"id":"ITEM-2","itemData":{"DOI":"10.1111/j.1365-2753.2007.00921.x","ISSN":"13561294","abstract":"Objective: The Clinical Global Impression Scale (CGI) is established as a core metric in psychiatric research. This study aims to test the validity of CGI as a clinical outcome measure suitable for routine use in a private inpatient setting. Methods: The CGI was added to a standard battery of routine outcome measures in a private psychiatric hospital. Data were collected on consecutive admissions over a period of 24 months, which included clinical diagnosis, demographics, service utilization and four routine measures (CGI, HoNOS, MHQ-14 and DASS-21) at both admission and discharge. Descriptive and comparative data analyses were performed. Results: Of 786 admissions in total, there were 624 and 614 CGI-S ratings completed at the point of admission and discharge, respectively, and 610 completed CGI-I ratings. The admission and discharge CGI-S scores were correlated (r = 0.40), and the indirect improvement measures obtained from their differences were highly correlated with the direct CGI-I scores (r = 0.71). The CGI results reflected similar trends seen in the other three outcome measures. Conclusions: The CGI is a valid clinical outcome measure suitable for routine use in an inpatient setting. It offers a number of advantages, including its established utility in psychiatric research, sensitivity to change, quick and simple administration, utility across diagnostic groupings, and reliability in the hands of skilled clinicians. © 2008 The Authors.","author":[{"dropping-particle":"","family":"Berk","given":"Michael","non-dropping-particle":"","parse-names":false,"suffix":""},{"dropping-particle":"","family":"Ng","given":"Felicity","non-dropping-particle":"","parse-names":false,"suffix":""},{"dropping-particle":"","family":"Dodd","given":"Seetal","non-dropping-particle":"","parse-names":false,"suffix":""},{"dropping-particle":"","family":"Callaly","given":"Tom","non-dropping-particle":"","parse-names":false,"suffix":""},{"dropping-particle":"","family":"Campbell","given":"Shirley","non-dropping-particle":"","parse-names":false,"suffix":""},{"dropping-particle":"","family":"Bernardo","given":"Michelle","non-dropping-particle":"","parse-names":false,"suffix":""},{"dropping-particle":"","family":"Trauer","given":"Tom","non-dropping-particle":"","parse-names":false,"suffix":""}],"container-title":"Journal of Evaluation in Clinical Practice","id":"ITEM-2","issue":"6","issued":{"date-parts":[["2008"]]},"page":"979-983","title":"The validity of the CGI severity and improvement scales as measures of clinical effectiveness suitable for routine clinical use","type":"article-journal","volume":"14"},"uris":["http://www.mendeley.com/documents/?uuid=7220ccb7-b0e1-4864-948b-8c1debb8c22c"]}],"mendeley":{"formattedCitation":"(Berk et al., 2008; Guy, 1976)","plainTextFormattedCitation":"(Berk et al., 2008; Guy, 1976)","previouslyFormattedCitation":"(Berk et al., 2008; Guy, 1976)"},"properties":{"noteIndex":0},"schema":"https://github.com/citation-style-language/schema/raw/master/csl-citation.json"}</w:instrText>
      </w:r>
      <w:r w:rsidR="0069542D">
        <w:rPr>
          <w:rFonts w:eastAsia="Times New Roman" w:cs="Times New Roman"/>
          <w:i/>
          <w:szCs w:val="24"/>
        </w:rPr>
        <w:fldChar w:fldCharType="separate"/>
      </w:r>
      <w:r w:rsidR="00C064BE" w:rsidRPr="00C064BE">
        <w:rPr>
          <w:rFonts w:eastAsia="Times New Roman" w:cs="Times New Roman"/>
          <w:noProof/>
          <w:szCs w:val="24"/>
        </w:rPr>
        <w:t>(Berk et al., 2008; Guy, 1976)</w:t>
      </w:r>
      <w:r w:rsidR="0069542D">
        <w:rPr>
          <w:rFonts w:eastAsia="Times New Roman" w:cs="Times New Roman"/>
          <w:i/>
          <w:szCs w:val="24"/>
        </w:rPr>
        <w:fldChar w:fldCharType="end"/>
      </w:r>
      <w:r w:rsidR="00404365" w:rsidRPr="00262C58">
        <w:rPr>
          <w:rFonts w:eastAsia="Times New Roman" w:cs="Times New Roman"/>
          <w:szCs w:val="24"/>
        </w:rPr>
        <w:t xml:space="preserve"> </w:t>
      </w:r>
      <w:r w:rsidR="0032588D" w:rsidRPr="0069542D">
        <w:rPr>
          <w:rFonts w:eastAsia="Times New Roman" w:cs="Times New Roman"/>
          <w:szCs w:val="24"/>
        </w:rPr>
        <w:t xml:space="preserve">to assess </w:t>
      </w:r>
      <w:r w:rsidR="00132922">
        <w:rPr>
          <w:rFonts w:eastAsia="Times New Roman" w:cs="Times New Roman"/>
          <w:szCs w:val="24"/>
        </w:rPr>
        <w:t xml:space="preserve">TTM </w:t>
      </w:r>
      <w:r w:rsidR="00404365" w:rsidRPr="0069542D">
        <w:rPr>
          <w:rFonts w:eastAsia="Times New Roman" w:cs="Times New Roman"/>
          <w:szCs w:val="24"/>
        </w:rPr>
        <w:t xml:space="preserve">improvement </w:t>
      </w:r>
      <w:r w:rsidR="00DF0DE1" w:rsidRPr="0069542D">
        <w:rPr>
          <w:rFonts w:eastAsia="Times New Roman" w:cs="Times New Roman"/>
          <w:szCs w:val="24"/>
        </w:rPr>
        <w:t xml:space="preserve">relative to </w:t>
      </w:r>
      <w:r w:rsidR="00404365" w:rsidRPr="0069542D">
        <w:rPr>
          <w:rFonts w:eastAsia="Times New Roman" w:cs="Times New Roman"/>
          <w:szCs w:val="24"/>
        </w:rPr>
        <w:t xml:space="preserve">baseline. </w:t>
      </w:r>
      <w:r w:rsidR="007D0D92">
        <w:rPr>
          <w:rFonts w:eastAsia="Times New Roman" w:cs="Times New Roman"/>
          <w:szCs w:val="24"/>
        </w:rPr>
        <w:t>In accordance with previous TTM treatment studies</w:t>
      </w:r>
      <w:r w:rsidR="009B71EF">
        <w:rPr>
          <w:rFonts w:eastAsia="Times New Roman" w:cs="Times New Roman"/>
          <w:szCs w:val="24"/>
        </w:rPr>
        <w:t xml:space="preserve"> </w:t>
      </w:r>
      <w:r w:rsidR="00F743E2">
        <w:rPr>
          <w:rFonts w:eastAsia="Times New Roman" w:cs="Times New Roman"/>
          <w:szCs w:val="24"/>
        </w:rPr>
        <w:fldChar w:fldCharType="begin" w:fldLock="1"/>
      </w:r>
      <w:r w:rsidR="00C064BE">
        <w:rPr>
          <w:rFonts w:eastAsia="Times New Roman" w:cs="Times New Roman"/>
          <w:szCs w:val="24"/>
        </w:rPr>
        <w:instrText>ADDIN CSL_CITATION {"citationItems":[{"id":"ITEM-1","itemData":{"DOI":"10.1016/j.pnpbp.2018.10.009","ISSN":"18784216","abstract":"Background: Symptom severity in trichotillomania clinical trials is typically rated using the Massachusetts General Hospital Hair Pulling Scale (MGH-HPS) and the National Institute of Mental Health Trichotillomania Severity Scale (NIMH-TSS). There are no universal definitions of treatment response on these scales. The absence of empirically supported definitions of treatment response hampers advances in trichotillomania treatment. Methods: PubMed and CENTRAL databases were searched for trichotillomania clinical trials. A total of 14 studies were identified and 7 provided adequate data to be included in the meta-analysis (n = 270). Meta-DiSc software was employed. The Youden index and distance to corner were used to determine the optimal cut-point. Response was defined by the Clinical Global Impressions Improvement scale score ≤ 2. Results: The optimal cut-points for identifying response on the MGH-HPS was a 35% percent reduction [Youden Index 0.48; distance to corner 0.37] or a seven-point reduction [Youden Index 0.43; distance to corner 0.40]. The optimal cut-points for the NIMH-TSS was a 50% reduction [Youden Index 0.57; distance to corner 0.34] or a six-point reduction [Youden Index 0.53; distance to corner 0.36]. The optimal cut-points were similar when the analysis was confined to only trichotillomania trials involving adult subjects, but the scales appeared to have improved ability to define treatment response when pediatric subjects were excluded. Conclusion: This study provides empirically determined cut-points of treatment response on the MGH-HPS and NIMH-TSS. These data-driven cut-points will benefit future research in trichotillomania by providing definitions of treatment response that can be defined a priori in clinical trials.","author":[{"dropping-particle":"","family":"Farhat","given":"Luis C.","non-dropping-particle":"","parse-names":false,"suffix":""},{"dropping-particle":"","family":"Olfson","given":"Emily","non-dropping-particle":"","parse-names":false,"suffix":""},{"dropping-particle":"","family":"Li","given":"Fenghua","non-dropping-particle":"","parse-names":false,"suffix":""},{"dropping-particle":"","family":"Telang","given":"Shilpa","non-dropping-particle":"","parse-names":false,"suffix":""},{"dropping-particle":"","family":"Bloch","given":"Michael H.","non-dropping-particle":"","parse-names":false,"suffix":""}],"container-title":"Progress in Neuro-Psychopharmacology and Biological Psychiatry","id":"ITEM-1","issue":"8","issued":{"date-parts":[["2019"]]},"page":"446-455","title":"Identifying standardized definitions of treatment response in trichotillomania: A meta-analysis","type":"article-journal","volume":"89"},"uris":["http://www.mendeley.com/documents/?uuid=392a4b36-ecec-48a2-999a-5d186e50b2d8"]}],"mendeley":{"formattedCitation":"(Farhat et al., 2019)","plainTextFormattedCitation":"(Farhat et al., 2019)","previouslyFormattedCitation":"(Farhat et al., 2019)"},"properties":{"noteIndex":0},"schema":"https://github.com/citation-style-language/schema/raw/master/csl-citation.json"}</w:instrText>
      </w:r>
      <w:r w:rsidR="00F743E2">
        <w:rPr>
          <w:rFonts w:eastAsia="Times New Roman" w:cs="Times New Roman"/>
          <w:szCs w:val="24"/>
        </w:rPr>
        <w:fldChar w:fldCharType="separate"/>
      </w:r>
      <w:r w:rsidR="00C064BE" w:rsidRPr="00C064BE">
        <w:rPr>
          <w:rFonts w:eastAsia="Times New Roman" w:cs="Times New Roman"/>
          <w:noProof/>
          <w:szCs w:val="24"/>
        </w:rPr>
        <w:t>(Farhat et al., 2019)</w:t>
      </w:r>
      <w:r w:rsidR="00F743E2">
        <w:rPr>
          <w:rFonts w:eastAsia="Times New Roman" w:cs="Times New Roman"/>
          <w:szCs w:val="24"/>
        </w:rPr>
        <w:fldChar w:fldCharType="end"/>
      </w:r>
      <w:r w:rsidR="007D0D92">
        <w:rPr>
          <w:rFonts w:eastAsia="Times New Roman" w:cs="Times New Roman"/>
          <w:szCs w:val="24"/>
        </w:rPr>
        <w:t>, p</w:t>
      </w:r>
      <w:r w:rsidR="0069542D" w:rsidRPr="0069542D">
        <w:rPr>
          <w:rFonts w:eastAsia="Times New Roman" w:cs="Times New Roman"/>
          <w:szCs w:val="24"/>
        </w:rPr>
        <w:t>osttreatment CGI-I s</w:t>
      </w:r>
      <w:r w:rsidR="00404365" w:rsidRPr="0069542D">
        <w:rPr>
          <w:rFonts w:eastAsia="Times New Roman" w:cs="Times New Roman"/>
          <w:szCs w:val="24"/>
        </w:rPr>
        <w:t>cores of 1 or 2</w:t>
      </w:r>
      <w:r w:rsidR="00A05D74">
        <w:rPr>
          <w:rFonts w:eastAsia="Times New Roman" w:cs="Times New Roman"/>
          <w:szCs w:val="24"/>
        </w:rPr>
        <w:t>,</w:t>
      </w:r>
      <w:r w:rsidR="00404365" w:rsidRPr="0069542D">
        <w:rPr>
          <w:rFonts w:eastAsia="Times New Roman" w:cs="Times New Roman"/>
          <w:szCs w:val="24"/>
        </w:rPr>
        <w:t xml:space="preserve"> reflect</w:t>
      </w:r>
      <w:r w:rsidR="00A05D74">
        <w:rPr>
          <w:rFonts w:eastAsia="Times New Roman" w:cs="Times New Roman"/>
          <w:szCs w:val="24"/>
        </w:rPr>
        <w:t>ing</w:t>
      </w:r>
      <w:r w:rsidR="00514B1A">
        <w:rPr>
          <w:rFonts w:eastAsia="Times New Roman" w:cs="Times New Roman"/>
          <w:szCs w:val="24"/>
        </w:rPr>
        <w:t xml:space="preserve"> </w:t>
      </w:r>
      <w:r w:rsidR="00DF0DE1" w:rsidRPr="0069542D">
        <w:rPr>
          <w:rFonts w:eastAsia="Times New Roman" w:cs="Times New Roman"/>
          <w:szCs w:val="24"/>
        </w:rPr>
        <w:t xml:space="preserve">that a patient was </w:t>
      </w:r>
      <w:r w:rsidR="0058715C" w:rsidRPr="0069542D">
        <w:rPr>
          <w:rFonts w:eastAsia="Times New Roman" w:cs="Times New Roman"/>
          <w:szCs w:val="24"/>
        </w:rPr>
        <w:t>“</w:t>
      </w:r>
      <w:r w:rsidR="00404365" w:rsidRPr="0069542D">
        <w:rPr>
          <w:rFonts w:eastAsia="Times New Roman" w:cs="Times New Roman"/>
          <w:szCs w:val="24"/>
        </w:rPr>
        <w:t>very much improved</w:t>
      </w:r>
      <w:r w:rsidR="0058715C" w:rsidRPr="0069542D">
        <w:rPr>
          <w:rFonts w:eastAsia="Times New Roman" w:cs="Times New Roman"/>
          <w:szCs w:val="24"/>
        </w:rPr>
        <w:t>”</w:t>
      </w:r>
      <w:r w:rsidR="00404365" w:rsidRPr="0069542D">
        <w:rPr>
          <w:rFonts w:eastAsia="Times New Roman" w:cs="Times New Roman"/>
          <w:szCs w:val="24"/>
        </w:rPr>
        <w:t xml:space="preserve"> or </w:t>
      </w:r>
      <w:r w:rsidR="0058715C" w:rsidRPr="0069542D">
        <w:rPr>
          <w:rFonts w:eastAsia="Times New Roman" w:cs="Times New Roman"/>
          <w:szCs w:val="24"/>
        </w:rPr>
        <w:t>“</w:t>
      </w:r>
      <w:r w:rsidR="00404365" w:rsidRPr="0069542D">
        <w:rPr>
          <w:rFonts w:eastAsia="Times New Roman" w:cs="Times New Roman"/>
          <w:szCs w:val="24"/>
        </w:rPr>
        <w:t>much improved</w:t>
      </w:r>
      <w:r w:rsidR="0058715C" w:rsidRPr="0069542D">
        <w:rPr>
          <w:rFonts w:eastAsia="Times New Roman" w:cs="Times New Roman"/>
          <w:szCs w:val="24"/>
        </w:rPr>
        <w:t>”</w:t>
      </w:r>
      <w:r w:rsidR="00404365" w:rsidRPr="0069542D">
        <w:rPr>
          <w:rFonts w:eastAsia="Times New Roman" w:cs="Times New Roman"/>
          <w:szCs w:val="24"/>
        </w:rPr>
        <w:t xml:space="preserve"> from baseline</w:t>
      </w:r>
      <w:r w:rsidR="00404365">
        <w:rPr>
          <w:rFonts w:eastAsia="Times New Roman" w:cs="Times New Roman"/>
          <w:szCs w:val="24"/>
        </w:rPr>
        <w:t xml:space="preserve">, </w:t>
      </w:r>
      <w:r w:rsidR="005B4442">
        <w:rPr>
          <w:rFonts w:eastAsia="Times New Roman" w:cs="Times New Roman"/>
          <w:szCs w:val="24"/>
        </w:rPr>
        <w:t>respectively</w:t>
      </w:r>
      <w:r w:rsidR="002D4A0D">
        <w:rPr>
          <w:rFonts w:eastAsia="Times New Roman" w:cs="Times New Roman"/>
          <w:szCs w:val="24"/>
        </w:rPr>
        <w:t>,</w:t>
      </w:r>
      <w:r w:rsidR="00443752">
        <w:rPr>
          <w:rFonts w:eastAsia="Times New Roman" w:cs="Times New Roman"/>
          <w:szCs w:val="24"/>
        </w:rPr>
        <w:t xml:space="preserve"> </w:t>
      </w:r>
      <w:r w:rsidR="005B4442">
        <w:rPr>
          <w:rFonts w:eastAsia="Times New Roman" w:cs="Times New Roman"/>
          <w:szCs w:val="24"/>
        </w:rPr>
        <w:t>were</w:t>
      </w:r>
      <w:r w:rsidR="0032588D">
        <w:rPr>
          <w:rFonts w:eastAsia="Times New Roman" w:cs="Times New Roman"/>
          <w:szCs w:val="24"/>
        </w:rPr>
        <w:t xml:space="preserve"> u</w:t>
      </w:r>
      <w:r w:rsidR="00404365" w:rsidRPr="00FD2374">
        <w:rPr>
          <w:rFonts w:eastAsia="Times New Roman" w:cs="Times New Roman"/>
          <w:szCs w:val="24"/>
        </w:rPr>
        <w:t>sed to identify treatment responders.</w:t>
      </w:r>
    </w:p>
    <w:p w14:paraId="33194622" w14:textId="775E0446" w:rsidR="002A45AB" w:rsidRPr="00AD0081" w:rsidRDefault="00931B7C" w:rsidP="00AD0081">
      <w:pPr>
        <w:widowControl w:val="0"/>
        <w:spacing w:line="480" w:lineRule="auto"/>
        <w:ind w:firstLine="720"/>
        <w:rPr>
          <w:rFonts w:eastAsia="Times New Roman" w:cs="Times New Roman"/>
          <w:b/>
          <w:bCs/>
          <w:szCs w:val="24"/>
        </w:rPr>
      </w:pPr>
      <w:r>
        <w:rPr>
          <w:rFonts w:eastAsia="Times New Roman" w:cs="Times New Roman"/>
          <w:b/>
          <w:bCs/>
          <w:szCs w:val="24"/>
        </w:rPr>
        <w:t>Secondary Outcome Measures.</w:t>
      </w:r>
      <w:r w:rsidRPr="0055592C">
        <w:rPr>
          <w:rFonts w:eastAsia="Times New Roman" w:cs="Times New Roman"/>
          <w:bCs/>
          <w:szCs w:val="24"/>
        </w:rPr>
        <w:t xml:space="preserve"> </w:t>
      </w:r>
      <w:r w:rsidR="000F4F89">
        <w:rPr>
          <w:rFonts w:eastAsia="Times New Roman" w:cs="Times New Roman"/>
          <w:bCs/>
          <w:szCs w:val="24"/>
        </w:rPr>
        <w:t>IE</w:t>
      </w:r>
      <w:r w:rsidR="00267FC7">
        <w:rPr>
          <w:rFonts w:eastAsia="Times New Roman" w:cs="Times New Roman"/>
          <w:bCs/>
          <w:szCs w:val="24"/>
        </w:rPr>
        <w:t>s</w:t>
      </w:r>
      <w:r w:rsidR="000F4F89">
        <w:rPr>
          <w:rFonts w:eastAsia="Times New Roman" w:cs="Times New Roman"/>
          <w:bCs/>
          <w:szCs w:val="24"/>
        </w:rPr>
        <w:t xml:space="preserve"> </w:t>
      </w:r>
      <w:r w:rsidR="00205956">
        <w:rPr>
          <w:rFonts w:eastAsia="Times New Roman" w:cs="Times New Roman"/>
          <w:bCs/>
          <w:szCs w:val="24"/>
        </w:rPr>
        <w:t xml:space="preserve">also </w:t>
      </w:r>
      <w:r w:rsidR="00267FC7">
        <w:rPr>
          <w:rFonts w:eastAsia="Times New Roman" w:cs="Times New Roman"/>
          <w:bCs/>
          <w:szCs w:val="24"/>
        </w:rPr>
        <w:t>a</w:t>
      </w:r>
      <w:r w:rsidR="000F4F89">
        <w:rPr>
          <w:rFonts w:eastAsia="Times New Roman" w:cs="Times New Roman"/>
          <w:bCs/>
          <w:szCs w:val="24"/>
        </w:rPr>
        <w:t xml:space="preserve">dministered </w:t>
      </w:r>
      <w:r w:rsidR="00050C1F" w:rsidRPr="00A00782">
        <w:rPr>
          <w:rFonts w:eastAsia="Times New Roman" w:cs="Times New Roman"/>
          <w:szCs w:val="24"/>
        </w:rPr>
        <w:t>the</w:t>
      </w:r>
      <w:r w:rsidR="00827F7C">
        <w:rPr>
          <w:rFonts w:eastAsia="Times New Roman" w:cs="Times New Roman"/>
          <w:szCs w:val="24"/>
        </w:rPr>
        <w:t xml:space="preserve"> </w:t>
      </w:r>
      <w:r w:rsidR="00297EBD">
        <w:rPr>
          <w:rFonts w:eastAsia="Times New Roman" w:cs="Times New Roman"/>
          <w:i/>
          <w:iCs/>
          <w:szCs w:val="24"/>
        </w:rPr>
        <w:t>Clinical Global Impressions</w:t>
      </w:r>
      <w:r w:rsidR="00C96CE9">
        <w:rPr>
          <w:rFonts w:eastAsia="Times New Roman" w:cs="Times New Roman"/>
          <w:i/>
          <w:iCs/>
          <w:szCs w:val="24"/>
        </w:rPr>
        <w:t xml:space="preserve">-Severity (CGI-S) </w:t>
      </w:r>
      <w:r w:rsidR="00C96CE9" w:rsidRPr="004D60A5">
        <w:rPr>
          <w:rFonts w:eastAsia="Times New Roman" w:cs="Times New Roman"/>
          <w:szCs w:val="24"/>
        </w:rPr>
        <w:t>scale</w:t>
      </w:r>
      <w:r w:rsidR="00C96CE9" w:rsidRPr="00C96CE9">
        <w:rPr>
          <w:rFonts w:eastAsia="Times New Roman" w:cs="Times New Roman"/>
          <w:i/>
          <w:szCs w:val="24"/>
        </w:rPr>
        <w:t xml:space="preserve"> </w:t>
      </w:r>
      <w:r w:rsidR="00C96CE9">
        <w:rPr>
          <w:rFonts w:eastAsia="Times New Roman" w:cs="Times New Roman"/>
          <w:i/>
          <w:szCs w:val="24"/>
        </w:rPr>
        <w:fldChar w:fldCharType="begin" w:fldLock="1"/>
      </w:r>
      <w:r w:rsidR="00C064BE">
        <w:rPr>
          <w:rFonts w:eastAsia="Times New Roman" w:cs="Times New Roman"/>
          <w:i/>
          <w:szCs w:val="24"/>
        </w:rPr>
        <w:instrText>ADDIN CSL_CITATION {"citationItems":[{"id":"ITEM-1","itemData":{"author":[{"dropping-particle":"","family":"Guy","given":"W.","non-dropping-particle":"","parse-names":false,"suffix":""}],"container-title":"ECDEU Assessment Manual for Psychopharmacology","id":"ITEM-1","issued":{"date-parts":[["1976"]]},"page":"217-222","publisher":"National Institute of Mental Health","publisher-place":"Rockville, MD","title":"Clinical Global Impressions Scale","type":"chapter"},"uris":["http://www.mendeley.com/documents/?uuid=7aa2798b-7686-4b4f-a95f-d3ee1a448607"]},{"id":"ITEM-2","itemData":{"DOI":"10.1111/j.1365-2753.2007.00921.x","ISSN":"13561294","abstract":"Objective: The Clinical Global Impression Scale (CGI) is established as a core metric in psychiatric research. This study aims to test the validity of CGI as a clinical outcome measure suitable for routine use in a private inpatient setting. Methods: The CGI was added to a standard battery of routine outcome measures in a private psychiatric hospital. Data were collected on consecutive admissions over a period of 24 months, which included clinical diagnosis, demographics, service utilization and four routine measures (CGI, HoNOS, MHQ-14 and DASS-21) at both admission and discharge. Descriptive and comparative data analyses were performed. Results: Of 786 admissions in total, there were 624 and 614 CGI-S ratings completed at the point of admission and discharge, respectively, and 610 completed CGI-I ratings. The admission and discharge CGI-S scores were correlated (r = 0.40), and the indirect improvement measures obtained from their differences were highly correlated with the direct CGI-I scores (r = 0.71). The CGI results reflected similar trends seen in the other three outcome measures. Conclusions: The CGI is a valid clinical outcome measure suitable for routine use in an inpatient setting. It offers a number of advantages, including its established utility in psychiatric research, sensitivity to change, quick and simple administration, utility across diagnostic groupings, and reliability in the hands of skilled clinicians. © 2008 The Authors.","author":[{"dropping-particle":"","family":"Berk","given":"Michael","non-dropping-particle":"","parse-names":false,"suffix":""},{"dropping-particle":"","family":"Ng","given":"Felicity","non-dropping-particle":"","parse-names":false,"suffix":""},{"dropping-particle":"","family":"Dodd","given":"Seetal","non-dropping-particle":"","parse-names":false,"suffix":""},{"dropping-particle":"","family":"Callaly","given":"Tom","non-dropping-particle":"","parse-names":false,"suffix":""},{"dropping-particle":"","family":"Campbell","given":"Shirley","non-dropping-particle":"","parse-names":false,"suffix":""},{"dropping-particle":"","family":"Bernardo","given":"Michelle","non-dropping-particle":"","parse-names":false,"suffix":""},{"dropping-particle":"","family":"Trauer","given":"Tom","non-dropping-particle":"","parse-names":false,"suffix":""}],"container-title":"Journal of Evaluation in Clinical Practice","id":"ITEM-2","issue":"6","issued":{"date-parts":[["2008"]]},"page":"979-983","title":"The validity of the CGI severity and improvement scales as measures of clinical effectiveness suitable for routine clinical use","type":"article-journal","volume":"14"},"uris":["http://www.mendeley.com/documents/?uuid=7220ccb7-b0e1-4864-948b-8c1debb8c22c"]}],"mendeley":{"formattedCitation":"(Berk et al., 2008; Guy, 1976)","plainTextFormattedCitation":"(Berk et al., 2008; Guy, 1976)","previouslyFormattedCitation":"(Berk et al., 2008; Guy, 1976)"},"properties":{"noteIndex":0},"schema":"https://github.com/citation-style-language/schema/raw/master/csl-citation.json"}</w:instrText>
      </w:r>
      <w:r w:rsidR="00C96CE9">
        <w:rPr>
          <w:rFonts w:eastAsia="Times New Roman" w:cs="Times New Roman"/>
          <w:i/>
          <w:szCs w:val="24"/>
        </w:rPr>
        <w:fldChar w:fldCharType="separate"/>
      </w:r>
      <w:r w:rsidR="00C064BE" w:rsidRPr="00C064BE">
        <w:rPr>
          <w:rFonts w:eastAsia="Times New Roman" w:cs="Times New Roman"/>
          <w:noProof/>
          <w:szCs w:val="24"/>
        </w:rPr>
        <w:t>(Berk et al., 2008; Guy, 1976)</w:t>
      </w:r>
      <w:r w:rsidR="00C96CE9">
        <w:rPr>
          <w:rFonts w:eastAsia="Times New Roman" w:cs="Times New Roman"/>
          <w:i/>
          <w:szCs w:val="24"/>
        </w:rPr>
        <w:fldChar w:fldCharType="end"/>
      </w:r>
      <w:r w:rsidR="00196B89">
        <w:rPr>
          <w:rFonts w:eastAsia="Times New Roman" w:cs="Times New Roman"/>
          <w:iCs/>
          <w:szCs w:val="24"/>
        </w:rPr>
        <w:t>, which is a 1</w:t>
      </w:r>
      <w:r w:rsidR="00A57480">
        <w:rPr>
          <w:rFonts w:eastAsia="Times New Roman" w:cs="Times New Roman"/>
          <w:iCs/>
          <w:szCs w:val="24"/>
        </w:rPr>
        <w:t>-7 point, IE-completed rating of participants’</w:t>
      </w:r>
      <w:r w:rsidR="00C96CE9">
        <w:rPr>
          <w:rFonts w:eastAsia="Times New Roman" w:cs="Times New Roman"/>
          <w:iCs/>
          <w:szCs w:val="24"/>
        </w:rPr>
        <w:t xml:space="preserve"> TTM severity</w:t>
      </w:r>
      <w:r w:rsidR="000948FA">
        <w:rPr>
          <w:rFonts w:eastAsia="Times New Roman" w:cs="Times New Roman"/>
          <w:iCs/>
          <w:szCs w:val="24"/>
        </w:rPr>
        <w:t xml:space="preserve">. In addition, IEs administered </w:t>
      </w:r>
      <w:r w:rsidR="00C96CE9">
        <w:rPr>
          <w:rFonts w:eastAsia="Times New Roman" w:cs="Times New Roman"/>
          <w:iCs/>
          <w:szCs w:val="24"/>
        </w:rPr>
        <w:t>the</w:t>
      </w:r>
      <w:r w:rsidR="00297EBD">
        <w:rPr>
          <w:rFonts w:eastAsia="Times New Roman" w:cs="Times New Roman"/>
          <w:i/>
          <w:iCs/>
          <w:szCs w:val="24"/>
        </w:rPr>
        <w:t xml:space="preserve"> </w:t>
      </w:r>
      <w:r w:rsidR="00827F7C">
        <w:rPr>
          <w:rFonts w:eastAsia="Times New Roman" w:cs="Times New Roman"/>
          <w:szCs w:val="24"/>
        </w:rPr>
        <w:t>valid</w:t>
      </w:r>
      <w:r w:rsidR="005B4442" w:rsidRPr="00A00782">
        <w:rPr>
          <w:rFonts w:eastAsia="Times New Roman" w:cs="Times New Roman"/>
          <w:szCs w:val="24"/>
        </w:rPr>
        <w:t xml:space="preserve"> </w:t>
      </w:r>
      <w:r w:rsidR="00050C1F" w:rsidRPr="00A51116">
        <w:rPr>
          <w:rFonts w:eastAsia="Times New Roman" w:cs="Times New Roman"/>
          <w:i/>
          <w:iCs/>
          <w:szCs w:val="24"/>
        </w:rPr>
        <w:t xml:space="preserve">NIMH Trichotillomania </w:t>
      </w:r>
      <w:r w:rsidR="00685CA4">
        <w:rPr>
          <w:rFonts w:eastAsia="Times New Roman" w:cs="Times New Roman"/>
          <w:i/>
          <w:iCs/>
          <w:szCs w:val="24"/>
        </w:rPr>
        <w:t>Symptom Severity Scale (NIMH-TSS</w:t>
      </w:r>
      <w:r w:rsidR="00C67FF0">
        <w:rPr>
          <w:rFonts w:eastAsia="Times New Roman" w:cs="Times New Roman"/>
          <w:i/>
          <w:iCs/>
          <w:szCs w:val="24"/>
        </w:rPr>
        <w:t>;</w:t>
      </w:r>
      <w:r w:rsidR="00201C8B">
        <w:rPr>
          <w:rFonts w:eastAsia="Times New Roman" w:cs="Times New Roman"/>
          <w:iCs/>
          <w:szCs w:val="24"/>
        </w:rPr>
        <w:fldChar w:fldCharType="begin" w:fldLock="1"/>
      </w:r>
      <w:r w:rsidR="00C064BE">
        <w:rPr>
          <w:rFonts w:eastAsia="Times New Roman" w:cs="Times New Roman"/>
          <w:iCs/>
          <w:szCs w:val="24"/>
        </w:rPr>
        <w:instrText>ADDIN CSL_CITATION {"citationItems":[{"id":"ITEM-1","itemData":{"DOI":"10.1056/NEJM198908243210803","author":[{"dropping-particle":"","family":"Swedo","given":"S. E.","non-dropping-particle":"","parse-names":false,"suffix":""},{"dropping-particle":"","family":"Leonard","given":"H. L.","non-dropping-particle":"","parse-names":false,"suffix":""},{"dropping-particle":"","family":"Rapoport","given":"J. L.","non-dropping-particle":"","parse-names":false,"suffix":""},{"dropping-particle":"","family":"Lenane","given":"M. C.","non-dropping-particle":"","parse-names":false,"suffix":""},{"dropping-particle":"","family":"Goldberger","given":"E. L.","non-dropping-particle":"","parse-names":false,"suffix":""},{"dropping-particle":"","family":"Cheslow","given":"D. L.","non-dropping-particle":"","parse-names":false,"suffix":""}],"container-title":"New England Journal of Medicine","id":"ITEM-1","issue":"8","issued":{"date-parts":[["1989"]]},"page":"497-501","title":"A double-blind comparison of clomipramine and desipramine in the treatment of trichotillomania (hair pulling)","type":"article-journal","volume":"321"},"uris":["http://www.mendeley.com/documents/?uuid=4fb2f8fe-2501-4a00-b015-4a003b2e3504"]},{"id":"ITEM-2","itemData":{"DOI":"10.1007/s10862-005-0633-7","ISBN":"0882-2689","ISSN":"08822689","abstract":"Currently there is no \"gold standard\" treatment outcome measure for trichotillomania (TTM), a disorder characterized by repetitive hair pulling resulting in noticeable hair loss. The goal of the current study was to evaluate the psychometric properties of TTM measures of differing assessment methods: self-report, clinician-rated summary scales, and clinician-rated global severity scales. Data collected from 28 patients with TTM indicated mixed psychometric properties for current scales. Internal consistency was strong for self-report but not clinician-rated summary scales. One clinician-rated summary scale total and subjective ratings of hair loss demonstrated good interrater agreement. Although convergent validity was good within measurement type, self-report did not correlate with clinician-rated global severity scales, perhaps because of absence of hair loss severity assessment on the self-report measure. A multimethod assessment including one of each type of measure reviewed in this paper, along with self-monitoring and measures of hair loss severity, is recommended for a comprehensive best practice approach to TTM assessment. 2005 Springer Science+Business Media, Inc.","author":[{"dropping-particle":"","family":"Diefenbach","given":"Gretchen J.","non-dropping-particle":"","parse-names":false,"suffix":""},{"dropping-particle":"","family":"Tolin","given":"David F.","non-dropping-particle":"","parse-names":false,"suffix":""},{"dropping-particle":"","family":"Crocetto","given":"Johanna","non-dropping-particle":"","parse-names":false,"suffix":""},{"dropping-particle":"","family":"Maltby","given":"Nicholas","non-dropping-particle":"","parse-names":false,"suffix":""},{"dropping-particle":"","family":"Hannan","given":"Scott","non-dropping-particle":"","parse-names":false,"suffix":""}],"container-title":"Journal of Psychopathology and Behavioral Assessment","id":"ITEM-2","issue":"3","issued":{"date-parts":[["2005"]]},"page":"169-178","title":"Assessment of trichotillomania: A psychometric evaluation of hair-pulling scales","type":"article-journal","volume":"27"},"uris":["http://www.mendeley.com/documents/?uuid=f18bb6ea-3bf2-45bb-bb80-4e1c02b7ee7e"]}],"mendeley":{"formattedCitation":"(Diefenbach et al., 2005; Swedo et al., 1989)","plainTextFormattedCitation":"(Diefenbach et al., 2005; Swedo et al., 1989)","previouslyFormattedCitation":"(Diefenbach et al., 2005; Swedo et al., 1989)"},"properties":{"noteIndex":0},"schema":"https://github.com/citation-style-language/schema/raw/master/csl-citation.json"}</w:instrText>
      </w:r>
      <w:r w:rsidR="00201C8B">
        <w:rPr>
          <w:rFonts w:eastAsia="Times New Roman" w:cs="Times New Roman"/>
          <w:iCs/>
          <w:szCs w:val="24"/>
        </w:rPr>
        <w:fldChar w:fldCharType="separate"/>
      </w:r>
      <w:r w:rsidR="00586D68">
        <w:rPr>
          <w:rFonts w:eastAsia="Times New Roman" w:cs="Times New Roman"/>
          <w:iCs/>
          <w:noProof/>
          <w:szCs w:val="24"/>
        </w:rPr>
        <w:t xml:space="preserve"> </w:t>
      </w:r>
      <w:r w:rsidR="00C064BE" w:rsidRPr="00C064BE">
        <w:rPr>
          <w:rFonts w:eastAsia="Times New Roman" w:cs="Times New Roman"/>
          <w:iCs/>
          <w:noProof/>
          <w:szCs w:val="24"/>
        </w:rPr>
        <w:t>Diefenbach et al., 2005; Swedo et al., 1989)</w:t>
      </w:r>
      <w:r w:rsidR="00201C8B">
        <w:rPr>
          <w:rFonts w:eastAsia="Times New Roman" w:cs="Times New Roman"/>
          <w:iCs/>
          <w:szCs w:val="24"/>
        </w:rPr>
        <w:fldChar w:fldCharType="end"/>
      </w:r>
      <w:r w:rsidR="00050C1F" w:rsidRPr="00A00782">
        <w:rPr>
          <w:rFonts w:eastAsia="Times New Roman" w:cs="Times New Roman"/>
          <w:iCs/>
          <w:szCs w:val="24"/>
        </w:rPr>
        <w:t xml:space="preserve"> </w:t>
      </w:r>
      <w:r w:rsidR="00685CA4">
        <w:rPr>
          <w:rFonts w:eastAsia="Times New Roman" w:cs="Times New Roman"/>
          <w:iCs/>
          <w:szCs w:val="24"/>
        </w:rPr>
        <w:t>to assess TTM severity</w:t>
      </w:r>
      <w:r w:rsidR="0069542D">
        <w:rPr>
          <w:rFonts w:eastAsia="Times New Roman" w:cs="Times New Roman"/>
          <w:szCs w:val="24"/>
        </w:rPr>
        <w:t>. Scores on the NIMH-TSS range from 0-25, with higher scores representing greater severity.</w:t>
      </w:r>
      <w:r w:rsidR="00B01DFC">
        <w:rPr>
          <w:rFonts w:eastAsia="Times New Roman" w:cs="Times New Roman"/>
          <w:szCs w:val="24"/>
        </w:rPr>
        <w:t xml:space="preserve"> </w:t>
      </w:r>
      <w:r w:rsidR="0032588D">
        <w:rPr>
          <w:rFonts w:eastAsia="Times New Roman" w:cs="Times New Roman"/>
          <w:szCs w:val="24"/>
        </w:rPr>
        <w:t>T</w:t>
      </w:r>
      <w:r w:rsidR="00A00782" w:rsidRPr="00A00782">
        <w:rPr>
          <w:rFonts w:eastAsia="Times New Roman" w:cs="Times New Roman"/>
          <w:iCs/>
          <w:szCs w:val="24"/>
        </w:rPr>
        <w:t xml:space="preserve">he </w:t>
      </w:r>
      <w:r w:rsidR="009A52F4" w:rsidRPr="00A51116">
        <w:rPr>
          <w:rFonts w:eastAsia="Times New Roman" w:cs="Times New Roman"/>
          <w:i/>
          <w:iCs/>
          <w:szCs w:val="24"/>
        </w:rPr>
        <w:t>MGH-HS</w:t>
      </w:r>
      <w:r w:rsidR="00E60E65">
        <w:rPr>
          <w:rFonts w:eastAsia="Times New Roman" w:cs="Times New Roman"/>
          <w:i/>
          <w:iCs/>
          <w:szCs w:val="24"/>
        </w:rPr>
        <w:t xml:space="preserve"> </w:t>
      </w:r>
      <w:r w:rsidR="00201C8B">
        <w:rPr>
          <w:rFonts w:eastAsia="Times New Roman" w:cs="Times New Roman"/>
          <w:iCs/>
          <w:szCs w:val="24"/>
        </w:rPr>
        <w:fldChar w:fldCharType="begin" w:fldLock="1"/>
      </w:r>
      <w:r w:rsidR="00C064BE">
        <w:rPr>
          <w:rFonts w:eastAsia="Times New Roman" w:cs="Times New Roman"/>
          <w:iCs/>
          <w:szCs w:val="24"/>
        </w:rPr>
        <w:instrText>ADDIN CSL_CITATION {"citationItems":[{"id":"ITEM-1","itemData":{"DOI":"10.1159/000289003","ISBN":"9788578110796","ISSN":"0033-3190","PMID":"8657844","abstract":"We developed the MGH Hairpulling Scale to provide a brief, self-report instrument for assessing repetitive hairpulling. Seven individual items, rated for severity from 0 to 4, assess urges to pull, actual pulling, perceived control, and associated distress. We administered the scale to 119 consecutive patients with chronic hairpulling. Statistical analyses indicate that the seven items form a homogenous scale for the measurement of severity in this disorder.","author":[{"dropping-particle":"","family":"Keuthen","given":"Nancy J.","non-dropping-particle":"","parse-names":false,"suffix":""},{"dropping-particle":"","family":"O'Sullivan","given":"R L","non-dropping-particle":"","parse-names":false,"suffix":""},{"dropping-particle":"","family":"Ricciardi","given":"J N","non-dropping-particle":"","parse-names":false,"suffix":""},{"dropping-particle":"","family":"Shera","given":"D","non-dropping-particle":"","parse-names":false,"suffix":""},{"dropping-particle":"","family":"Savage","given":"C R","non-dropping-particle":"","parse-names":false,"suffix":""},{"dropping-particle":"","family":"Borgmann","given":"A S","non-dropping-particle":"","parse-names":false,"suffix":""},{"dropping-particle":"","family":"Jenike","given":"M A","non-dropping-particle":"","parse-names":false,"suffix":""},{"dropping-particle":"","family":"Baer","given":"L","non-dropping-particle":"","parse-names":false,"suffix":""}],"container-title":"Psychotherapy and Psychosomatics","id":"ITEM-1","issue":"3-4","issued":{"date-parts":[["1995"]]},"page":"141-145","title":"The Massachusetts General Hospital (MGH) Hairpulling Scale: 1. Development and factor analyses.","type":"article-journal","volume":"64"},"uris":["http://www.mendeley.com/documents/?uuid=e43ef5c4-52a8-4c8c-b31c-4cd81c02eeda"]}],"mendeley":{"formattedCitation":"(Keuthen et al., 1995)","plainTextFormattedCitation":"(Keuthen et al., 1995)","previouslyFormattedCitation":"(Keuthen et al., 1995)"},"properties":{"noteIndex":0},"schema":"https://github.com/citation-style-language/schema/raw/master/csl-citation.json"}</w:instrText>
      </w:r>
      <w:r w:rsidR="00201C8B">
        <w:rPr>
          <w:rFonts w:eastAsia="Times New Roman" w:cs="Times New Roman"/>
          <w:iCs/>
          <w:szCs w:val="24"/>
        </w:rPr>
        <w:fldChar w:fldCharType="separate"/>
      </w:r>
      <w:r w:rsidR="00C064BE" w:rsidRPr="00C064BE">
        <w:rPr>
          <w:rFonts w:eastAsia="Times New Roman" w:cs="Times New Roman"/>
          <w:iCs/>
          <w:noProof/>
          <w:szCs w:val="24"/>
        </w:rPr>
        <w:t>(Keuthen et al., 1995)</w:t>
      </w:r>
      <w:r w:rsidR="00201C8B">
        <w:rPr>
          <w:rFonts w:eastAsia="Times New Roman" w:cs="Times New Roman"/>
          <w:iCs/>
          <w:szCs w:val="24"/>
        </w:rPr>
        <w:fldChar w:fldCharType="end"/>
      </w:r>
      <w:r w:rsidR="00E60E65">
        <w:rPr>
          <w:rFonts w:eastAsia="Times New Roman" w:cs="Times New Roman"/>
          <w:iCs/>
          <w:szCs w:val="24"/>
        </w:rPr>
        <w:t>,</w:t>
      </w:r>
      <w:r w:rsidR="0032588D">
        <w:rPr>
          <w:rFonts w:eastAsia="Times New Roman" w:cs="Times New Roman"/>
          <w:szCs w:val="24"/>
        </w:rPr>
        <w:t xml:space="preserve"> </w:t>
      </w:r>
      <w:r w:rsidR="002A45AB" w:rsidRPr="00A00782">
        <w:rPr>
          <w:rFonts w:eastAsia="Times New Roman" w:cs="Times New Roman"/>
          <w:szCs w:val="24"/>
        </w:rPr>
        <w:t>a seven-question self-report measure</w:t>
      </w:r>
      <w:r w:rsidR="00827F7C">
        <w:rPr>
          <w:rFonts w:eastAsia="Times New Roman" w:cs="Times New Roman"/>
          <w:szCs w:val="24"/>
        </w:rPr>
        <w:t xml:space="preserve"> with adequate psychometric properties </w:t>
      </w:r>
      <w:r w:rsidR="00827F7C">
        <w:rPr>
          <w:rFonts w:eastAsia="Times New Roman" w:cs="Times New Roman"/>
          <w:iCs/>
          <w:szCs w:val="24"/>
        </w:rPr>
        <w:fldChar w:fldCharType="begin" w:fldLock="1"/>
      </w:r>
      <w:r w:rsidR="00C064BE">
        <w:rPr>
          <w:rFonts w:eastAsia="Times New Roman" w:cs="Times New Roman"/>
          <w:iCs/>
          <w:szCs w:val="24"/>
        </w:rPr>
        <w:instrText>ADDIN CSL_CITATION {"citationItems":[{"id":"ITEM-1","itemData":{"DOI":"10.1007/s10862-005-0633-7","ISBN":"0882-2689","ISSN":"08822689","abstract":"Currently there is no \"gold standard\" treatment outcome measure for trichotillomania (TTM), a disorder characterized by repetitive hair pulling resulting in noticeable hair loss. The goal of the current study was to evaluate the psychometric properties of TTM measures of differing assessment methods: self-report, clinician-rated summary scales, and clinician-rated global severity scales. Data collected from 28 patients with TTM indicated mixed psychometric properties for current scales. Internal consistency was strong for self-report but not clinician-rated summary scales. One clinician-rated summary scale total and subjective ratings of hair loss demonstrated good interrater agreement. Although convergent validity was good within measurement type, self-report did not correlate with clinician-rated global severity scales, perhaps because of absence of hair loss severity assessment on the self-report measure. A multimethod assessment including one of each type of measure reviewed in this paper, along with self-monitoring and measures of hair loss severity, is recommended for a comprehensive best practice approach to TTM assessment. 2005 Springer Science+Business Media, Inc.","author":[{"dropping-particle":"","family":"Diefenbach","given":"Gretchen J.","non-dropping-particle":"","parse-names":false,"suffix":""},{"dropping-particle":"","family":"Tolin","given":"David F.","non-dropping-particle":"","parse-names":false,"suffix":""},{"dropping-particle":"","family":"Crocetto","given":"Johanna","non-dropping-particle":"","parse-names":false,"suffix":""},{"dropping-particle":"","family":"Maltby","given":"Nicholas","non-dropping-particle":"","parse-names":false,"suffix":""},{"dropping-particle":"","family":"Hannan","given":"Scott","non-dropping-particle":"","parse-names":false,"suffix":""}],"container-title":"Journal of Psychopathology and Behavioral Assessment","id":"ITEM-1","issue":"3","issued":{"date-parts":[["2005"]]},"page":"169-178","title":"Assessment of trichotillomania: A psychometric evaluation of hair-pulling scales","type":"article-journal","volume":"27"},"uris":["http://www.mendeley.com/documents/?uuid=f18bb6ea-3bf2-45bb-bb80-4e1c02b7ee7e"]}],"mendeley":{"formattedCitation":"(Diefenbach et al., 2005)","plainTextFormattedCitation":"(Diefenbach et al., 2005)","previouslyFormattedCitation":"(Diefenbach et al., 2005)"},"properties":{"noteIndex":0},"schema":"https://github.com/citation-style-language/schema/raw/master/csl-citation.json"}</w:instrText>
      </w:r>
      <w:r w:rsidR="00827F7C">
        <w:rPr>
          <w:rFonts w:eastAsia="Times New Roman" w:cs="Times New Roman"/>
          <w:iCs/>
          <w:szCs w:val="24"/>
        </w:rPr>
        <w:fldChar w:fldCharType="separate"/>
      </w:r>
      <w:r w:rsidR="00C064BE" w:rsidRPr="00C064BE">
        <w:rPr>
          <w:rFonts w:eastAsia="Times New Roman" w:cs="Times New Roman"/>
          <w:iCs/>
          <w:noProof/>
          <w:szCs w:val="24"/>
        </w:rPr>
        <w:t>(Diefenbach et al., 2005)</w:t>
      </w:r>
      <w:r w:rsidR="00827F7C">
        <w:rPr>
          <w:rFonts w:eastAsia="Times New Roman" w:cs="Times New Roman"/>
          <w:iCs/>
          <w:szCs w:val="24"/>
        </w:rPr>
        <w:fldChar w:fldCharType="end"/>
      </w:r>
      <w:r w:rsidR="00B01DFC">
        <w:rPr>
          <w:rFonts w:eastAsia="Times New Roman" w:cs="Times New Roman"/>
          <w:szCs w:val="24"/>
        </w:rPr>
        <w:t>, was also used to assess</w:t>
      </w:r>
      <w:r w:rsidR="0032588D">
        <w:rPr>
          <w:rFonts w:eastAsia="Times New Roman" w:cs="Times New Roman"/>
          <w:szCs w:val="24"/>
        </w:rPr>
        <w:t xml:space="preserve"> pulling </w:t>
      </w:r>
      <w:r w:rsidR="0032588D">
        <w:rPr>
          <w:rFonts w:eastAsia="Times New Roman" w:cs="Times New Roman"/>
          <w:szCs w:val="24"/>
        </w:rPr>
        <w:lastRenderedPageBreak/>
        <w:t>severity.</w:t>
      </w:r>
      <w:r w:rsidR="007660AE">
        <w:rPr>
          <w:rFonts w:eastAsia="Times New Roman" w:cs="Times New Roman"/>
          <w:szCs w:val="24"/>
        </w:rPr>
        <w:t xml:space="preserve"> </w:t>
      </w:r>
      <w:r w:rsidR="0032588D">
        <w:rPr>
          <w:rFonts w:eastAsia="Times New Roman" w:cs="Times New Roman"/>
          <w:szCs w:val="24"/>
        </w:rPr>
        <w:t>Possible scores range fr</w:t>
      </w:r>
      <w:r w:rsidR="002A45AB" w:rsidRPr="00A00782">
        <w:rPr>
          <w:rFonts w:eastAsia="Times New Roman" w:cs="Times New Roman"/>
          <w:szCs w:val="24"/>
        </w:rPr>
        <w:t>om 0</w:t>
      </w:r>
      <w:r w:rsidR="00A00782" w:rsidRPr="00A00782">
        <w:rPr>
          <w:rFonts w:eastAsia="Times New Roman" w:cs="Times New Roman"/>
          <w:szCs w:val="24"/>
        </w:rPr>
        <w:t xml:space="preserve"> (no pulling)</w:t>
      </w:r>
      <w:r w:rsidR="002A45AB" w:rsidRPr="00A00782">
        <w:rPr>
          <w:rFonts w:eastAsia="Times New Roman" w:cs="Times New Roman"/>
          <w:szCs w:val="24"/>
        </w:rPr>
        <w:t xml:space="preserve"> to 28</w:t>
      </w:r>
      <w:r w:rsidR="00A00782" w:rsidRPr="00A00782">
        <w:rPr>
          <w:rFonts w:eastAsia="Times New Roman" w:cs="Times New Roman"/>
          <w:szCs w:val="24"/>
        </w:rPr>
        <w:t xml:space="preserve"> (very severe pulling)</w:t>
      </w:r>
      <w:r w:rsidR="00E60E65">
        <w:rPr>
          <w:rFonts w:eastAsia="Times New Roman" w:cs="Times New Roman"/>
          <w:szCs w:val="24"/>
        </w:rPr>
        <w:t xml:space="preserve"> </w:t>
      </w:r>
      <w:r w:rsidR="00B75F72">
        <w:rPr>
          <w:rFonts w:eastAsia="Times New Roman" w:cs="Times New Roman"/>
          <w:iCs/>
          <w:szCs w:val="24"/>
        </w:rPr>
        <w:fldChar w:fldCharType="begin" w:fldLock="1"/>
      </w:r>
      <w:r w:rsidR="00C064BE">
        <w:rPr>
          <w:rFonts w:eastAsia="Times New Roman" w:cs="Times New Roman"/>
          <w:iCs/>
          <w:szCs w:val="24"/>
        </w:rPr>
        <w:instrText>ADDIN CSL_CITATION {"citationItems":[{"id":"ITEM-1","itemData":{"DOI":"10.1159/000289003","ISBN":"9788578110796","ISSN":"0033-3190","PMID":"8657844","abstract":"We developed the MGH Hairpulling Scale to provide a brief, self-report instrument for assessing repetitive hairpulling. Seven individual items, rated for severity from 0 to 4, assess urges to pull, actual pulling, perceived control, and associated distress. We administered the scale to 119 consecutive patients with chronic hairpulling. Statistical analyses indicate that the seven items form a homogenous scale for the measurement of severity in this disorder.","author":[{"dropping-particle":"","family":"Keuthen","given":"Nancy J.","non-dropping-particle":"","parse-names":false,"suffix":""},{"dropping-particle":"","family":"O'Sullivan","given":"R L","non-dropping-particle":"","parse-names":false,"suffix":""},{"dropping-particle":"","family":"Ricciardi","given":"J N","non-dropping-particle":"","parse-names":false,"suffix":""},{"dropping-particle":"","family":"Shera","given":"D","non-dropping-particle":"","parse-names":false,"suffix":""},{"dropping-particle":"","family":"Savage","given":"C R","non-dropping-particle":"","parse-names":false,"suffix":""},{"dropping-particle":"","family":"Borgmann","given":"A S","non-dropping-particle":"","parse-names":false,"suffix":""},{"dropping-particle":"","family":"Jenike","given":"M A","non-dropping-particle":"","parse-names":false,"suffix":""},{"dropping-particle":"","family":"Baer","given":"L","non-dropping-particle":"","parse-names":false,"suffix":""}],"container-title":"Psychotherapy and Psychosomatics","id":"ITEM-1","issue":"3-4","issued":{"date-parts":[["1995"]]},"page":"141-145","title":"The Massachusetts General Hospital (MGH) Hairpulling Scale: 1. Development and factor analyses.","type":"article-journal","volume":"64"},"uris":["http://www.mendeley.com/documents/?uuid=e43ef5c4-52a8-4c8c-b31c-4cd81c02eeda"]}],"mendeley":{"formattedCitation":"(Keuthen et al., 1995)","plainTextFormattedCitation":"(Keuthen et al., 1995)","previouslyFormattedCitation":"(Keuthen et al., 1995)"},"properties":{"noteIndex":0},"schema":"https://github.com/citation-style-language/schema/raw/master/csl-citation.json"}</w:instrText>
      </w:r>
      <w:r w:rsidR="00B75F72">
        <w:rPr>
          <w:rFonts w:eastAsia="Times New Roman" w:cs="Times New Roman"/>
          <w:iCs/>
          <w:szCs w:val="24"/>
        </w:rPr>
        <w:fldChar w:fldCharType="separate"/>
      </w:r>
      <w:r w:rsidR="00C064BE" w:rsidRPr="00C064BE">
        <w:rPr>
          <w:rFonts w:eastAsia="Times New Roman" w:cs="Times New Roman"/>
          <w:iCs/>
          <w:noProof/>
          <w:szCs w:val="24"/>
        </w:rPr>
        <w:t>(Keuthen et al., 1995)</w:t>
      </w:r>
      <w:r w:rsidR="00B75F72">
        <w:rPr>
          <w:rFonts w:eastAsia="Times New Roman" w:cs="Times New Roman"/>
          <w:iCs/>
          <w:szCs w:val="24"/>
        </w:rPr>
        <w:fldChar w:fldCharType="end"/>
      </w:r>
      <w:r w:rsidR="00E60E65">
        <w:rPr>
          <w:rFonts w:eastAsia="Times New Roman" w:cs="Times New Roman"/>
          <w:iCs/>
          <w:szCs w:val="24"/>
        </w:rPr>
        <w:t>.</w:t>
      </w:r>
    </w:p>
    <w:p w14:paraId="4635C001" w14:textId="48B25070" w:rsidR="00685CA4" w:rsidRDefault="00685CA4" w:rsidP="00CF2EEA">
      <w:pPr>
        <w:widowControl w:val="0"/>
        <w:spacing w:line="480" w:lineRule="auto"/>
        <w:ind w:firstLine="720"/>
        <w:rPr>
          <w:rFonts w:eastAsia="Times New Roman" w:cs="Times New Roman"/>
          <w:bCs/>
          <w:szCs w:val="24"/>
        </w:rPr>
      </w:pPr>
      <w:r>
        <w:rPr>
          <w:rFonts w:eastAsia="Times New Roman" w:cs="Times New Roman"/>
          <w:b/>
          <w:bCs/>
          <w:szCs w:val="24"/>
        </w:rPr>
        <w:t>Additional</w:t>
      </w:r>
      <w:r w:rsidRPr="00DF0DE1">
        <w:rPr>
          <w:rFonts w:eastAsia="Times New Roman" w:cs="Times New Roman"/>
          <w:b/>
          <w:bCs/>
          <w:szCs w:val="24"/>
        </w:rPr>
        <w:t xml:space="preserve"> Measures</w:t>
      </w:r>
      <w:r w:rsidR="004B0C04">
        <w:rPr>
          <w:rFonts w:eastAsia="Times New Roman" w:cs="Times New Roman"/>
          <w:b/>
          <w:bCs/>
          <w:szCs w:val="24"/>
        </w:rPr>
        <w:t xml:space="preserve"> of Interest</w:t>
      </w:r>
      <w:r w:rsidRPr="00DF0DE1">
        <w:rPr>
          <w:rFonts w:eastAsia="Times New Roman" w:cs="Times New Roman"/>
          <w:b/>
          <w:bCs/>
          <w:szCs w:val="24"/>
        </w:rPr>
        <w:t>.</w:t>
      </w:r>
      <w:r w:rsidR="003539C9">
        <w:rPr>
          <w:rFonts w:eastAsia="Times New Roman" w:cs="Times New Roman"/>
          <w:bCs/>
          <w:szCs w:val="24"/>
        </w:rPr>
        <w:t xml:space="preserve"> The </w:t>
      </w:r>
      <w:r w:rsidR="003539C9" w:rsidRPr="004D5FBC">
        <w:rPr>
          <w:rFonts w:eastAsia="Times New Roman" w:cs="Times New Roman"/>
          <w:bCs/>
          <w:i/>
          <w:szCs w:val="24"/>
        </w:rPr>
        <w:t>Milwaukee Inventory for Subtypes of Trichotillomania-Adult Version (MIST-A)</w:t>
      </w:r>
      <w:r w:rsidR="00A1284D">
        <w:rPr>
          <w:rFonts w:eastAsia="Times New Roman" w:cs="Times New Roman"/>
          <w:bCs/>
          <w:i/>
          <w:szCs w:val="24"/>
        </w:rPr>
        <w:t xml:space="preserve"> </w:t>
      </w:r>
      <w:r w:rsidR="00B51EA0">
        <w:rPr>
          <w:rFonts w:eastAsia="Times New Roman" w:cs="Times New Roman"/>
          <w:bCs/>
          <w:i/>
          <w:szCs w:val="24"/>
        </w:rPr>
        <w:fldChar w:fldCharType="begin" w:fldLock="1"/>
      </w:r>
      <w:r w:rsidR="00C064BE">
        <w:rPr>
          <w:rFonts w:eastAsia="Times New Roman" w:cs="Times New Roman"/>
          <w:bCs/>
          <w:i/>
          <w:szCs w:val="24"/>
        </w:rPr>
        <w:instrText>ADDIN CSL_CITATION {"citationItems":[{"id":"ITEM-1","itemData":{"DOI":"10.1007/s10862-007-9073-x","ISSN":"08822689","abstract":"This article describes the development of the Milwaukee Inventory for Subtypes of Trichotillomania- Adult Version (MIST-A), which was designed to assess “automatic” and “focused” pulling subtypes of trichotillo- mania (TTM). Participants reporting symptoms of TTM (n=1,697) completed an internet survey; participants were later randomly assigned to either Exploratory (n=848) or Confirmatory (n=849) Analyses. Exploratory Analyses examined the development and psychometric properties of the MIST-A. Results of an exploratory factor analysis revealed a two-factor solution. Factor 1 (“focused” pulling scale) and 2 (“automatic” pulling scale) consisted of ten and five items respectively, with both scales demonstrating adequate internal consistency and good construct and discriminant validity. Subsequent confirmatory factor anal- ysis demonstrated support for the scale’s underlying factor structure. The MIST-A provides researchers with a reliable and valid assessment of “automatic” and “focused” pulling, although replication using a clinically ascertained sample is necessary.","author":[{"dropping-particle":"","family":"Flessner","given":"Christopher A.","non-dropping-particle":"","parse-names":false,"suffix":""},{"dropping-particle":"","family":"Woods","given":"Douglas W.","non-dropping-particle":"","parse-names":false,"suffix":""},{"dropping-particle":"","family":"Franklin","given":"Martin E.","non-dropping-particle":"","parse-names":false,"suffix":""},{"dropping-particle":"","family":"Cashin","given":"Susan E.","non-dropping-particle":"","parse-names":false,"suffix":""},{"dropping-particle":"","family":"Keuthen","given":"Nancy J.","non-dropping-particle":"","parse-names":false,"suffix":""},{"dropping-particle":"","family":"Mansueto","given":"Charles S.","non-dropping-particle":"","parse-names":false,"suffix":""},{"dropping-particle":"","family":"Lerner","given":"Ethan","non-dropping-particle":"","parse-names":false,"suffix":""},{"dropping-particle":"","family":"Penzel","given":"Frederick","non-dropping-particle":"","parse-names":false,"suffix":""},{"dropping-particle":"","family":"Golomb","given":"Ruth","non-dropping-particle":"","parse-names":false,"suffix":""},{"dropping-particle":"","family":"Mouton-Odum","given":"Suzanne","non-dropping-particle":"","parse-names":false,"suffix":""},{"dropping-particle":"","family":"Novak","given":"Carl","non-dropping-particle":"","parse-names":false,"suffix":""},{"dropping-particle":"","family":"O'Sullivan","given":"Richard L.","non-dropping-particle":"","parse-names":false,"suffix":""},{"dropping-particle":"","family":"Pauls","given":"David","non-dropping-particle":"","parse-names":false,"suffix":""},{"dropping-particle":"","family":"Piacentini","given":"John","non-dropping-particle":"","parse-names":false,"suffix":""},{"dropping-particle":"","family":"Stein","given":"Dan","non-dropping-particle":"","parse-names":false,"suffix":""},{"dropping-particle":"","family":"Thienemann","given":"Margo","non-dropping-particle":"","parse-names":false,"suffix":""},{"dropping-particle":"","family":"Walkup","given":"John T.","non-dropping-particle":"","parse-names":false,"suffix":""},{"dropping-particle":"","family":"Wright","given":"Harry H.","non-dropping-particle":"","parse-names":false,"suffix":""}],"container-title":"Journal of Psychopathology and Behavioral Assessment","id":"ITEM-1","issue":"1","issued":{"date-parts":[["2008"]]},"page":"20-30","title":"The Milwaukee Inventory for Subtypes of Trichotillomania-Adult Version (MIST-A): Development of an instrument for the assessment of \"focused\" and \"automatic\" hair pulling","type":"article-journal","volume":"30"},"uris":["http://www.mendeley.com/documents/?uuid=09719b29-3c87-4269-a318-ac73da2006d8"]}],"mendeley":{"formattedCitation":"(Flessner et al., 2008)","plainTextFormattedCitation":"(Flessner et al., 2008)","previouslyFormattedCitation":"(Flessner et al., 2008)"},"properties":{"noteIndex":0},"schema":"https://github.com/citation-style-language/schema/raw/master/csl-citation.json"}</w:instrText>
      </w:r>
      <w:r w:rsidR="00B51EA0">
        <w:rPr>
          <w:rFonts w:eastAsia="Times New Roman" w:cs="Times New Roman"/>
          <w:bCs/>
          <w:i/>
          <w:szCs w:val="24"/>
        </w:rPr>
        <w:fldChar w:fldCharType="separate"/>
      </w:r>
      <w:r w:rsidR="00C064BE" w:rsidRPr="00C064BE">
        <w:rPr>
          <w:rFonts w:eastAsia="Times New Roman" w:cs="Times New Roman"/>
          <w:bCs/>
          <w:noProof/>
          <w:szCs w:val="24"/>
        </w:rPr>
        <w:t>(Flessner et al., 2008)</w:t>
      </w:r>
      <w:r w:rsidR="00B51EA0">
        <w:rPr>
          <w:rFonts w:eastAsia="Times New Roman" w:cs="Times New Roman"/>
          <w:bCs/>
          <w:i/>
          <w:szCs w:val="24"/>
        </w:rPr>
        <w:fldChar w:fldCharType="end"/>
      </w:r>
      <w:r w:rsidR="00827F7C">
        <w:rPr>
          <w:rFonts w:eastAsia="Times New Roman" w:cs="Times New Roman"/>
          <w:bCs/>
          <w:szCs w:val="24"/>
        </w:rPr>
        <w:t>, which</w:t>
      </w:r>
      <w:r w:rsidR="003539C9">
        <w:rPr>
          <w:rFonts w:eastAsia="Times New Roman" w:cs="Times New Roman"/>
          <w:bCs/>
          <w:szCs w:val="24"/>
        </w:rPr>
        <w:t xml:space="preserve"> </w:t>
      </w:r>
      <w:r w:rsidR="00443752">
        <w:rPr>
          <w:rFonts w:eastAsia="Times New Roman" w:cs="Times New Roman"/>
          <w:bCs/>
          <w:szCs w:val="24"/>
        </w:rPr>
        <w:t xml:space="preserve">has </w:t>
      </w:r>
      <w:r w:rsidR="003539C9">
        <w:rPr>
          <w:rFonts w:eastAsia="Times New Roman" w:cs="Times New Roman"/>
          <w:bCs/>
          <w:szCs w:val="24"/>
        </w:rPr>
        <w:t>a 10-item Focused subscale and a 5-item Automatic subscale</w:t>
      </w:r>
      <w:r w:rsidR="00827F7C">
        <w:rPr>
          <w:rFonts w:eastAsia="Times New Roman" w:cs="Times New Roman"/>
          <w:bCs/>
          <w:szCs w:val="24"/>
        </w:rPr>
        <w:t>, was used</w:t>
      </w:r>
      <w:r w:rsidR="003539C9">
        <w:rPr>
          <w:rFonts w:eastAsia="Times New Roman" w:cs="Times New Roman"/>
          <w:bCs/>
          <w:szCs w:val="24"/>
        </w:rPr>
        <w:t xml:space="preserve"> </w:t>
      </w:r>
      <w:r w:rsidR="00827F7C">
        <w:rPr>
          <w:rFonts w:eastAsia="Times New Roman" w:cs="Times New Roman"/>
          <w:bCs/>
          <w:szCs w:val="24"/>
        </w:rPr>
        <w:t xml:space="preserve">to </w:t>
      </w:r>
      <w:r w:rsidR="003539C9">
        <w:rPr>
          <w:rFonts w:eastAsia="Times New Roman" w:cs="Times New Roman"/>
          <w:bCs/>
          <w:szCs w:val="24"/>
        </w:rPr>
        <w:t>measure the degree to which respondents engage in focused and automatic pulling, respectively.</w:t>
      </w:r>
      <w:r w:rsidR="00827F7C">
        <w:rPr>
          <w:rFonts w:eastAsia="Times New Roman" w:cs="Times New Roman"/>
          <w:bCs/>
          <w:szCs w:val="24"/>
        </w:rPr>
        <w:t xml:space="preserve"> Evidence suggests this scale demonstrates adequate psychometric properties in TTM samples </w:t>
      </w:r>
      <w:r w:rsidR="00827F7C">
        <w:rPr>
          <w:rFonts w:eastAsia="Times New Roman" w:cs="Times New Roman"/>
          <w:bCs/>
          <w:szCs w:val="24"/>
        </w:rPr>
        <w:fldChar w:fldCharType="begin" w:fldLock="1"/>
      </w:r>
      <w:r w:rsidR="00C064BE">
        <w:rPr>
          <w:rFonts w:eastAsia="Times New Roman" w:cs="Times New Roman"/>
          <w:bCs/>
          <w:szCs w:val="24"/>
        </w:rPr>
        <w:instrText>ADDIN CSL_CITATION {"citationItems":[{"id":"ITEM-1","itemData":{"DOI":"10.1007/s10862-007-9073-x","ISSN":"08822689","abstract":"This article describes the development of the Milwaukee Inventory for Subtypes of Trichotillomania- Adult Version (MIST-A), which was designed to assess “automatic” and “focused” pulling subtypes of trichotillo- mania (TTM). Participants reporting symptoms of TTM (n=1,697) completed an internet survey; participants were later randomly assigned to either Exploratory (n=848) or Confirmatory (n=849) Analyses. Exploratory Analyses examined the development and psychometric properties of the MIST-A. Results of an exploratory factor analysis revealed a two-factor solution. Factor 1 (“focused” pulling scale) and 2 (“automatic” pulling scale) consisted of ten and five items respectively, with both scales demonstrating adequate internal consistency and good construct and discriminant validity. Subsequent confirmatory factor anal- ysis demonstrated support for the scale’s underlying factor structure. The MIST-A provides researchers with a reliable and valid assessment of “automatic” and “focused” pulling, although replication using a clinically ascertained sample is necessary.","author":[{"dropping-particle":"","family":"Flessner","given":"Christopher A.","non-dropping-particle":"","parse-names":false,"suffix":""},{"dropping-particle":"","family":"Woods","given":"Douglas W.","non-dropping-particle":"","parse-names":false,"suffix":""},{"dropping-particle":"","family":"Franklin","given":"Martin E.","non-dropping-particle":"","parse-names":false,"suffix":""},{"dropping-particle":"","family":"Cashin","given":"Susan E.","non-dropping-particle":"","parse-names":false,"suffix":""},{"dropping-particle":"","family":"Keuthen","given":"Nancy J.","non-dropping-particle":"","parse-names":false,"suffix":""},{"dropping-particle":"","family":"Mansueto","given":"Charles S.","non-dropping-particle":"","parse-names":false,"suffix":""},{"dropping-particle":"","family":"Lerner","given":"Ethan","non-dropping-particle":"","parse-names":false,"suffix":""},{"dropping-particle":"","family":"Penzel","given":"Frederick","non-dropping-particle":"","parse-names":false,"suffix":""},{"dropping-particle":"","family":"Golomb","given":"Ruth","non-dropping-particle":"","parse-names":false,"suffix":""},{"dropping-particle":"","family":"Mouton-Odum","given":"Suzanne","non-dropping-particle":"","parse-names":false,"suffix":""},{"dropping-particle":"","family":"Novak","given":"Carl","non-dropping-particle":"","parse-names":false,"suffix":""},{"dropping-particle":"","family":"O'Sullivan","given":"Richard L.","non-dropping-particle":"","parse-names":false,"suffix":""},{"dropping-particle":"","family":"Pauls","given":"David","non-dropping-particle":"","parse-names":false,"suffix":""},{"dropping-particle":"","family":"Piacentini","given":"John","non-dropping-particle":"","parse-names":false,"suffix":""},{"dropping-particle":"","family":"Stein","given":"Dan","non-dropping-particle":"","parse-names":false,"suffix":""},{"dropping-particle":"","family":"Thienemann","given":"Margo","non-dropping-particle":"","parse-names":false,"suffix":""},{"dropping-particle":"","family":"Walkup","given":"John T.","non-dropping-particle":"","parse-names":false,"suffix":""},{"dropping-particle":"","family":"Wright","given":"Harry H.","non-dropping-particle":"","parse-names":false,"suffix":""}],"container-title":"Journal of Psychopathology and Behavioral Assessment","id":"ITEM-1","issue":"1","issued":{"date-parts":[["2008"]]},"page":"20-30","title":"The Milwaukee Inventory for Subtypes of Trichotillomania-Adult Version (MIST-A): Development of an instrument for the assessment of \"focused\" and \"automatic\" hair pulling","type":"article-journal","volume":"30"},"uris":["http://www.mendeley.com/documents/?uuid=09719b29-3c87-4269-a318-ac73da2006d8"]}],"mendeley":{"formattedCitation":"(Flessner et al., 2008)","plainTextFormattedCitation":"(Flessner et al., 2008)","previouslyFormattedCitation":"(Flessner et al., 2008)"},"properties":{"noteIndex":0},"schema":"https://github.com/citation-style-language/schema/raw/master/csl-citation.json"}</w:instrText>
      </w:r>
      <w:r w:rsidR="00827F7C">
        <w:rPr>
          <w:rFonts w:eastAsia="Times New Roman" w:cs="Times New Roman"/>
          <w:bCs/>
          <w:szCs w:val="24"/>
        </w:rPr>
        <w:fldChar w:fldCharType="separate"/>
      </w:r>
      <w:r w:rsidR="00C064BE" w:rsidRPr="00C064BE">
        <w:rPr>
          <w:rFonts w:eastAsia="Times New Roman" w:cs="Times New Roman"/>
          <w:bCs/>
          <w:noProof/>
          <w:szCs w:val="24"/>
        </w:rPr>
        <w:t>(Flessner et al., 2008)</w:t>
      </w:r>
      <w:r w:rsidR="00827F7C">
        <w:rPr>
          <w:rFonts w:eastAsia="Times New Roman" w:cs="Times New Roman"/>
          <w:bCs/>
          <w:szCs w:val="24"/>
        </w:rPr>
        <w:fldChar w:fldCharType="end"/>
      </w:r>
      <w:r w:rsidR="00827F7C">
        <w:rPr>
          <w:rFonts w:eastAsia="Times New Roman" w:cs="Times New Roman"/>
          <w:bCs/>
          <w:szCs w:val="24"/>
        </w:rPr>
        <w:t>.</w:t>
      </w:r>
    </w:p>
    <w:p w14:paraId="5AC89D2F" w14:textId="1C5A68E6" w:rsidR="004B0C04" w:rsidRPr="004B0C04" w:rsidRDefault="00A62C3C" w:rsidP="00CF2EEA">
      <w:pPr>
        <w:widowControl w:val="0"/>
        <w:spacing w:line="480" w:lineRule="auto"/>
        <w:ind w:firstLine="720"/>
        <w:rPr>
          <w:rFonts w:eastAsia="Times New Roman" w:cs="Times New Roman"/>
          <w:szCs w:val="24"/>
        </w:rPr>
      </w:pPr>
      <w:r>
        <w:rPr>
          <w:rFonts w:eastAsia="Times New Roman" w:cs="Times New Roman"/>
          <w:szCs w:val="24"/>
        </w:rPr>
        <w:t>T</w:t>
      </w:r>
      <w:r w:rsidR="002377BC">
        <w:rPr>
          <w:rFonts w:eastAsia="Times New Roman" w:cs="Times New Roman"/>
          <w:szCs w:val="24"/>
        </w:rPr>
        <w:t>he</w:t>
      </w:r>
      <w:r w:rsidR="004B0C04" w:rsidRPr="001E43B0">
        <w:rPr>
          <w:rFonts w:eastAsia="Times New Roman" w:cs="Times New Roman"/>
          <w:szCs w:val="24"/>
        </w:rPr>
        <w:t xml:space="preserve"> </w:t>
      </w:r>
      <w:r w:rsidR="004B0C04" w:rsidRPr="004D5FBC">
        <w:rPr>
          <w:rFonts w:eastAsia="Times New Roman" w:cs="Times New Roman"/>
          <w:i/>
          <w:iCs/>
          <w:szCs w:val="24"/>
        </w:rPr>
        <w:t>Treatment Evaluation Inventory-Short Form (TEI-SF</w:t>
      </w:r>
      <w:r w:rsidR="004B0C04" w:rsidRPr="004D5FBC">
        <w:rPr>
          <w:rFonts w:eastAsia="Times New Roman" w:cs="Times New Roman"/>
          <w:i/>
          <w:szCs w:val="24"/>
        </w:rPr>
        <w:t>)</w:t>
      </w:r>
      <w:r w:rsidR="00A1284D">
        <w:rPr>
          <w:rFonts w:eastAsia="Times New Roman" w:cs="Times New Roman"/>
          <w:i/>
          <w:szCs w:val="24"/>
        </w:rPr>
        <w:t xml:space="preserve"> </w:t>
      </w:r>
      <w:r w:rsidR="004B0C04">
        <w:rPr>
          <w:rFonts w:eastAsia="Times New Roman" w:cs="Times New Roman"/>
          <w:szCs w:val="24"/>
        </w:rPr>
        <w:fldChar w:fldCharType="begin" w:fldLock="1"/>
      </w:r>
      <w:r w:rsidR="00C064BE">
        <w:rPr>
          <w:rFonts w:eastAsia="Times New Roman" w:cs="Times New Roman"/>
          <w:szCs w:val="24"/>
        </w:rPr>
        <w:instrText>ADDIN CSL_CITATION {"citationItems":[{"id":"ITEM-1","itemData":{"DOI":"10.1007/BF00960495","ISBN":"1111111111","ISSN":"08822689","abstract":"Kazdin's (1980a) Treatment Evaluation Inventory (TEI) is the major instrument used to assess parents' acceptance of procedures for behavior problem children. The length of the TEI, however, as well as problems with its scaling and wording limits its value as a clinical research instrument. In the present study, three experiments were conducted to develop a modified TEI. In Experiment 1, 153 parents completed the TEI to evaluate a behavioral treatment for noncompliant and oppositional children. A factor analysis of the data was used to obtain a reliable factor structure for the TEI and to construct a 9-item TEI-Short Form (TEI-SF) with a 5-point scale, consistent anchors on the scale, and simplified text and instructions. Experiment 2 evaluated the psychometric characteristics of the TEI and the TEI-SF. These data indicated the TEI-SF is a sound alternative to the original TEI. Experiment 3 compared the readability and completion time of the two instruments.","author":[{"dropping-particle":"","family":"Kelley","given":"Mary L.","non-dropping-particle":"","parse-names":false,"suffix":""},{"dropping-particle":"","family":"Heffer","given":"Robert W.","non-dropping-particle":"","parse-names":false,"suffix":""},{"dropping-particle":"","family":"Gresham","given":"Frank M.","non-dropping-particle":"","parse-names":false,"suffix":""},{"dropping-particle":"","family":"Elliott","given":"Stephen N.","non-dropping-particle":"","parse-names":false,"suffix":""}],"container-title":"Journal of Psychopathology and Behavioral Assessment","id":"ITEM-1","issue":"3","issued":{"date-parts":[["1989"]]},"page":"235-247","title":"Development of a modified treatment evaluation inventory","type":"article-journal","volume":"11"},"uris":["http://www.mendeley.com/documents/?uuid=cc825f94-1c7f-466c-b7d0-a4849bec4891"]}],"mendeley":{"formattedCitation":"(Kelley et al., 1989)","plainTextFormattedCitation":"(Kelley et al., 1989)","previouslyFormattedCitation":"(Kelley et al., 1989)"},"properties":{"noteIndex":0},"schema":"https://github.com/citation-style-language/schema/raw/master/csl-citation.json"}</w:instrText>
      </w:r>
      <w:r w:rsidR="004B0C04">
        <w:rPr>
          <w:rFonts w:eastAsia="Times New Roman" w:cs="Times New Roman"/>
          <w:szCs w:val="24"/>
        </w:rPr>
        <w:fldChar w:fldCharType="separate"/>
      </w:r>
      <w:r w:rsidR="00C064BE" w:rsidRPr="00C064BE">
        <w:rPr>
          <w:rFonts w:eastAsia="Times New Roman" w:cs="Times New Roman"/>
          <w:noProof/>
          <w:szCs w:val="24"/>
        </w:rPr>
        <w:t>(Kelley et al., 1989)</w:t>
      </w:r>
      <w:r w:rsidR="004B0C04">
        <w:rPr>
          <w:rFonts w:eastAsia="Times New Roman" w:cs="Times New Roman"/>
          <w:szCs w:val="24"/>
        </w:rPr>
        <w:fldChar w:fldCharType="end"/>
      </w:r>
      <w:r>
        <w:rPr>
          <w:rFonts w:eastAsia="Times New Roman" w:cs="Times New Roman"/>
          <w:szCs w:val="24"/>
        </w:rPr>
        <w:t>, a validated measure that was originally developed as a parent-report measure of treatment acceptability, was modified so that it could be completed as a self-report measure of treatment acceptability</w:t>
      </w:r>
      <w:r w:rsidR="006C1E6C">
        <w:rPr>
          <w:rFonts w:eastAsia="Times New Roman" w:cs="Times New Roman"/>
          <w:szCs w:val="24"/>
        </w:rPr>
        <w:t xml:space="preserve">. The TEI-SF was </w:t>
      </w:r>
      <w:r w:rsidR="002377BC">
        <w:rPr>
          <w:rFonts w:eastAsia="Times New Roman" w:cs="Times New Roman"/>
          <w:szCs w:val="24"/>
        </w:rPr>
        <w:t>administered at the week 12 assessment</w:t>
      </w:r>
      <w:r w:rsidR="006B4C8C">
        <w:rPr>
          <w:rFonts w:eastAsia="Times New Roman" w:cs="Times New Roman"/>
          <w:szCs w:val="24"/>
        </w:rPr>
        <w:t xml:space="preserve">. </w:t>
      </w:r>
      <w:r w:rsidR="002377BC">
        <w:rPr>
          <w:rFonts w:eastAsia="Times New Roman" w:cs="Times New Roman"/>
          <w:szCs w:val="24"/>
        </w:rPr>
        <w:t xml:space="preserve">This 7-item </w:t>
      </w:r>
      <w:r>
        <w:rPr>
          <w:rFonts w:eastAsia="Times New Roman" w:cs="Times New Roman"/>
          <w:szCs w:val="24"/>
        </w:rPr>
        <w:t xml:space="preserve">modified </w:t>
      </w:r>
      <w:r w:rsidR="002377BC">
        <w:rPr>
          <w:rFonts w:eastAsia="Times New Roman" w:cs="Times New Roman"/>
          <w:szCs w:val="24"/>
        </w:rPr>
        <w:t>instrument yielded total scores ranging from</w:t>
      </w:r>
      <w:r w:rsidR="004B0C04" w:rsidRPr="001E43B0">
        <w:rPr>
          <w:rFonts w:eastAsia="Times New Roman" w:cs="Times New Roman"/>
          <w:szCs w:val="24"/>
        </w:rPr>
        <w:t xml:space="preserve"> 0-</w:t>
      </w:r>
      <w:r w:rsidR="002377BC">
        <w:rPr>
          <w:rFonts w:eastAsia="Times New Roman" w:cs="Times New Roman"/>
          <w:szCs w:val="24"/>
        </w:rPr>
        <w:t>3</w:t>
      </w:r>
      <w:r w:rsidR="004B0C04" w:rsidRPr="001E43B0">
        <w:rPr>
          <w:rFonts w:eastAsia="Times New Roman" w:cs="Times New Roman"/>
          <w:szCs w:val="24"/>
        </w:rPr>
        <w:t>5</w:t>
      </w:r>
      <w:r w:rsidR="004B6A00">
        <w:rPr>
          <w:rFonts w:eastAsia="Times New Roman" w:cs="Times New Roman"/>
          <w:szCs w:val="24"/>
        </w:rPr>
        <w:t xml:space="preserve">, with </w:t>
      </w:r>
      <w:r w:rsidR="004B0C04" w:rsidRPr="001E43B0">
        <w:rPr>
          <w:rFonts w:eastAsia="Times New Roman" w:cs="Times New Roman"/>
          <w:szCs w:val="24"/>
        </w:rPr>
        <w:t>higher scores reflect</w:t>
      </w:r>
      <w:r w:rsidR="004B6A00">
        <w:rPr>
          <w:rFonts w:eastAsia="Times New Roman" w:cs="Times New Roman"/>
          <w:szCs w:val="24"/>
        </w:rPr>
        <w:t>ing</w:t>
      </w:r>
      <w:r w:rsidR="004B0C04" w:rsidRPr="001E43B0">
        <w:rPr>
          <w:rFonts w:eastAsia="Times New Roman" w:cs="Times New Roman"/>
          <w:szCs w:val="24"/>
        </w:rPr>
        <w:t xml:space="preserve"> greater acceptability</w:t>
      </w:r>
      <w:r w:rsidR="002377BC">
        <w:rPr>
          <w:rFonts w:eastAsia="Times New Roman" w:cs="Times New Roman"/>
          <w:szCs w:val="24"/>
        </w:rPr>
        <w:t>.</w:t>
      </w:r>
    </w:p>
    <w:p w14:paraId="6BA44B22" w14:textId="7E37F2AE" w:rsidR="001E43B0" w:rsidRDefault="001E43B0" w:rsidP="00CF2EEA">
      <w:pPr>
        <w:widowControl w:val="0"/>
        <w:spacing w:line="480" w:lineRule="auto"/>
        <w:ind w:firstLine="720"/>
        <w:rPr>
          <w:rFonts w:eastAsia="Times New Roman" w:cs="Times New Roman"/>
          <w:szCs w:val="24"/>
        </w:rPr>
      </w:pPr>
      <w:r w:rsidRPr="009A52F4">
        <w:rPr>
          <w:rFonts w:eastAsia="Times New Roman" w:cs="Times New Roman"/>
          <w:b/>
          <w:bCs/>
          <w:iCs/>
          <w:szCs w:val="24"/>
        </w:rPr>
        <w:t>Adverse Event Review.</w:t>
      </w:r>
      <w:r w:rsidRPr="001A0A5C">
        <w:rPr>
          <w:rFonts w:eastAsia="Times New Roman" w:cs="Times New Roman"/>
          <w:bCs/>
          <w:iCs/>
          <w:szCs w:val="24"/>
        </w:rPr>
        <w:t xml:space="preserve"> </w:t>
      </w:r>
      <w:r w:rsidR="00E74D20">
        <w:rPr>
          <w:rFonts w:eastAsia="Times New Roman" w:cs="Times New Roman"/>
          <w:szCs w:val="24"/>
        </w:rPr>
        <w:t>At each visit, th</w:t>
      </w:r>
      <w:r w:rsidR="00E74D20" w:rsidRPr="00262C58">
        <w:rPr>
          <w:rFonts w:eastAsia="Times New Roman" w:cs="Times New Roman"/>
          <w:szCs w:val="24"/>
        </w:rPr>
        <w:t xml:space="preserve">e </w:t>
      </w:r>
      <w:r w:rsidR="00E74D20">
        <w:rPr>
          <w:rFonts w:eastAsia="Times New Roman" w:cs="Times New Roman"/>
          <w:szCs w:val="24"/>
        </w:rPr>
        <w:t xml:space="preserve">treating clinician </w:t>
      </w:r>
      <w:r w:rsidR="00E74D20" w:rsidRPr="00262C58">
        <w:rPr>
          <w:rFonts w:eastAsia="Times New Roman" w:cs="Times New Roman"/>
          <w:szCs w:val="24"/>
        </w:rPr>
        <w:t>inquir</w:t>
      </w:r>
      <w:r w:rsidR="00A05D74">
        <w:rPr>
          <w:rFonts w:eastAsia="Times New Roman" w:cs="Times New Roman"/>
          <w:szCs w:val="24"/>
        </w:rPr>
        <w:t>ed about</w:t>
      </w:r>
      <w:r w:rsidR="00E74D20" w:rsidRPr="00262C58">
        <w:rPr>
          <w:rFonts w:eastAsia="Times New Roman" w:cs="Times New Roman"/>
          <w:szCs w:val="24"/>
        </w:rPr>
        <w:t xml:space="preserve"> health complaints, recent </w:t>
      </w:r>
      <w:proofErr w:type="gramStart"/>
      <w:r w:rsidR="00E74D20" w:rsidRPr="00262C58">
        <w:rPr>
          <w:rFonts w:eastAsia="Times New Roman" w:cs="Times New Roman"/>
          <w:szCs w:val="24"/>
        </w:rPr>
        <w:t>illness</w:t>
      </w:r>
      <w:proofErr w:type="gramEnd"/>
      <w:r w:rsidR="00E74D20" w:rsidRPr="00262C58">
        <w:rPr>
          <w:rFonts w:eastAsia="Times New Roman" w:cs="Times New Roman"/>
          <w:szCs w:val="24"/>
        </w:rPr>
        <w:t xml:space="preserve"> or injury, </w:t>
      </w:r>
      <w:r w:rsidR="00E74D20">
        <w:rPr>
          <w:rFonts w:eastAsia="Times New Roman" w:cs="Times New Roman"/>
          <w:szCs w:val="24"/>
        </w:rPr>
        <w:t xml:space="preserve">or </w:t>
      </w:r>
      <w:r w:rsidR="00E74D20" w:rsidRPr="00262C58">
        <w:rPr>
          <w:rFonts w:eastAsia="Times New Roman" w:cs="Times New Roman"/>
          <w:szCs w:val="24"/>
        </w:rPr>
        <w:t>need for medical consultation</w:t>
      </w:r>
      <w:r w:rsidR="00E74D20">
        <w:rPr>
          <w:rFonts w:eastAsia="Times New Roman" w:cs="Times New Roman"/>
          <w:szCs w:val="24"/>
        </w:rPr>
        <w:t xml:space="preserve"> since the previous assessment. </w:t>
      </w:r>
      <w:r w:rsidR="00A05D74">
        <w:rPr>
          <w:rFonts w:eastAsia="Times New Roman" w:cs="Times New Roman"/>
          <w:szCs w:val="24"/>
        </w:rPr>
        <w:t>C</w:t>
      </w:r>
      <w:r w:rsidR="00A05D74" w:rsidRPr="00262C58">
        <w:rPr>
          <w:rFonts w:eastAsia="Times New Roman" w:cs="Times New Roman"/>
          <w:szCs w:val="24"/>
        </w:rPr>
        <w:t xml:space="preserve">omplaints </w:t>
      </w:r>
      <w:r w:rsidR="00A05D74">
        <w:rPr>
          <w:rFonts w:eastAsia="Times New Roman" w:cs="Times New Roman"/>
          <w:szCs w:val="24"/>
        </w:rPr>
        <w:t>were coded as “m</w:t>
      </w:r>
      <w:r w:rsidR="00A05D74" w:rsidRPr="00262C58">
        <w:rPr>
          <w:rFonts w:eastAsia="Times New Roman" w:cs="Times New Roman"/>
          <w:szCs w:val="24"/>
        </w:rPr>
        <w:t>ild,</w:t>
      </w:r>
      <w:r w:rsidR="00A05D74">
        <w:rPr>
          <w:rFonts w:eastAsia="Times New Roman" w:cs="Times New Roman"/>
          <w:szCs w:val="24"/>
        </w:rPr>
        <w:t>” “m</w:t>
      </w:r>
      <w:r w:rsidR="00A05D74" w:rsidRPr="00262C58">
        <w:rPr>
          <w:rFonts w:eastAsia="Times New Roman" w:cs="Times New Roman"/>
          <w:szCs w:val="24"/>
        </w:rPr>
        <w:t>oderate,</w:t>
      </w:r>
      <w:r w:rsidR="00A05D74">
        <w:rPr>
          <w:rFonts w:eastAsia="Times New Roman" w:cs="Times New Roman"/>
          <w:szCs w:val="24"/>
        </w:rPr>
        <w:t>”</w:t>
      </w:r>
      <w:r w:rsidR="00A05D74" w:rsidRPr="00262C58">
        <w:rPr>
          <w:rFonts w:eastAsia="Times New Roman" w:cs="Times New Roman"/>
          <w:szCs w:val="24"/>
        </w:rPr>
        <w:t xml:space="preserve"> </w:t>
      </w:r>
      <w:r w:rsidR="00A05D74">
        <w:rPr>
          <w:rFonts w:eastAsia="Times New Roman" w:cs="Times New Roman"/>
          <w:szCs w:val="24"/>
        </w:rPr>
        <w:t xml:space="preserve">“severe,” or “serious.” </w:t>
      </w:r>
      <w:r w:rsidR="00B87C2C">
        <w:rPr>
          <w:rFonts w:eastAsia="Times New Roman" w:cs="Times New Roman"/>
          <w:szCs w:val="24"/>
        </w:rPr>
        <w:t xml:space="preserve">As indicated by the </w:t>
      </w:r>
      <w:r w:rsidR="00A4554E">
        <w:rPr>
          <w:rFonts w:eastAsia="Times New Roman" w:cs="Times New Roman"/>
          <w:szCs w:val="24"/>
        </w:rPr>
        <w:t>treating</w:t>
      </w:r>
      <w:r w:rsidR="00B87C2C">
        <w:rPr>
          <w:rFonts w:eastAsia="Times New Roman" w:cs="Times New Roman"/>
          <w:szCs w:val="24"/>
        </w:rPr>
        <w:t xml:space="preserve"> clinician</w:t>
      </w:r>
      <w:r w:rsidR="00A4554E">
        <w:rPr>
          <w:rFonts w:eastAsia="Times New Roman" w:cs="Times New Roman"/>
          <w:szCs w:val="24"/>
        </w:rPr>
        <w:t>s</w:t>
      </w:r>
      <w:r w:rsidR="00B87C2C">
        <w:rPr>
          <w:rFonts w:eastAsia="Times New Roman" w:cs="Times New Roman"/>
          <w:szCs w:val="24"/>
        </w:rPr>
        <w:t>, n</w:t>
      </w:r>
      <w:r w:rsidR="007A097E">
        <w:rPr>
          <w:rFonts w:eastAsia="Times New Roman" w:cs="Times New Roman"/>
          <w:szCs w:val="24"/>
        </w:rPr>
        <w:t>one of these reported events</w:t>
      </w:r>
      <w:r w:rsidR="00B87C2C">
        <w:rPr>
          <w:rFonts w:eastAsia="Times New Roman" w:cs="Times New Roman"/>
          <w:szCs w:val="24"/>
        </w:rPr>
        <w:t xml:space="preserve"> appeared to be</w:t>
      </w:r>
      <w:r w:rsidR="007A097E">
        <w:rPr>
          <w:rFonts w:eastAsia="Times New Roman" w:cs="Times New Roman"/>
          <w:szCs w:val="24"/>
        </w:rPr>
        <w:t xml:space="preserve"> </w:t>
      </w:r>
      <w:r w:rsidR="00E74D20" w:rsidRPr="00262C58">
        <w:rPr>
          <w:rFonts w:eastAsia="Times New Roman" w:cs="Times New Roman"/>
          <w:szCs w:val="24"/>
        </w:rPr>
        <w:t xml:space="preserve">related to </w:t>
      </w:r>
      <w:r w:rsidR="00B87C2C">
        <w:rPr>
          <w:rFonts w:eastAsia="Times New Roman" w:cs="Times New Roman"/>
          <w:szCs w:val="24"/>
        </w:rPr>
        <w:t>study participation</w:t>
      </w:r>
      <w:r w:rsidR="00E74D20" w:rsidRPr="00262C58">
        <w:rPr>
          <w:rFonts w:eastAsia="Times New Roman" w:cs="Times New Roman"/>
          <w:szCs w:val="24"/>
        </w:rPr>
        <w:t>.</w:t>
      </w:r>
    </w:p>
    <w:p w14:paraId="3872DC9E" w14:textId="6AE84AFC" w:rsidR="00960261" w:rsidRDefault="00960261" w:rsidP="00CF2EEA">
      <w:pPr>
        <w:pStyle w:val="Heading2"/>
        <w:keepNext w:val="0"/>
        <w:keepLines w:val="0"/>
        <w:widowControl w:val="0"/>
        <w:spacing w:line="480" w:lineRule="auto"/>
      </w:pPr>
      <w:r w:rsidRPr="009C0AED">
        <w:t>Assessment</w:t>
      </w:r>
      <w:r w:rsidR="00F97465">
        <w:t xml:space="preserve"> Integrity Procedures</w:t>
      </w:r>
    </w:p>
    <w:p w14:paraId="62905B76" w14:textId="1A0278C1" w:rsidR="00E07A6E" w:rsidRPr="00961134" w:rsidRDefault="00C901AD" w:rsidP="00E07A6E">
      <w:pPr>
        <w:widowControl w:val="0"/>
        <w:spacing w:line="480" w:lineRule="auto"/>
        <w:ind w:firstLine="720"/>
        <w:rPr>
          <w:rFonts w:eastAsia="Times New Roman" w:cs="Times New Roman"/>
          <w:szCs w:val="24"/>
        </w:rPr>
      </w:pPr>
      <w:r>
        <w:rPr>
          <w:rFonts w:eastAsia="Times New Roman" w:cs="Times New Roman"/>
          <w:szCs w:val="24"/>
        </w:rPr>
        <w:t>Assessment integrity p</w:t>
      </w:r>
      <w:r w:rsidR="000306A9">
        <w:rPr>
          <w:rFonts w:eastAsia="Times New Roman" w:cs="Times New Roman"/>
          <w:szCs w:val="24"/>
        </w:rPr>
        <w:t>rocedures</w:t>
      </w:r>
      <w:r w:rsidR="00A1284D">
        <w:rPr>
          <w:rFonts w:eastAsia="Times New Roman" w:cs="Times New Roman"/>
          <w:szCs w:val="24"/>
        </w:rPr>
        <w:t xml:space="preserve"> </w:t>
      </w:r>
      <w:r w:rsidR="009C0AED" w:rsidRPr="001C3770">
        <w:rPr>
          <w:rFonts w:eastAsia="Times New Roman" w:cs="Times New Roman"/>
          <w:szCs w:val="24"/>
        </w:rPr>
        <w:fldChar w:fldCharType="begin" w:fldLock="1"/>
      </w:r>
      <w:r w:rsidR="005A521A">
        <w:rPr>
          <w:rFonts w:eastAsia="Times New Roman" w:cs="Times New Roman"/>
          <w:szCs w:val="24"/>
        </w:rPr>
        <w:instrText>ADDIN CSL_CITATION {"citationItems":[{"id":"ITEM-1","itemData":{"DOI":"10.1521/bumc_2019_83_04","author":[{"dropping-particle":"","family":"Neal-Barnett","given":"Angela M.","non-dropping-particle":"","parse-names":false,"suffix":""},{"dropping-particle":"","family":"Woods","given":"Douglas W.","non-dropping-particle":"","parse-names":false,"suffix":""},{"dropping-particle":"","family":"Espil","given":"Flint M.","non-dropping-particle":"","parse-names":false,"suffix":""},{"dropping-particle":"","family":"Davis","given":"Martale","non-dropping-particle":"","parse-names":false,"suffix":""},{"dropping-particle":"","family":"Alexander","given":"Jennifer R.","non-dropping-particle":"","parse-names":false,"suffix":""},{"dropping-particle":"","family":"Compton","given":"Scott N.","non-dropping-particle":"","parse-names":false,"suffix":""},{"dropping-particle":"","family":"Walther","given":"Michael R.","non-dropping-particle":"","parse-names":false,"suffix":""},{"dropping-particle":"","family":"Twohig","given":"Michael P.","non-dropping-particle":"","parse-names":false,"suffix":""},{"dropping-particle":"","family":"Saunders","given":"Stephen M.","non-dropping-particle":"","parse-names":false,"suffix":""},{"dropping-particle":"","family":"Cahill","given":"Shawn P.","non-dropping-particle":"","parse-names":false,"suffix":""},{"dropping-particle":"","family":"Franklin","given":"Martin E.","non-dropping-particle":"","parse-names":false,"suffix":""}],"container-title":"Bulletin of the Menninger Clinic","id":"ITEM-1","issue":"4","issued":{"date-parts":[["2019"]]},"page":"399-431","title":"Acceptance-enhanced Behavior Therapy for Trichotillomania: Randomized controlled trial rationale, methods and strategies for recruiting minority participants","type":"article-journal","volume":"83"},"uris":["http://www.mendeley.com/documents/?uuid=5f30b163-f333-44b7-90e5-1105a5758fe9"]}],"mendeley":{"formattedCitation":"(Neal-Barnett et al., 2019)","plainTextFormattedCitation":"(Neal-Barnett et al., 2019)","previouslyFormattedCitation":"(Neal-Barnett et al., 2019)"},"properties":{"noteIndex":0},"schema":"https://github.com/citation-style-language/schema/raw/master/csl-citation.json"}</w:instrText>
      </w:r>
      <w:r w:rsidR="009C0AED" w:rsidRPr="001C3770">
        <w:rPr>
          <w:rFonts w:eastAsia="Times New Roman" w:cs="Times New Roman"/>
          <w:szCs w:val="24"/>
        </w:rPr>
        <w:fldChar w:fldCharType="separate"/>
      </w:r>
      <w:r w:rsidR="00491BEB" w:rsidRPr="00491BEB">
        <w:rPr>
          <w:rFonts w:eastAsia="Times New Roman" w:cs="Times New Roman"/>
          <w:noProof/>
          <w:szCs w:val="24"/>
        </w:rPr>
        <w:t>(Neal-Barnett et al., 2019)</w:t>
      </w:r>
      <w:r w:rsidR="009C0AED" w:rsidRPr="001C3770">
        <w:rPr>
          <w:rFonts w:eastAsia="Times New Roman" w:cs="Times New Roman"/>
          <w:szCs w:val="24"/>
        </w:rPr>
        <w:fldChar w:fldCharType="end"/>
      </w:r>
      <w:r w:rsidR="005D3C5D">
        <w:rPr>
          <w:rFonts w:eastAsia="Times New Roman" w:cs="Times New Roman"/>
          <w:szCs w:val="24"/>
        </w:rPr>
        <w:t xml:space="preserve"> </w:t>
      </w:r>
      <w:r>
        <w:rPr>
          <w:rFonts w:eastAsia="Times New Roman" w:cs="Times New Roman"/>
          <w:szCs w:val="24"/>
        </w:rPr>
        <w:t xml:space="preserve">involved videotaping all IE-conducted assessments </w:t>
      </w:r>
      <w:r w:rsidRPr="004C53FA">
        <w:rPr>
          <w:rFonts w:eastAsia="Times New Roman" w:cs="Times New Roman"/>
          <w:szCs w:val="24"/>
        </w:rPr>
        <w:t xml:space="preserve">and </w:t>
      </w:r>
      <w:r w:rsidR="00F97465">
        <w:rPr>
          <w:rFonts w:eastAsia="Times New Roman" w:cs="Times New Roman"/>
          <w:szCs w:val="24"/>
        </w:rPr>
        <w:t xml:space="preserve">having </w:t>
      </w:r>
      <w:r w:rsidR="00F97465" w:rsidRPr="004C53FA">
        <w:rPr>
          <w:rFonts w:eastAsia="Times New Roman" w:cs="Times New Roman"/>
          <w:szCs w:val="24"/>
        </w:rPr>
        <w:t>the study’s assessment consultant (M.E.F.)</w:t>
      </w:r>
      <w:r w:rsidR="00F97465">
        <w:rPr>
          <w:rFonts w:eastAsia="Times New Roman" w:cs="Times New Roman"/>
          <w:szCs w:val="24"/>
        </w:rPr>
        <w:t xml:space="preserve"> </w:t>
      </w:r>
      <w:r w:rsidRPr="004C53FA">
        <w:rPr>
          <w:rFonts w:eastAsia="Times New Roman" w:cs="Times New Roman"/>
          <w:szCs w:val="24"/>
        </w:rPr>
        <w:t xml:space="preserve">randomly screen </w:t>
      </w:r>
      <w:r w:rsidR="00503FF9" w:rsidRPr="004C53FA">
        <w:rPr>
          <w:rFonts w:eastAsia="Times New Roman" w:cs="Times New Roman"/>
          <w:szCs w:val="24"/>
        </w:rPr>
        <w:t>4</w:t>
      </w:r>
      <w:r w:rsidRPr="004C53FA">
        <w:rPr>
          <w:rFonts w:eastAsia="Times New Roman" w:cs="Times New Roman"/>
          <w:szCs w:val="24"/>
        </w:rPr>
        <w:t>% of these assessments for integrity and accuracy.</w:t>
      </w:r>
      <w:r w:rsidR="00233D7F" w:rsidRPr="004C53FA">
        <w:rPr>
          <w:rFonts w:eastAsia="Times New Roman" w:cs="Times New Roman"/>
          <w:szCs w:val="24"/>
        </w:rPr>
        <w:t xml:space="preserve"> </w:t>
      </w:r>
      <w:r w:rsidR="00F97465" w:rsidRPr="004C53FA">
        <w:rPr>
          <w:rFonts w:eastAsia="Times New Roman" w:cs="Times New Roman"/>
          <w:szCs w:val="24"/>
        </w:rPr>
        <w:t xml:space="preserve">None of the IEs demonstrated </w:t>
      </w:r>
      <w:r w:rsidR="00F97465" w:rsidRPr="00961134">
        <w:rPr>
          <w:rFonts w:eastAsia="Times New Roman" w:cs="Times New Roman"/>
          <w:szCs w:val="24"/>
        </w:rPr>
        <w:t>significant drift in any of the viewed videotapes.</w:t>
      </w:r>
      <w:r w:rsidR="00F97465">
        <w:rPr>
          <w:rFonts w:eastAsia="Times New Roman" w:cs="Times New Roman"/>
          <w:szCs w:val="24"/>
        </w:rPr>
        <w:t xml:space="preserve"> </w:t>
      </w:r>
      <w:r w:rsidR="00E07A6E" w:rsidRPr="004C53FA">
        <w:rPr>
          <w:rFonts w:eastAsia="Times New Roman" w:cs="Times New Roman"/>
          <w:szCs w:val="24"/>
        </w:rPr>
        <w:t>Regular teleconference calls were held to promote cross-</w:t>
      </w:r>
      <w:r w:rsidR="00E07A6E" w:rsidRPr="004C53FA">
        <w:rPr>
          <w:rFonts w:eastAsia="Times New Roman" w:cs="Times New Roman"/>
          <w:szCs w:val="24"/>
        </w:rPr>
        <w:lastRenderedPageBreak/>
        <w:t>rater treatment integrity and to address clinical issues that arose in the assessment context.</w:t>
      </w:r>
    </w:p>
    <w:p w14:paraId="0ED50F47" w14:textId="4802A660" w:rsidR="00CC48E6" w:rsidRPr="00CC2CF3" w:rsidRDefault="0086056D" w:rsidP="00CC48E6">
      <w:pPr>
        <w:widowControl w:val="0"/>
        <w:spacing w:line="480" w:lineRule="auto"/>
        <w:ind w:firstLine="720"/>
        <w:rPr>
          <w:rFonts w:eastAsia="Times New Roman" w:cs="Times New Roman"/>
        </w:rPr>
      </w:pPr>
      <w:r>
        <w:rPr>
          <w:rFonts w:eastAsia="Times New Roman" w:cs="Times New Roman"/>
          <w:szCs w:val="24"/>
        </w:rPr>
        <w:t>At t</w:t>
      </w:r>
      <w:r w:rsidR="00EB0EB7">
        <w:rPr>
          <w:rFonts w:eastAsia="Times New Roman" w:cs="Times New Roman"/>
          <w:szCs w:val="24"/>
        </w:rPr>
        <w:t>he</w:t>
      </w:r>
      <w:r w:rsidR="005232CF" w:rsidRPr="00216D49">
        <w:rPr>
          <w:rFonts w:eastAsia="Times New Roman" w:cs="Times New Roman"/>
          <w:szCs w:val="24"/>
        </w:rPr>
        <w:t xml:space="preserve"> 12</w:t>
      </w:r>
      <w:r w:rsidR="0032588D" w:rsidRPr="00216D49">
        <w:rPr>
          <w:rFonts w:eastAsia="Times New Roman" w:cs="Times New Roman"/>
          <w:szCs w:val="24"/>
        </w:rPr>
        <w:t>-</w:t>
      </w:r>
      <w:r w:rsidR="005232CF" w:rsidRPr="00216D49">
        <w:rPr>
          <w:rFonts w:eastAsia="Times New Roman" w:cs="Times New Roman"/>
          <w:szCs w:val="24"/>
        </w:rPr>
        <w:t>week assessment, the IE</w:t>
      </w:r>
      <w:r w:rsidR="00FB2803" w:rsidRPr="00216D49">
        <w:rPr>
          <w:rFonts w:eastAsia="Times New Roman" w:cs="Times New Roman"/>
          <w:szCs w:val="24"/>
        </w:rPr>
        <w:t>s</w:t>
      </w:r>
      <w:r w:rsidR="005232CF" w:rsidRPr="00216D49">
        <w:rPr>
          <w:rFonts w:eastAsia="Times New Roman" w:cs="Times New Roman"/>
          <w:szCs w:val="24"/>
        </w:rPr>
        <w:t xml:space="preserve"> w</w:t>
      </w:r>
      <w:r w:rsidR="00FB2803" w:rsidRPr="00216D49">
        <w:rPr>
          <w:rFonts w:eastAsia="Times New Roman" w:cs="Times New Roman"/>
          <w:szCs w:val="24"/>
        </w:rPr>
        <w:t>ere</w:t>
      </w:r>
      <w:r w:rsidR="005232CF" w:rsidRPr="00216D49">
        <w:rPr>
          <w:rFonts w:eastAsia="Times New Roman" w:cs="Times New Roman"/>
          <w:szCs w:val="24"/>
        </w:rPr>
        <w:t xml:space="preserve"> asked to </w:t>
      </w:r>
      <w:r w:rsidR="00685CA4" w:rsidRPr="00216D49">
        <w:rPr>
          <w:rFonts w:eastAsia="Times New Roman" w:cs="Times New Roman"/>
          <w:szCs w:val="24"/>
        </w:rPr>
        <w:t xml:space="preserve">guess </w:t>
      </w:r>
      <w:r w:rsidR="005232CF" w:rsidRPr="00216D49">
        <w:rPr>
          <w:rFonts w:eastAsia="Times New Roman" w:cs="Times New Roman"/>
          <w:szCs w:val="24"/>
        </w:rPr>
        <w:t xml:space="preserve">which condition </w:t>
      </w:r>
      <w:r w:rsidR="00FB2803" w:rsidRPr="00216D49">
        <w:rPr>
          <w:rFonts w:eastAsia="Times New Roman" w:cs="Times New Roman"/>
          <w:szCs w:val="24"/>
        </w:rPr>
        <w:t>they</w:t>
      </w:r>
      <w:r w:rsidR="005232CF" w:rsidRPr="00216D49">
        <w:rPr>
          <w:rFonts w:eastAsia="Times New Roman" w:cs="Times New Roman"/>
          <w:szCs w:val="24"/>
        </w:rPr>
        <w:t xml:space="preserve"> believed </w:t>
      </w:r>
      <w:r w:rsidR="00685CA4" w:rsidRPr="00216D49">
        <w:rPr>
          <w:rFonts w:eastAsia="Times New Roman" w:cs="Times New Roman"/>
          <w:szCs w:val="24"/>
        </w:rPr>
        <w:t xml:space="preserve">each </w:t>
      </w:r>
      <w:r w:rsidR="005232CF" w:rsidRPr="00216D49">
        <w:rPr>
          <w:rFonts w:eastAsia="Times New Roman" w:cs="Times New Roman"/>
          <w:szCs w:val="24"/>
        </w:rPr>
        <w:t xml:space="preserve">participant was in, how confident </w:t>
      </w:r>
      <w:r w:rsidR="00FB2803" w:rsidRPr="00216D49">
        <w:rPr>
          <w:rFonts w:eastAsia="Times New Roman" w:cs="Times New Roman"/>
          <w:szCs w:val="24"/>
        </w:rPr>
        <w:t>they</w:t>
      </w:r>
      <w:r w:rsidR="00EC70ED" w:rsidRPr="00216D49">
        <w:rPr>
          <w:rFonts w:eastAsia="Times New Roman" w:cs="Times New Roman"/>
          <w:szCs w:val="24"/>
        </w:rPr>
        <w:t xml:space="preserve"> were</w:t>
      </w:r>
      <w:r w:rsidR="005232CF" w:rsidRPr="00216D49">
        <w:rPr>
          <w:rFonts w:eastAsia="Times New Roman" w:cs="Times New Roman"/>
          <w:szCs w:val="24"/>
        </w:rPr>
        <w:t xml:space="preserve"> in this </w:t>
      </w:r>
      <w:r w:rsidR="00685CA4" w:rsidRPr="00216D49">
        <w:rPr>
          <w:rFonts w:eastAsia="Times New Roman" w:cs="Times New Roman"/>
          <w:szCs w:val="24"/>
        </w:rPr>
        <w:t>guess</w:t>
      </w:r>
      <w:r w:rsidR="00062E40" w:rsidRPr="00216D49">
        <w:rPr>
          <w:rFonts w:eastAsia="Times New Roman" w:cs="Times New Roman"/>
          <w:szCs w:val="24"/>
        </w:rPr>
        <w:t>,</w:t>
      </w:r>
      <w:r w:rsidR="005232CF" w:rsidRPr="00216D49">
        <w:rPr>
          <w:rFonts w:eastAsia="Times New Roman" w:cs="Times New Roman"/>
          <w:szCs w:val="24"/>
        </w:rPr>
        <w:t xml:space="preserve"> and reasons behind the </w:t>
      </w:r>
      <w:r w:rsidR="00685CA4" w:rsidRPr="00216D49">
        <w:rPr>
          <w:rFonts w:eastAsia="Times New Roman" w:cs="Times New Roman"/>
          <w:szCs w:val="24"/>
        </w:rPr>
        <w:t>guess</w:t>
      </w:r>
      <w:r w:rsidR="005232CF" w:rsidRPr="00216D49">
        <w:rPr>
          <w:rFonts w:eastAsia="Times New Roman" w:cs="Times New Roman"/>
          <w:szCs w:val="24"/>
        </w:rPr>
        <w:t>.</w:t>
      </w:r>
      <w:r w:rsidR="00CC48E6" w:rsidRPr="00216D49">
        <w:rPr>
          <w:rFonts w:eastAsia="Times New Roman" w:cs="Times New Roman"/>
          <w:szCs w:val="24"/>
        </w:rPr>
        <w:t xml:space="preserve"> IEs were </w:t>
      </w:r>
      <w:r w:rsidR="00CC48E6">
        <w:rPr>
          <w:rFonts w:eastAsia="Times New Roman" w:cs="Times New Roman"/>
          <w:szCs w:val="24"/>
        </w:rPr>
        <w:t xml:space="preserve">able to accurately identify participants’ treatment condition 62% of the time. Perhaps coinciding with their displayed bias towards guessing participants were in the AEBT-TTM condition, they accurately guessed the condition for 24 of the 28 participants treated with AEBT-TTM and 10 of the 27 participants treated with PST </w:t>
      </w:r>
      <w:r w:rsidR="00CC48E6">
        <w:rPr>
          <w:rFonts w:eastAsia="Times New Roman" w:cs="Times New Roman"/>
          <w:szCs w:val="24"/>
        </w:rPr>
        <w:fldChar w:fldCharType="begin" w:fldLock="1"/>
      </w:r>
      <w:r w:rsidR="005A521A">
        <w:rPr>
          <w:rFonts w:eastAsia="Times New Roman" w:cs="Times New Roman"/>
          <w:szCs w:val="24"/>
        </w:rPr>
        <w:instrText>ADDIN CSL_CITATION {"citationItems":[{"id":"ITEM-1","itemData":{"DOI":"10.1521/bumc_2019_83_04","author":[{"dropping-particle":"","family":"Neal-Barnett","given":"Angela M.","non-dropping-particle":"","parse-names":false,"suffix":""},{"dropping-particle":"","family":"Woods","given":"Douglas W.","non-dropping-particle":"","parse-names":false,"suffix":""},{"dropping-particle":"","family":"Espil","given":"Flint M.","non-dropping-particle":"","parse-names":false,"suffix":""},{"dropping-particle":"","family":"Davis","given":"Martale","non-dropping-particle":"","parse-names":false,"suffix":""},{"dropping-particle":"","family":"Alexander","given":"Jennifer R.","non-dropping-particle":"","parse-names":false,"suffix":""},{"dropping-particle":"","family":"Compton","given":"Scott N.","non-dropping-particle":"","parse-names":false,"suffix":""},{"dropping-particle":"","family":"Walther","given":"Michael R.","non-dropping-particle":"","parse-names":false,"suffix":""},{"dropping-particle":"","family":"Twohig","given":"Michael P.","non-dropping-particle":"","parse-names":false,"suffix":""},{"dropping-particle":"","family":"Saunders","given":"Stephen M.","non-dropping-particle":"","parse-names":false,"suffix":""},{"dropping-particle":"","family":"Cahill","given":"Shawn P.","non-dropping-particle":"","parse-names":false,"suffix":""},{"dropping-particle":"","family":"Franklin","given":"Martin E.","non-dropping-particle":"","parse-names":false,"suffix":""}],"container-title":"Bulletin of the Menninger Clinic","id":"ITEM-1","issue":"4","issued":{"date-parts":[["2019"]]},"page":"399-431","title":"Acceptance-enhanced Behavior Therapy for Trichotillomania: Randomized controlled trial rationale, methods and strategies for recruiting minority participants","type":"article-journal","volume":"83"},"uris":["http://www.mendeley.com/documents/?uuid=5f30b163-f333-44b7-90e5-1105a5758fe9","http://www.mendeley.com/documents/?uuid=0a1e5da2-bd70-4a75-b4ca-49cebacc9dbe"]}],"mendeley":{"formattedCitation":"(Neal-Barnett et al., 2019)","plainTextFormattedCitation":"(Neal-Barnett et al., 2019)","previouslyFormattedCitation":"(Neal-Barnett et al., 2019)"},"properties":{"noteIndex":0},"schema":"https://github.com/citation-style-language/schema/raw/master/csl-citation.json"}</w:instrText>
      </w:r>
      <w:r w:rsidR="00CC48E6">
        <w:rPr>
          <w:rFonts w:eastAsia="Times New Roman" w:cs="Times New Roman"/>
          <w:szCs w:val="24"/>
        </w:rPr>
        <w:fldChar w:fldCharType="separate"/>
      </w:r>
      <w:r w:rsidR="00491BEB" w:rsidRPr="00491BEB">
        <w:rPr>
          <w:rFonts w:eastAsia="Times New Roman" w:cs="Times New Roman"/>
          <w:noProof/>
          <w:szCs w:val="24"/>
        </w:rPr>
        <w:t>(Neal-Barnett et al., 2019)</w:t>
      </w:r>
      <w:r w:rsidR="00CC48E6">
        <w:rPr>
          <w:rFonts w:eastAsia="Times New Roman" w:cs="Times New Roman"/>
          <w:szCs w:val="24"/>
        </w:rPr>
        <w:fldChar w:fldCharType="end"/>
      </w:r>
      <w:r w:rsidR="00CC48E6" w:rsidRPr="00CC2CF3">
        <w:rPr>
          <w:rFonts w:eastAsia="Times New Roman" w:cs="Times New Roman"/>
        </w:rPr>
        <w:t>.</w:t>
      </w:r>
    </w:p>
    <w:p w14:paraId="512B3B73" w14:textId="77777777" w:rsidR="00054BD0" w:rsidRPr="004846F6" w:rsidRDefault="00054BD0" w:rsidP="00CF2EEA">
      <w:pPr>
        <w:pStyle w:val="Heading2"/>
        <w:keepNext w:val="0"/>
        <w:keepLines w:val="0"/>
        <w:widowControl w:val="0"/>
        <w:spacing w:line="480" w:lineRule="auto"/>
      </w:pPr>
      <w:r w:rsidRPr="004846F6">
        <w:t>Procedures</w:t>
      </w:r>
    </w:p>
    <w:p w14:paraId="1887DDDD" w14:textId="79548D58" w:rsidR="00054BD0" w:rsidRPr="006C0D12" w:rsidRDefault="007730ED" w:rsidP="00CF2EEA">
      <w:pPr>
        <w:widowControl w:val="0"/>
        <w:spacing w:line="480" w:lineRule="auto"/>
        <w:ind w:firstLine="720"/>
        <w:rPr>
          <w:rFonts w:eastAsia="Times New Roman" w:cs="Times New Roman"/>
          <w:szCs w:val="24"/>
        </w:rPr>
      </w:pPr>
      <w:r>
        <w:rPr>
          <w:rFonts w:eastAsia="Times New Roman" w:cs="Times New Roman"/>
          <w:bCs/>
          <w:szCs w:val="24"/>
        </w:rPr>
        <w:t>A</w:t>
      </w:r>
      <w:r w:rsidR="00054BD0">
        <w:rPr>
          <w:rFonts w:eastAsia="Times New Roman" w:cs="Times New Roman"/>
          <w:bCs/>
          <w:szCs w:val="24"/>
        </w:rPr>
        <w:t xml:space="preserve"> multi-gate screening </w:t>
      </w:r>
      <w:r w:rsidR="00054BD0" w:rsidRPr="00062E40">
        <w:rPr>
          <w:rFonts w:eastAsia="Times New Roman" w:cs="Times New Roman"/>
          <w:bCs/>
          <w:szCs w:val="24"/>
        </w:rPr>
        <w:t>procedure</w:t>
      </w:r>
      <w:r w:rsidRPr="00062E40">
        <w:rPr>
          <w:rFonts w:eastAsia="Times New Roman" w:cs="Times New Roman"/>
          <w:bCs/>
          <w:szCs w:val="24"/>
        </w:rPr>
        <w:t xml:space="preserve"> was utilized (see Figure </w:t>
      </w:r>
      <w:r w:rsidR="004B0C04">
        <w:rPr>
          <w:rFonts w:eastAsia="Times New Roman" w:cs="Times New Roman"/>
          <w:bCs/>
          <w:szCs w:val="24"/>
        </w:rPr>
        <w:t>1</w:t>
      </w:r>
      <w:r w:rsidRPr="00062E40">
        <w:rPr>
          <w:rFonts w:eastAsia="Times New Roman" w:cs="Times New Roman"/>
          <w:bCs/>
          <w:szCs w:val="24"/>
        </w:rPr>
        <w:t xml:space="preserve">). </w:t>
      </w:r>
      <w:r w:rsidR="00EA401E" w:rsidRPr="00062E40">
        <w:rPr>
          <w:rFonts w:eastAsia="Times New Roman" w:cs="Times New Roman"/>
          <w:bCs/>
          <w:szCs w:val="24"/>
        </w:rPr>
        <w:t>Eligible and consented p</w:t>
      </w:r>
      <w:r w:rsidR="00054BD0" w:rsidRPr="00062E40">
        <w:rPr>
          <w:rFonts w:eastAsia="Times New Roman" w:cs="Times New Roman"/>
          <w:szCs w:val="24"/>
        </w:rPr>
        <w:t>articipants were randomized to either AEBT</w:t>
      </w:r>
      <w:r w:rsidR="00B56C4E">
        <w:rPr>
          <w:rFonts w:eastAsia="Times New Roman" w:cs="Times New Roman"/>
          <w:szCs w:val="24"/>
        </w:rPr>
        <w:t>-TTM</w:t>
      </w:r>
      <w:r w:rsidR="00685CA4">
        <w:rPr>
          <w:rFonts w:eastAsia="Times New Roman" w:cs="Times New Roman"/>
          <w:szCs w:val="24"/>
        </w:rPr>
        <w:t xml:space="preserve"> or PST</w:t>
      </w:r>
      <w:r w:rsidR="00054BD0" w:rsidRPr="00062E40">
        <w:rPr>
          <w:rFonts w:eastAsia="Times New Roman" w:cs="Times New Roman"/>
          <w:szCs w:val="24"/>
        </w:rPr>
        <w:t xml:space="preserve">. An </w:t>
      </w:r>
      <w:r w:rsidR="00BB5874" w:rsidRPr="00062E40">
        <w:rPr>
          <w:rFonts w:eastAsia="Times New Roman" w:cs="Times New Roman"/>
          <w:szCs w:val="24"/>
        </w:rPr>
        <w:t>a</w:t>
      </w:r>
      <w:r w:rsidR="00054BD0" w:rsidRPr="00062E40">
        <w:rPr>
          <w:rFonts w:eastAsia="Times New Roman" w:cs="Times New Roman"/>
          <w:szCs w:val="24"/>
        </w:rPr>
        <w:t>daptive biased-coin design</w:t>
      </w:r>
      <w:r w:rsidR="00C132BC">
        <w:rPr>
          <w:rFonts w:eastAsia="Times New Roman" w:cs="Times New Roman"/>
          <w:szCs w:val="24"/>
        </w:rPr>
        <w:t xml:space="preserve"> </w:t>
      </w:r>
      <w:r w:rsidR="00062E40" w:rsidRPr="00062E40">
        <w:rPr>
          <w:rFonts w:eastAsia="Times New Roman" w:cs="Times New Roman"/>
          <w:szCs w:val="24"/>
        </w:rPr>
        <w:fldChar w:fldCharType="begin" w:fldLock="1"/>
      </w:r>
      <w:r w:rsidR="00C064BE">
        <w:rPr>
          <w:rFonts w:eastAsia="Times New Roman" w:cs="Times New Roman"/>
          <w:szCs w:val="24"/>
        </w:rPr>
        <w:instrText>ADDIN CSL_CITATION {"citationItems":[{"id":"ITEM-1","itemData":{"DOI":"10.1080/01621459.1978.10480054","ISBN":"01621459","ISSN":"1537274X","abstract":"In the comparison of K treatments, assume that patients appear singly and must be treated immediately. Suppose that patients having the same combination of prognostic factor levels are grouped into the same stratum. If the number of different strata is small, we treat each stratum as a separate independent subtrial. A treatment assignment rule is proposed that forces a small subtrial to be balanced, but tends toward the complete randomization scheme as the size of the subtrial increases. When the number of strata is large, we propose an overall assignment rule which can achieve a degree of treatment balance simultaneously across all prognostic factors.","author":[{"dropping-particle":"","family":"Wei","given":"L. J.","non-dropping-particle":"","parse-names":false,"suffix":""}],"container-title":"Journal of the American Statistical Association","id":"ITEM-1","issue":"363","issued":{"date-parts":[["1978"]]},"page":"559-563","title":"An application of an urn model to the design of sequential controlled clinical trials","type":"article-journal","volume":"73"},"uris":["http://www.mendeley.com/documents/?uuid=8186ab54-696e-4c10-843e-b0276bc533bb"]},{"id":"ITEM-2","itemData":{"DOI":"10.1016/0197-2456(88)90048-7","ISBN":"0197-2456 (Print)\\r0197-2456 (Linking)","ISSN":"01972456","PMID":"3203525","abstract":"In this article we review the important statistical properties of the urn randomization (design) for assigning patients to treatment groups in a clinical trial. The urn design is the most widely studied member of the family of adaptive biased-coin designs. Such designs are a compromise between designs that yield perfect balance in treatment assignments and complete randomization which eliminates experimental bias. The urn design forces a small-sized trial to be balanced but approaches complete randomization as the size of the trial (n) increases. Thus, the urn design is not as vulnerable to experimental bias as are other restricted randomization procedures. In a clinical trial it may be difficult to postulate that the study subjects constitute a random sample from a well-defined homogeneous population. In this case, a randomization model provides a preferred basis for statistical inference. We describe the large-sample permutational null distributions of linear rank statistics for testing the equality of treatment groups based on the urn design. In general, these permutation tests may be different from those based on the population model, which is equivalent to assuming complete randomization. Poststratified subgroup analyses can also be performed on the basis of the urn design permutational distribution. This provides a basis for analyzing the subset of patients with observed responses when some patients' responses can be assumed to be missing-at-random. For multiple mutually exclusive strata, these tests are correlated. For this case, a combined covariate-adjusted test of treatment effect is described. Finally, we show how to generalize the urn design to a prospectively stratified trial with a fairly large number of strata. © 1988.","author":[{"dropping-particle":"","family":"Wei","given":"L. J.","non-dropping-particle":"","parse-names":false,"suffix":""},{"dropping-particle":"","family":"Lachin","given":"John M.","non-dropping-particle":"","parse-names":false,"suffix":""}],"container-title":"Controlled Clinical Trials","id":"ITEM-2","issue":"4","issued":{"date-parts":[["1988"]]},"page":"345-364","title":"Properties of the urn randomization in clinical trials","type":"article-journal","volume":"9"},"uris":["http://www.mendeley.com/documents/?uuid=c00c3eb5-41db-4292-b324-3a19f292693b"]}],"mendeley":{"formattedCitation":"(Wei, 1978; Wei &amp; Lachin, 1988)","plainTextFormattedCitation":"(Wei, 1978; Wei &amp; Lachin, 1988)","previouslyFormattedCitation":"(Wei, 1978; Wei &amp; Lachin, 1988)"},"properties":{"noteIndex":0},"schema":"https://github.com/citation-style-language/schema/raw/master/csl-citation.json"}</w:instrText>
      </w:r>
      <w:r w:rsidR="00062E40" w:rsidRPr="00062E40">
        <w:rPr>
          <w:rFonts w:eastAsia="Times New Roman" w:cs="Times New Roman"/>
          <w:szCs w:val="24"/>
        </w:rPr>
        <w:fldChar w:fldCharType="separate"/>
      </w:r>
      <w:r w:rsidR="00C064BE" w:rsidRPr="00C064BE">
        <w:rPr>
          <w:rFonts w:eastAsia="Times New Roman" w:cs="Times New Roman"/>
          <w:noProof/>
          <w:szCs w:val="24"/>
        </w:rPr>
        <w:t>(Wei, 1978; Wei &amp; Lachin, 1988)</w:t>
      </w:r>
      <w:r w:rsidR="00062E40" w:rsidRPr="00062E40">
        <w:rPr>
          <w:rFonts w:eastAsia="Times New Roman" w:cs="Times New Roman"/>
          <w:szCs w:val="24"/>
        </w:rPr>
        <w:fldChar w:fldCharType="end"/>
      </w:r>
      <w:r w:rsidR="006C0D12">
        <w:rPr>
          <w:rFonts w:eastAsia="Times New Roman" w:cs="Times New Roman"/>
          <w:szCs w:val="24"/>
        </w:rPr>
        <w:t>, implemented by the study’s statistician (S.N.C.),</w:t>
      </w:r>
      <w:r w:rsidR="00054BD0" w:rsidRPr="00062E40">
        <w:rPr>
          <w:rFonts w:eastAsia="Times New Roman" w:cs="Times New Roman"/>
          <w:szCs w:val="24"/>
        </w:rPr>
        <w:t xml:space="preserve"> was used to achieve approximate balance across the two treatment groups with respect to gender, TTM severity, patterns of automatic and focused pulling, and medication </w:t>
      </w:r>
      <w:r w:rsidR="00054BD0" w:rsidRPr="00262C58">
        <w:rPr>
          <w:rFonts w:eastAsia="Times New Roman" w:cs="Times New Roman"/>
          <w:color w:val="000000"/>
          <w:szCs w:val="24"/>
        </w:rPr>
        <w:t>status.</w:t>
      </w:r>
      <w:r w:rsidR="00D54F3B">
        <w:rPr>
          <w:rFonts w:eastAsia="Times New Roman" w:cs="Times New Roman"/>
          <w:color w:val="7030A0"/>
          <w:szCs w:val="24"/>
        </w:rPr>
        <w:t xml:space="preserve"> </w:t>
      </w:r>
      <w:r w:rsidR="006C0D12" w:rsidRPr="006C0D12">
        <w:rPr>
          <w:rFonts w:eastAsia="Times New Roman" w:cs="Times New Roman"/>
          <w:szCs w:val="24"/>
        </w:rPr>
        <w:t>The full trial protocol is available upon request.</w:t>
      </w:r>
    </w:p>
    <w:p w14:paraId="2F572900" w14:textId="384DEB8A" w:rsidR="001E43B0" w:rsidRDefault="00A16707" w:rsidP="00CF2EEA">
      <w:pPr>
        <w:pStyle w:val="Heading2"/>
        <w:keepNext w:val="0"/>
        <w:keepLines w:val="0"/>
        <w:widowControl w:val="0"/>
        <w:spacing w:line="480" w:lineRule="auto"/>
      </w:pPr>
      <w:r>
        <w:t>Treatment</w:t>
      </w:r>
    </w:p>
    <w:p w14:paraId="3DCCBAF1" w14:textId="69EEFB64" w:rsidR="00054BD0" w:rsidRPr="00054BD0" w:rsidRDefault="00054BD0" w:rsidP="00CF2EEA">
      <w:pPr>
        <w:widowControl w:val="0"/>
        <w:spacing w:line="480" w:lineRule="auto"/>
        <w:ind w:firstLine="720"/>
        <w:rPr>
          <w:rFonts w:eastAsia="Times New Roman" w:cs="Times New Roman"/>
          <w:bCs/>
          <w:szCs w:val="24"/>
        </w:rPr>
      </w:pPr>
      <w:r>
        <w:rPr>
          <w:rFonts w:eastAsia="Times New Roman" w:cs="Times New Roman"/>
          <w:bCs/>
          <w:szCs w:val="24"/>
        </w:rPr>
        <w:t xml:space="preserve">Both </w:t>
      </w:r>
      <w:r w:rsidR="007730ED">
        <w:rPr>
          <w:rFonts w:eastAsia="Times New Roman" w:cs="Times New Roman"/>
          <w:bCs/>
          <w:szCs w:val="24"/>
        </w:rPr>
        <w:t>treatment</w:t>
      </w:r>
      <w:r>
        <w:rPr>
          <w:rFonts w:eastAsia="Times New Roman" w:cs="Times New Roman"/>
          <w:bCs/>
          <w:szCs w:val="24"/>
        </w:rPr>
        <w:t xml:space="preserve"> conditions involved 10</w:t>
      </w:r>
      <w:r w:rsidR="00F2208A">
        <w:rPr>
          <w:rFonts w:eastAsia="Times New Roman" w:cs="Times New Roman"/>
          <w:bCs/>
          <w:szCs w:val="24"/>
        </w:rPr>
        <w:t>, 60</w:t>
      </w:r>
      <w:r w:rsidR="004A043E">
        <w:rPr>
          <w:rFonts w:eastAsia="Times New Roman" w:cs="Times New Roman"/>
          <w:bCs/>
          <w:szCs w:val="24"/>
        </w:rPr>
        <w:t>-</w:t>
      </w:r>
      <w:r w:rsidR="00F2208A">
        <w:rPr>
          <w:rFonts w:eastAsia="Times New Roman" w:cs="Times New Roman"/>
          <w:bCs/>
          <w:szCs w:val="24"/>
        </w:rPr>
        <w:t xml:space="preserve">min sessions over 12 weeks. </w:t>
      </w:r>
      <w:r w:rsidR="007660AE">
        <w:rPr>
          <w:rFonts w:eastAsia="Times New Roman" w:cs="Times New Roman"/>
          <w:bCs/>
          <w:szCs w:val="24"/>
        </w:rPr>
        <w:t>T</w:t>
      </w:r>
      <w:r>
        <w:rPr>
          <w:rFonts w:eastAsia="Times New Roman" w:cs="Times New Roman"/>
          <w:bCs/>
          <w:szCs w:val="24"/>
        </w:rPr>
        <w:t>he first 8 sessions were implemented weekly</w:t>
      </w:r>
      <w:r w:rsidR="00A35961">
        <w:rPr>
          <w:rFonts w:eastAsia="Times New Roman" w:cs="Times New Roman"/>
          <w:bCs/>
          <w:szCs w:val="24"/>
        </w:rPr>
        <w:t>. S</w:t>
      </w:r>
      <w:r w:rsidR="00C901AD">
        <w:rPr>
          <w:rFonts w:eastAsia="Times New Roman" w:cs="Times New Roman"/>
          <w:bCs/>
          <w:szCs w:val="24"/>
        </w:rPr>
        <w:t>essions 9 and 10 occurred</w:t>
      </w:r>
      <w:r w:rsidR="003F6FA4">
        <w:rPr>
          <w:rFonts w:eastAsia="Times New Roman" w:cs="Times New Roman"/>
          <w:bCs/>
          <w:szCs w:val="24"/>
        </w:rPr>
        <w:t xml:space="preserve"> two weeks after the preceding session.</w:t>
      </w:r>
    </w:p>
    <w:p w14:paraId="722C9680" w14:textId="13C4A643" w:rsidR="001E43B0" w:rsidRPr="00262C58" w:rsidRDefault="001E43B0" w:rsidP="00CF2EEA">
      <w:pPr>
        <w:widowControl w:val="0"/>
        <w:spacing w:line="480" w:lineRule="auto"/>
        <w:ind w:firstLine="720"/>
        <w:rPr>
          <w:rFonts w:eastAsia="Times New Roman" w:cs="Times New Roman"/>
          <w:i/>
          <w:szCs w:val="24"/>
        </w:rPr>
      </w:pPr>
      <w:r w:rsidRPr="00201C8B">
        <w:rPr>
          <w:rFonts w:eastAsia="Times New Roman" w:cs="Times New Roman"/>
          <w:b/>
          <w:bCs/>
          <w:szCs w:val="24"/>
        </w:rPr>
        <w:t>AEBT-T</w:t>
      </w:r>
      <w:r w:rsidR="00201C8B">
        <w:rPr>
          <w:rFonts w:eastAsia="Times New Roman" w:cs="Times New Roman"/>
          <w:b/>
          <w:bCs/>
          <w:szCs w:val="24"/>
        </w:rPr>
        <w:t>TM</w:t>
      </w:r>
      <w:r w:rsidRPr="00262C58">
        <w:rPr>
          <w:rFonts w:eastAsia="Times New Roman" w:cs="Times New Roman"/>
          <w:bCs/>
          <w:i/>
          <w:szCs w:val="24"/>
        </w:rPr>
        <w:t>.</w:t>
      </w:r>
      <w:r w:rsidRPr="001A0A5C">
        <w:rPr>
          <w:rFonts w:eastAsia="Times New Roman" w:cs="Times New Roman"/>
          <w:bCs/>
          <w:szCs w:val="24"/>
        </w:rPr>
        <w:t xml:space="preserve"> </w:t>
      </w:r>
      <w:r w:rsidR="008D2AF7">
        <w:rPr>
          <w:rFonts w:eastAsia="Times New Roman" w:cs="Times New Roman"/>
          <w:szCs w:val="24"/>
        </w:rPr>
        <w:t>As t</w:t>
      </w:r>
      <w:r w:rsidRPr="00262C58">
        <w:rPr>
          <w:rFonts w:eastAsia="Times New Roman" w:cs="Times New Roman"/>
          <w:szCs w:val="24"/>
        </w:rPr>
        <w:t>he AEBT</w:t>
      </w:r>
      <w:r w:rsidR="00201C8B">
        <w:rPr>
          <w:rFonts w:eastAsia="Times New Roman" w:cs="Times New Roman"/>
          <w:szCs w:val="24"/>
        </w:rPr>
        <w:t>-TTM</w:t>
      </w:r>
      <w:r w:rsidRPr="00262C58">
        <w:rPr>
          <w:rFonts w:eastAsia="Times New Roman" w:cs="Times New Roman"/>
          <w:szCs w:val="24"/>
        </w:rPr>
        <w:t xml:space="preserve"> manual </w:t>
      </w:r>
      <w:r>
        <w:rPr>
          <w:rFonts w:eastAsia="Times New Roman" w:cs="Times New Roman"/>
          <w:szCs w:val="24"/>
        </w:rPr>
        <w:t>is described in detail elsewhere</w:t>
      </w:r>
      <w:r w:rsidR="00A1284D">
        <w:rPr>
          <w:rFonts w:eastAsia="Times New Roman" w:cs="Times New Roman"/>
          <w:szCs w:val="24"/>
        </w:rPr>
        <w:t xml:space="preserve"> </w:t>
      </w:r>
      <w:r w:rsidR="00201C8B">
        <w:rPr>
          <w:rFonts w:eastAsia="Times New Roman" w:cs="Times New Roman"/>
          <w:szCs w:val="24"/>
        </w:rPr>
        <w:fldChar w:fldCharType="begin" w:fldLock="1"/>
      </w:r>
      <w:r w:rsidR="005A521A">
        <w:rPr>
          <w:rFonts w:eastAsia="Times New Roman" w:cs="Times New Roman"/>
          <w:szCs w:val="24"/>
        </w:rPr>
        <w:instrText>ADDIN CSL_CITATION {"citationItems":[{"id":"ITEM-1","itemData":{"author":[{"dropping-particle":"","family":"Woods","given":"Douglas W.","non-dropping-particle":"","parse-names":false,"suffix":""},{"dropping-particle":"","family":"Twohig","given":"Michael P.","non-dropping-particle":"","parse-names":false,"suffix":""}],"id":"ITEM-1","issued":{"date-parts":[["2008"]]},"publisher":"Oxford University Press","publisher-place":"New York, NY","title":"Trichotillomania: An ACT-enhanced behavior therapy approach therapist guide","type":"book"},"uris":["http://www.mendeley.com/documents/?uuid=f79f0676-7e51-4c36-8f95-3bf8b743016a"]},{"id":"ITEM-2","itemData":{"DOI":"10.1521/bumc_2019_83_04","author":[{"dropping-particle":"","family":"Neal-Barnett","given":"Angela M.","non-dropping-particle":"","parse-names":false,"suffix":""},{"dropping-particle":"","family":"Woods","given":"Douglas W.","non-dropping-particle":"","parse-names":false,"suffix":""},{"dropping-particle":"","family":"Espil","given":"Flint M.","non-dropping-particle":"","parse-names":false,"suffix":""},{"dropping-particle":"","family":"Davis","given":"Martale","non-dropping-particle":"","parse-names":false,"suffix":""},{"dropping-particle":"","family":"Alexander","given":"Jennifer R.","non-dropping-particle":"","parse-names":false,"suffix":""},{"dropping-particle":"","family":"Compton","given":"Scott N.","non-dropping-particle":"","parse-names":false,"suffix":""},{"dropping-particle":"","family":"Walther","given":"Michael R.","non-dropping-particle":"","parse-names":false,"suffix":""},{"dropping-particle":"","family":"Twohig","given":"Michael P.","non-dropping-particle":"","parse-names":false,"suffix":""},{"dropping-particle":"","family":"Saunders","given":"Stephen M.","non-dropping-particle":"","parse-names":false,"suffix":""},{"dropping-particle":"","family":"Cahill","given":"Shawn P.","non-dropping-particle":"","parse-names":false,"suffix":""},{"dropping-particle":"","family":"Franklin","given":"Martin E.","non-dropping-particle":"","parse-names":false,"suffix":""}],"container-title":"Bulletin of the Menninger Clinic","id":"ITEM-2","issue":"4","issued":{"date-parts":[["2019"]]},"page":"399-431","title":"Acceptance-enhanced Behavior Therapy for Trichotillomania: Randomized controlled trial rationale, methods and strategies for recruiting minority participants","type":"article-journal","volume":"83"},"uris":["http://www.mendeley.com/documents/?uuid=5f30b163-f333-44b7-90e5-1105a5758fe9"]}],"mendeley":{"formattedCitation":"(Neal-Barnett et al., 2019; Woods &amp; Twohig, 2008)","plainTextFormattedCitation":"(Neal-Barnett et al., 2019; Woods &amp; Twohig, 2008)","previouslyFormattedCitation":"(Neal-Barnett et al., 2019; Woods &amp; Twohig, 2008)"},"properties":{"noteIndex":0},"schema":"https://github.com/citation-style-language/schema/raw/master/csl-citation.json"}</w:instrText>
      </w:r>
      <w:r w:rsidR="00201C8B">
        <w:rPr>
          <w:rFonts w:eastAsia="Times New Roman" w:cs="Times New Roman"/>
          <w:szCs w:val="24"/>
        </w:rPr>
        <w:fldChar w:fldCharType="separate"/>
      </w:r>
      <w:r w:rsidR="00491BEB" w:rsidRPr="00491BEB">
        <w:rPr>
          <w:rFonts w:eastAsia="Times New Roman" w:cs="Times New Roman"/>
          <w:noProof/>
          <w:szCs w:val="24"/>
        </w:rPr>
        <w:t>(Neal-Barnett et al., 2019; Woods &amp; Twohig, 2008)</w:t>
      </w:r>
      <w:r w:rsidR="00201C8B">
        <w:rPr>
          <w:rFonts w:eastAsia="Times New Roman" w:cs="Times New Roman"/>
          <w:szCs w:val="24"/>
        </w:rPr>
        <w:fldChar w:fldCharType="end"/>
      </w:r>
      <w:r w:rsidR="00A1284D">
        <w:rPr>
          <w:rFonts w:eastAsia="Times New Roman" w:cs="Times New Roman"/>
          <w:szCs w:val="24"/>
        </w:rPr>
        <w:t>,</w:t>
      </w:r>
      <w:r w:rsidR="00201C8B">
        <w:rPr>
          <w:rFonts w:eastAsia="Times New Roman" w:cs="Times New Roman"/>
          <w:szCs w:val="24"/>
        </w:rPr>
        <w:t xml:space="preserve"> </w:t>
      </w:r>
      <w:r w:rsidR="004A043E">
        <w:rPr>
          <w:rFonts w:eastAsia="Times New Roman" w:cs="Times New Roman"/>
          <w:szCs w:val="24"/>
        </w:rPr>
        <w:t xml:space="preserve">only a brief description </w:t>
      </w:r>
      <w:r w:rsidR="00685CA4">
        <w:rPr>
          <w:rFonts w:eastAsia="Times New Roman" w:cs="Times New Roman"/>
          <w:szCs w:val="24"/>
        </w:rPr>
        <w:t>is</w:t>
      </w:r>
      <w:r w:rsidR="004A043E">
        <w:rPr>
          <w:rFonts w:eastAsia="Times New Roman" w:cs="Times New Roman"/>
          <w:szCs w:val="24"/>
        </w:rPr>
        <w:t xml:space="preserve"> provided here. </w:t>
      </w:r>
      <w:r w:rsidR="00F2208A">
        <w:rPr>
          <w:rFonts w:eastAsia="Times New Roman" w:cs="Times New Roman"/>
          <w:szCs w:val="24"/>
        </w:rPr>
        <w:t>In Session 1</w:t>
      </w:r>
      <w:r w:rsidRPr="00262C58">
        <w:rPr>
          <w:rFonts w:eastAsia="Times New Roman" w:cs="Times New Roman"/>
          <w:szCs w:val="24"/>
        </w:rPr>
        <w:t xml:space="preserve">, </w:t>
      </w:r>
      <w:r w:rsidR="00F97465">
        <w:rPr>
          <w:rFonts w:eastAsia="Times New Roman" w:cs="Times New Roman"/>
          <w:szCs w:val="24"/>
        </w:rPr>
        <w:t xml:space="preserve">a treatment </w:t>
      </w:r>
      <w:r w:rsidRPr="00262C58">
        <w:rPr>
          <w:rFonts w:eastAsia="Times New Roman" w:cs="Times New Roman"/>
          <w:szCs w:val="24"/>
        </w:rPr>
        <w:t>overview</w:t>
      </w:r>
      <w:r w:rsidR="00F97465">
        <w:rPr>
          <w:rFonts w:eastAsia="Times New Roman" w:cs="Times New Roman"/>
          <w:szCs w:val="24"/>
        </w:rPr>
        <w:t xml:space="preserve"> </w:t>
      </w:r>
      <w:r w:rsidR="00F2208A">
        <w:rPr>
          <w:rFonts w:eastAsia="Times New Roman" w:cs="Times New Roman"/>
          <w:szCs w:val="24"/>
        </w:rPr>
        <w:t xml:space="preserve">and TTM-related psychoeducation </w:t>
      </w:r>
      <w:r w:rsidR="00DD563E">
        <w:rPr>
          <w:rFonts w:eastAsia="Times New Roman" w:cs="Times New Roman"/>
          <w:szCs w:val="24"/>
        </w:rPr>
        <w:t>was</w:t>
      </w:r>
      <w:r w:rsidRPr="00262C58">
        <w:rPr>
          <w:rFonts w:eastAsia="Times New Roman" w:cs="Times New Roman"/>
          <w:szCs w:val="24"/>
        </w:rPr>
        <w:t xml:space="preserve"> provided</w:t>
      </w:r>
      <w:r w:rsidR="00F2208A">
        <w:rPr>
          <w:rFonts w:eastAsia="Times New Roman" w:cs="Times New Roman"/>
          <w:szCs w:val="24"/>
        </w:rPr>
        <w:t>.</w:t>
      </w:r>
      <w:r w:rsidRPr="00262C58">
        <w:rPr>
          <w:rFonts w:eastAsia="Times New Roman" w:cs="Times New Roman"/>
          <w:szCs w:val="24"/>
        </w:rPr>
        <w:t xml:space="preserve"> </w:t>
      </w:r>
      <w:r w:rsidR="00F97465">
        <w:rPr>
          <w:rFonts w:eastAsia="Times New Roman" w:cs="Times New Roman"/>
          <w:szCs w:val="24"/>
        </w:rPr>
        <w:t xml:space="preserve">In </w:t>
      </w:r>
      <w:r w:rsidRPr="00262C58">
        <w:rPr>
          <w:rFonts w:eastAsia="Times New Roman" w:cs="Times New Roman"/>
          <w:szCs w:val="24"/>
        </w:rPr>
        <w:t>Session 2</w:t>
      </w:r>
      <w:r w:rsidR="00F97465">
        <w:rPr>
          <w:rFonts w:eastAsia="Times New Roman" w:cs="Times New Roman"/>
          <w:szCs w:val="24"/>
        </w:rPr>
        <w:t>,</w:t>
      </w:r>
      <w:r w:rsidRPr="00262C58">
        <w:rPr>
          <w:rFonts w:eastAsia="Times New Roman" w:cs="Times New Roman"/>
          <w:szCs w:val="24"/>
        </w:rPr>
        <w:t xml:space="preserve"> HRT</w:t>
      </w:r>
      <w:r w:rsidR="00685CA4">
        <w:rPr>
          <w:rFonts w:eastAsia="Times New Roman" w:cs="Times New Roman"/>
          <w:szCs w:val="24"/>
        </w:rPr>
        <w:t>+</w:t>
      </w:r>
      <w:r w:rsidRPr="00262C58">
        <w:rPr>
          <w:rFonts w:eastAsia="Times New Roman" w:cs="Times New Roman"/>
          <w:szCs w:val="24"/>
        </w:rPr>
        <w:t>SC</w:t>
      </w:r>
      <w:r w:rsidR="00F97465">
        <w:rPr>
          <w:rFonts w:eastAsia="Times New Roman" w:cs="Times New Roman"/>
          <w:szCs w:val="24"/>
        </w:rPr>
        <w:t xml:space="preserve"> was implemented</w:t>
      </w:r>
      <w:r w:rsidRPr="00262C58">
        <w:rPr>
          <w:rFonts w:eastAsia="Times New Roman" w:cs="Times New Roman"/>
          <w:szCs w:val="24"/>
        </w:rPr>
        <w:t xml:space="preserve">. Sessions 3-8 </w:t>
      </w:r>
      <w:r w:rsidR="00DD563E">
        <w:rPr>
          <w:rFonts w:eastAsia="Times New Roman" w:cs="Times New Roman"/>
          <w:szCs w:val="24"/>
        </w:rPr>
        <w:t>involved</w:t>
      </w:r>
      <w:r w:rsidRPr="00262C58">
        <w:rPr>
          <w:rFonts w:eastAsia="Times New Roman" w:cs="Times New Roman"/>
          <w:szCs w:val="24"/>
        </w:rPr>
        <w:t xml:space="preserve"> review of HRT</w:t>
      </w:r>
      <w:r w:rsidR="00685CA4">
        <w:rPr>
          <w:rFonts w:eastAsia="Times New Roman" w:cs="Times New Roman"/>
          <w:szCs w:val="24"/>
        </w:rPr>
        <w:t>+</w:t>
      </w:r>
      <w:r w:rsidRPr="00262C58">
        <w:rPr>
          <w:rFonts w:eastAsia="Times New Roman" w:cs="Times New Roman"/>
          <w:szCs w:val="24"/>
        </w:rPr>
        <w:t xml:space="preserve">SC </w:t>
      </w:r>
      <w:r w:rsidR="0087370E">
        <w:rPr>
          <w:rFonts w:eastAsia="Times New Roman" w:cs="Times New Roman"/>
          <w:szCs w:val="24"/>
        </w:rPr>
        <w:t>and</w:t>
      </w:r>
      <w:r w:rsidRPr="00262C58">
        <w:rPr>
          <w:rFonts w:eastAsia="Times New Roman" w:cs="Times New Roman"/>
          <w:szCs w:val="24"/>
        </w:rPr>
        <w:t xml:space="preserve"> initiation and integration of </w:t>
      </w:r>
      <w:r w:rsidR="004A043E">
        <w:rPr>
          <w:rFonts w:eastAsia="Times New Roman" w:cs="Times New Roman"/>
          <w:szCs w:val="24"/>
        </w:rPr>
        <w:t>acceptance-</w:t>
      </w:r>
      <w:r w:rsidR="00F2208A">
        <w:rPr>
          <w:rFonts w:eastAsia="Times New Roman" w:cs="Times New Roman"/>
          <w:szCs w:val="24"/>
        </w:rPr>
        <w:t xml:space="preserve">based </w:t>
      </w:r>
      <w:r w:rsidRPr="00262C58">
        <w:rPr>
          <w:rFonts w:eastAsia="Times New Roman" w:cs="Times New Roman"/>
          <w:szCs w:val="24"/>
        </w:rPr>
        <w:t xml:space="preserve">components. </w:t>
      </w:r>
      <w:r w:rsidR="00685CA4">
        <w:rPr>
          <w:rFonts w:eastAsia="Times New Roman" w:cs="Times New Roman"/>
          <w:szCs w:val="24"/>
        </w:rPr>
        <w:t>S</w:t>
      </w:r>
      <w:r w:rsidRPr="00262C58">
        <w:rPr>
          <w:rFonts w:eastAsia="Times New Roman" w:cs="Times New Roman"/>
          <w:szCs w:val="24"/>
        </w:rPr>
        <w:t>essions 9 and 10</w:t>
      </w:r>
      <w:r w:rsidR="00685CA4">
        <w:rPr>
          <w:rFonts w:eastAsia="Times New Roman" w:cs="Times New Roman"/>
          <w:szCs w:val="24"/>
        </w:rPr>
        <w:t xml:space="preserve"> consisted of a review of </w:t>
      </w:r>
      <w:r w:rsidRPr="00262C58">
        <w:rPr>
          <w:rFonts w:eastAsia="Times New Roman" w:cs="Times New Roman"/>
          <w:szCs w:val="24"/>
        </w:rPr>
        <w:t>previous material</w:t>
      </w:r>
      <w:r w:rsidR="00DD563E">
        <w:rPr>
          <w:rFonts w:eastAsia="Times New Roman" w:cs="Times New Roman"/>
          <w:szCs w:val="24"/>
        </w:rPr>
        <w:t xml:space="preserve"> and </w:t>
      </w:r>
      <w:r w:rsidR="00685CA4">
        <w:rPr>
          <w:rFonts w:eastAsia="Times New Roman" w:cs="Times New Roman"/>
          <w:szCs w:val="24"/>
        </w:rPr>
        <w:lastRenderedPageBreak/>
        <w:t xml:space="preserve">implementation of </w:t>
      </w:r>
      <w:r w:rsidR="00DD563E">
        <w:rPr>
          <w:rFonts w:eastAsia="Times New Roman" w:cs="Times New Roman"/>
          <w:szCs w:val="24"/>
        </w:rPr>
        <w:t>r</w:t>
      </w:r>
      <w:r w:rsidRPr="00262C58">
        <w:rPr>
          <w:rFonts w:eastAsia="Times New Roman" w:cs="Times New Roman"/>
          <w:szCs w:val="24"/>
        </w:rPr>
        <w:t>elapse prevention techniques.</w:t>
      </w:r>
    </w:p>
    <w:p w14:paraId="33969C5E" w14:textId="19A57DB7" w:rsidR="001E43B0" w:rsidRDefault="001E43B0" w:rsidP="00CF2EEA">
      <w:pPr>
        <w:widowControl w:val="0"/>
        <w:spacing w:line="480" w:lineRule="auto"/>
        <w:ind w:firstLine="720"/>
        <w:rPr>
          <w:rFonts w:eastAsia="Times New Roman" w:cs="Times New Roman"/>
          <w:szCs w:val="24"/>
        </w:rPr>
      </w:pPr>
      <w:r w:rsidRPr="00201C8B">
        <w:rPr>
          <w:rFonts w:eastAsia="Times New Roman" w:cs="Times New Roman"/>
          <w:b/>
          <w:bCs/>
          <w:szCs w:val="24"/>
        </w:rPr>
        <w:t>PST</w:t>
      </w:r>
      <w:r w:rsidRPr="00262C58">
        <w:rPr>
          <w:rFonts w:eastAsia="Times New Roman" w:cs="Times New Roman"/>
          <w:bCs/>
          <w:i/>
          <w:szCs w:val="24"/>
        </w:rPr>
        <w:t xml:space="preserve">. </w:t>
      </w:r>
      <w:r w:rsidRPr="00262C58">
        <w:rPr>
          <w:rFonts w:eastAsia="Times New Roman" w:cs="Times New Roman"/>
          <w:szCs w:val="24"/>
        </w:rPr>
        <w:t>The</w:t>
      </w:r>
      <w:r w:rsidR="00BA46F5">
        <w:rPr>
          <w:rFonts w:eastAsia="Times New Roman" w:cs="Times New Roman"/>
          <w:szCs w:val="24"/>
        </w:rPr>
        <w:t xml:space="preserve"> supportive therapy </w:t>
      </w:r>
      <w:r w:rsidRPr="00262C58">
        <w:rPr>
          <w:rFonts w:eastAsia="Times New Roman" w:cs="Times New Roman"/>
          <w:szCs w:val="24"/>
        </w:rPr>
        <w:t xml:space="preserve">techniques </w:t>
      </w:r>
      <w:r w:rsidR="00F97465">
        <w:rPr>
          <w:rFonts w:eastAsia="Times New Roman" w:cs="Times New Roman"/>
          <w:szCs w:val="24"/>
        </w:rPr>
        <w:t xml:space="preserve">used </w:t>
      </w:r>
      <w:r w:rsidRPr="00262C58">
        <w:rPr>
          <w:rFonts w:eastAsia="Times New Roman" w:cs="Times New Roman"/>
          <w:szCs w:val="24"/>
        </w:rPr>
        <w:t xml:space="preserve">are </w:t>
      </w:r>
      <w:r w:rsidRPr="00FE1EC5">
        <w:rPr>
          <w:rFonts w:eastAsia="Times New Roman" w:cs="Times New Roman"/>
          <w:szCs w:val="24"/>
        </w:rPr>
        <w:t xml:space="preserve">described in detail </w:t>
      </w:r>
      <w:r w:rsidR="00310686">
        <w:rPr>
          <w:rFonts w:eastAsia="Times New Roman" w:cs="Times New Roman"/>
          <w:szCs w:val="24"/>
        </w:rPr>
        <w:t>elsewhere</w:t>
      </w:r>
      <w:r w:rsidR="00A1284D">
        <w:rPr>
          <w:rFonts w:eastAsia="Times New Roman" w:cs="Times New Roman"/>
          <w:szCs w:val="24"/>
        </w:rPr>
        <w:t xml:space="preserve"> </w:t>
      </w:r>
      <w:r w:rsidR="00903C18" w:rsidRPr="00FE1EC5">
        <w:rPr>
          <w:rFonts w:eastAsia="Times New Roman" w:cs="Times New Roman"/>
          <w:szCs w:val="24"/>
        </w:rPr>
        <w:fldChar w:fldCharType="begin" w:fldLock="1"/>
      </w:r>
      <w:r w:rsidR="005A521A">
        <w:rPr>
          <w:rFonts w:eastAsia="Times New Roman" w:cs="Times New Roman"/>
          <w:szCs w:val="24"/>
        </w:rPr>
        <w:instrText>ADDIN CSL_CITATION {"citationItems":[{"id":"ITEM-1","itemData":{"author":[{"dropping-particle":"","family":"Pinsker","given":"H.","non-dropping-particle":"","parse-names":false,"suffix":""}],"id":"ITEM-1","issued":{"date-parts":[["1997"]]},"publisher":"The Analytic Press, Inc.","publisher-place":"Hillsdale, NJ","title":"A primer of supportive psychotherapy","type":"book"},"uris":["http://www.mendeley.com/documents/?uuid=af330e01-8bf2-4d04-9b87-393692c5244d","http://www.mendeley.com/documents/?uuid=0199a6ba-f180-4f56-b224-2accb02918db"]},{"id":"ITEM-2","itemData":{"author":[{"dropping-particle":"","family":"Pinsker","given":"H.","non-dropping-particle":"","parse-names":false,"suffix":""},{"dropping-particle":"","family":"Rosenthal","given":"R.","non-dropping-particle":"","parse-names":false,"suffix":""}],"container-title":"Social and Behavior Science Documents 18","id":"ITEM-2","issued":{"date-parts":[["1988"]]},"page":"Manuscript # 2886","publisher":"American Psychological Association","publisher-place":"Washington, DC","title":"Beth Israel Medical Center Supportive Psychotherapy Manual","type":"chapter"},"uris":["http://www.mendeley.com/documents/?uuid=a2ef21c7-2abf-4f59-bd49-0ae8eee48ad2","http://www.mendeley.com/documents/?uuid=9b595860-7a77-408f-9f8c-24838c46a4b0"]},{"id":"ITEM-3","itemData":{"DOI":"10.1521/bumc_2019_83_04","author":[{"dropping-particle":"","family":"Neal-Barnett","given":"Angela M.","non-dropping-particle":"","parse-names":false,"suffix":""},{"dropping-particle":"","family":"Woods","given":"Douglas W.","non-dropping-particle":"","parse-names":false,"suffix":""},{"dropping-particle":"","family":"Espil","given":"Flint M.","non-dropping-particle":"","parse-names":false,"suffix":""},{"dropping-particle":"","family":"Davis","given":"Martale","non-dropping-particle":"","parse-names":false,"suffix":""},{"dropping-particle":"","family":"Alexander","given":"Jennifer R.","non-dropping-particle":"","parse-names":false,"suffix":""},{"dropping-particle":"","family":"Compton","given":"Scott N.","non-dropping-particle":"","parse-names":false,"suffix":""},{"dropping-particle":"","family":"Walther","given":"Michael R.","non-dropping-particle":"","parse-names":false,"suffix":""},{"dropping-particle":"","family":"Twohig","given":"Michael P.","non-dropping-particle":"","parse-names":false,"suffix":""},{"dropping-particle":"","family":"Saunders","given":"Stephen M.","non-dropping-particle":"","parse-names":false,"suffix":""},{"dropping-particle":"","family":"Cahill","given":"Shawn P.","non-dropping-particle":"","parse-names":false,"suffix":""},{"dropping-particle":"","family":"Franklin","given":"Martin E.","non-dropping-particle":"","parse-names":false,"suffix":""}],"container-title":"Bulletin of the Menninger Clinic","id":"ITEM-3","issue":"4","issued":{"date-parts":[["2019"]]},"page":"399-431","title":"Acceptance-enhanced Behavior Therapy for Trichotillomania: Randomized controlled trial rationale, methods and strategies for recruiting minority participants","type":"article-journal","volume":"83"},"uris":["http://www.mendeley.com/documents/?uuid=5f30b163-f333-44b7-90e5-1105a5758fe9"]}],"mendeley":{"formattedCitation":"(Neal-Barnett et al., 2019; Pinsker, 1997; Pinsker &amp; Rosenthal, 1988)","plainTextFormattedCitation":"(Neal-Barnett et al., 2019; Pinsker, 1997; Pinsker &amp; Rosenthal, 1988)","previouslyFormattedCitation":"(Neal-Barnett et al., 2019; Pinsker, 1997; Pinsker &amp; Rosenthal, 1988)"},"properties":{"noteIndex":0},"schema":"https://github.com/citation-style-language/schema/raw/master/csl-citation.json"}</w:instrText>
      </w:r>
      <w:r w:rsidR="00903C18" w:rsidRPr="00FE1EC5">
        <w:rPr>
          <w:rFonts w:eastAsia="Times New Roman" w:cs="Times New Roman"/>
          <w:szCs w:val="24"/>
        </w:rPr>
        <w:fldChar w:fldCharType="separate"/>
      </w:r>
      <w:r w:rsidR="00491BEB" w:rsidRPr="00491BEB">
        <w:rPr>
          <w:rFonts w:eastAsia="Times New Roman" w:cs="Times New Roman"/>
          <w:noProof/>
          <w:szCs w:val="24"/>
        </w:rPr>
        <w:t>(Neal-Barnett et al., 2019; Pinsker, 1997; Pinsker &amp; Rosenthal, 1988)</w:t>
      </w:r>
      <w:r w:rsidR="00903C18" w:rsidRPr="00FE1EC5">
        <w:rPr>
          <w:rFonts w:eastAsia="Times New Roman" w:cs="Times New Roman"/>
          <w:szCs w:val="24"/>
        </w:rPr>
        <w:fldChar w:fldCharType="end"/>
      </w:r>
      <w:r w:rsidRPr="00FE1EC5">
        <w:rPr>
          <w:rFonts w:eastAsia="Times New Roman" w:cs="Times New Roman"/>
          <w:szCs w:val="24"/>
        </w:rPr>
        <w:t xml:space="preserve"> </w:t>
      </w:r>
      <w:r w:rsidR="0086056D">
        <w:rPr>
          <w:rFonts w:eastAsia="Times New Roman" w:cs="Times New Roman"/>
          <w:szCs w:val="24"/>
        </w:rPr>
        <w:t>and</w:t>
      </w:r>
      <w:r w:rsidR="00F97465">
        <w:rPr>
          <w:rFonts w:eastAsia="Times New Roman" w:cs="Times New Roman"/>
          <w:szCs w:val="24"/>
        </w:rPr>
        <w:t xml:space="preserve"> </w:t>
      </w:r>
      <w:r w:rsidR="00EB5CE0">
        <w:rPr>
          <w:rFonts w:eastAsia="Times New Roman" w:cs="Times New Roman"/>
          <w:szCs w:val="24"/>
        </w:rPr>
        <w:t>summarized</w:t>
      </w:r>
      <w:r w:rsidR="00F97465">
        <w:rPr>
          <w:rFonts w:eastAsia="Times New Roman" w:cs="Times New Roman"/>
          <w:szCs w:val="24"/>
        </w:rPr>
        <w:t xml:space="preserve"> here. </w:t>
      </w:r>
      <w:r w:rsidR="007660AE">
        <w:rPr>
          <w:rFonts w:eastAsia="Times New Roman" w:cs="Times New Roman"/>
          <w:szCs w:val="24"/>
        </w:rPr>
        <w:t>I</w:t>
      </w:r>
      <w:r w:rsidR="00F2208A">
        <w:rPr>
          <w:rFonts w:eastAsia="Times New Roman" w:cs="Times New Roman"/>
          <w:szCs w:val="24"/>
        </w:rPr>
        <w:t xml:space="preserve">n Session 1, the therapist </w:t>
      </w:r>
      <w:r w:rsidRPr="00262C58">
        <w:rPr>
          <w:rFonts w:eastAsia="Times New Roman" w:cs="Times New Roman"/>
          <w:szCs w:val="24"/>
        </w:rPr>
        <w:t>learn</w:t>
      </w:r>
      <w:r w:rsidR="00F2208A">
        <w:rPr>
          <w:rFonts w:eastAsia="Times New Roman" w:cs="Times New Roman"/>
          <w:szCs w:val="24"/>
        </w:rPr>
        <w:t xml:space="preserve">ed </w:t>
      </w:r>
      <w:r w:rsidRPr="00262C58">
        <w:rPr>
          <w:rFonts w:eastAsia="Times New Roman" w:cs="Times New Roman"/>
          <w:szCs w:val="24"/>
        </w:rPr>
        <w:t>about the participant and present</w:t>
      </w:r>
      <w:r w:rsidR="00F2208A">
        <w:rPr>
          <w:rFonts w:eastAsia="Times New Roman" w:cs="Times New Roman"/>
          <w:szCs w:val="24"/>
        </w:rPr>
        <w:t>ed</w:t>
      </w:r>
      <w:r w:rsidRPr="00262C58">
        <w:rPr>
          <w:rFonts w:eastAsia="Times New Roman" w:cs="Times New Roman"/>
          <w:szCs w:val="24"/>
        </w:rPr>
        <w:t xml:space="preserve"> the treatment rationale.</w:t>
      </w:r>
      <w:r w:rsidR="00950D36">
        <w:rPr>
          <w:rFonts w:eastAsia="Times New Roman" w:cs="Times New Roman"/>
          <w:szCs w:val="24"/>
        </w:rPr>
        <w:t xml:space="preserve"> </w:t>
      </w:r>
      <w:r w:rsidRPr="00262C58">
        <w:rPr>
          <w:rFonts w:eastAsia="Times New Roman" w:cs="Times New Roman"/>
          <w:szCs w:val="24"/>
        </w:rPr>
        <w:t xml:space="preserve">During Sessions 2-10, a series of </w:t>
      </w:r>
      <w:r w:rsidRPr="00E43C40">
        <w:rPr>
          <w:rFonts w:eastAsia="Times New Roman" w:cs="Times New Roman"/>
          <w:szCs w:val="24"/>
        </w:rPr>
        <w:t>educational topics w</w:t>
      </w:r>
      <w:r w:rsidR="00F2208A" w:rsidRPr="00E43C40">
        <w:rPr>
          <w:rFonts w:eastAsia="Times New Roman" w:cs="Times New Roman"/>
          <w:szCs w:val="24"/>
        </w:rPr>
        <w:t>ere discussed</w:t>
      </w:r>
      <w:r w:rsidR="004426DE" w:rsidRPr="00E43C40">
        <w:rPr>
          <w:rFonts w:eastAsia="Times New Roman" w:cs="Times New Roman"/>
          <w:szCs w:val="24"/>
        </w:rPr>
        <w:t>,</w:t>
      </w:r>
      <w:r w:rsidRPr="00E43C40">
        <w:rPr>
          <w:rFonts w:eastAsia="Times New Roman" w:cs="Times New Roman"/>
          <w:szCs w:val="24"/>
        </w:rPr>
        <w:t xml:space="preserve"> and homework related to each </w:t>
      </w:r>
      <w:r w:rsidR="00C126E2" w:rsidRPr="00E43C40">
        <w:rPr>
          <w:rFonts w:eastAsia="Times New Roman" w:cs="Times New Roman"/>
          <w:szCs w:val="24"/>
        </w:rPr>
        <w:t xml:space="preserve">discussed </w:t>
      </w:r>
      <w:r w:rsidRPr="00E43C40">
        <w:rPr>
          <w:rFonts w:eastAsia="Times New Roman" w:cs="Times New Roman"/>
          <w:szCs w:val="24"/>
        </w:rPr>
        <w:t>topic</w:t>
      </w:r>
      <w:r w:rsidR="0086056D">
        <w:rPr>
          <w:rFonts w:eastAsia="Times New Roman" w:cs="Times New Roman"/>
          <w:szCs w:val="24"/>
        </w:rPr>
        <w:t xml:space="preserve"> was assigned</w:t>
      </w:r>
      <w:r w:rsidRPr="00E43C40">
        <w:rPr>
          <w:rFonts w:eastAsia="Times New Roman" w:cs="Times New Roman"/>
          <w:szCs w:val="24"/>
        </w:rPr>
        <w:t xml:space="preserve">. </w:t>
      </w:r>
      <w:r w:rsidR="00F6683E" w:rsidRPr="00E43C40">
        <w:rPr>
          <w:rFonts w:eastAsia="Times New Roman" w:cs="Times New Roman"/>
          <w:szCs w:val="24"/>
        </w:rPr>
        <w:t>T</w:t>
      </w:r>
      <w:r w:rsidRPr="00E43C40">
        <w:rPr>
          <w:rFonts w:eastAsia="Times New Roman" w:cs="Times New Roman"/>
          <w:szCs w:val="24"/>
        </w:rPr>
        <w:t xml:space="preserve">opics </w:t>
      </w:r>
      <w:r w:rsidR="00F6683E" w:rsidRPr="00E43C40">
        <w:rPr>
          <w:rFonts w:eastAsia="Times New Roman" w:cs="Times New Roman"/>
          <w:szCs w:val="24"/>
        </w:rPr>
        <w:t xml:space="preserve">discussed </w:t>
      </w:r>
      <w:r w:rsidRPr="00E43C40">
        <w:rPr>
          <w:rFonts w:eastAsia="Times New Roman" w:cs="Times New Roman"/>
          <w:szCs w:val="24"/>
        </w:rPr>
        <w:t>include</w:t>
      </w:r>
      <w:r w:rsidR="00F2208A" w:rsidRPr="00E43C40">
        <w:rPr>
          <w:rFonts w:eastAsia="Times New Roman" w:cs="Times New Roman"/>
          <w:szCs w:val="24"/>
        </w:rPr>
        <w:t>d</w:t>
      </w:r>
      <w:r w:rsidRPr="00E43C40">
        <w:rPr>
          <w:rFonts w:eastAsia="Times New Roman" w:cs="Times New Roman"/>
          <w:szCs w:val="24"/>
        </w:rPr>
        <w:t xml:space="preserve"> facts about </w:t>
      </w:r>
      <w:r w:rsidR="00C126E2" w:rsidRPr="00E43C40">
        <w:rPr>
          <w:rFonts w:eastAsia="Times New Roman" w:cs="Times New Roman"/>
          <w:szCs w:val="24"/>
        </w:rPr>
        <w:t>TTM</w:t>
      </w:r>
      <w:r w:rsidRPr="00E43C40">
        <w:rPr>
          <w:rFonts w:eastAsia="Times New Roman" w:cs="Times New Roman"/>
          <w:szCs w:val="24"/>
        </w:rPr>
        <w:t xml:space="preserve">, comorbid conditions of TTM, causes of TTM, impact of TTM on social functioning, risk and protective factors, healthy </w:t>
      </w:r>
      <w:r w:rsidRPr="00262C58">
        <w:rPr>
          <w:rFonts w:eastAsia="Times New Roman" w:cs="Times New Roman"/>
          <w:szCs w:val="24"/>
        </w:rPr>
        <w:t xml:space="preserve">habits, and frequently asked questions about </w:t>
      </w:r>
      <w:r w:rsidR="00F2208A">
        <w:rPr>
          <w:rFonts w:eastAsia="Times New Roman" w:cs="Times New Roman"/>
          <w:szCs w:val="24"/>
        </w:rPr>
        <w:t>TTM</w:t>
      </w:r>
      <w:r w:rsidRPr="00262C58">
        <w:rPr>
          <w:rFonts w:eastAsia="Times New Roman" w:cs="Times New Roman"/>
          <w:szCs w:val="24"/>
        </w:rPr>
        <w:t xml:space="preserve">. </w:t>
      </w:r>
      <w:r w:rsidR="00E43C40" w:rsidRPr="00E43C40">
        <w:rPr>
          <w:rFonts w:eastAsia="Times New Roman" w:cs="Times New Roman"/>
          <w:szCs w:val="24"/>
        </w:rPr>
        <w:t xml:space="preserve">One topic was discussed </w:t>
      </w:r>
      <w:r w:rsidR="00E43C40">
        <w:rPr>
          <w:rFonts w:eastAsia="Times New Roman" w:cs="Times New Roman"/>
          <w:szCs w:val="24"/>
        </w:rPr>
        <w:t xml:space="preserve">per </w:t>
      </w:r>
      <w:r w:rsidR="00E43C40" w:rsidRPr="00E43C40">
        <w:rPr>
          <w:rFonts w:eastAsia="Times New Roman" w:cs="Times New Roman"/>
          <w:szCs w:val="24"/>
        </w:rPr>
        <w:t xml:space="preserve">session. </w:t>
      </w:r>
      <w:r w:rsidR="00E43C40">
        <w:rPr>
          <w:rFonts w:eastAsia="Times New Roman" w:cs="Times New Roman"/>
          <w:szCs w:val="24"/>
        </w:rPr>
        <w:t>Further, i</w:t>
      </w:r>
      <w:r w:rsidR="00F97465">
        <w:rPr>
          <w:rFonts w:eastAsia="Times New Roman" w:cs="Times New Roman"/>
          <w:szCs w:val="24"/>
        </w:rPr>
        <w:t>n discussing each topic, therapists also</w:t>
      </w:r>
      <w:r w:rsidRPr="00262C58">
        <w:rPr>
          <w:rFonts w:eastAsia="Times New Roman" w:cs="Times New Roman"/>
          <w:szCs w:val="24"/>
        </w:rPr>
        <w:t xml:space="preserve"> discuss</w:t>
      </w:r>
      <w:r>
        <w:rPr>
          <w:rFonts w:eastAsia="Times New Roman" w:cs="Times New Roman"/>
          <w:szCs w:val="24"/>
        </w:rPr>
        <w:t>ed</w:t>
      </w:r>
      <w:r w:rsidRPr="00262C58">
        <w:rPr>
          <w:rFonts w:eastAsia="Times New Roman" w:cs="Times New Roman"/>
          <w:szCs w:val="24"/>
        </w:rPr>
        <w:t xml:space="preserve"> </w:t>
      </w:r>
      <w:r w:rsidR="00F2208A">
        <w:rPr>
          <w:rFonts w:eastAsia="Times New Roman" w:cs="Times New Roman"/>
          <w:szCs w:val="24"/>
        </w:rPr>
        <w:t>the</w:t>
      </w:r>
      <w:r w:rsidRPr="00262C58">
        <w:rPr>
          <w:rFonts w:eastAsia="Times New Roman" w:cs="Times New Roman"/>
          <w:szCs w:val="24"/>
        </w:rPr>
        <w:t xml:space="preserve"> </w:t>
      </w:r>
      <w:r w:rsidR="00F97465">
        <w:rPr>
          <w:rFonts w:eastAsia="Times New Roman" w:cs="Times New Roman"/>
          <w:szCs w:val="24"/>
        </w:rPr>
        <w:t xml:space="preserve">topic’s </w:t>
      </w:r>
      <w:r w:rsidRPr="00262C58">
        <w:rPr>
          <w:rFonts w:eastAsia="Times New Roman" w:cs="Times New Roman"/>
          <w:szCs w:val="24"/>
        </w:rPr>
        <w:t xml:space="preserve">relevance </w:t>
      </w:r>
      <w:r w:rsidR="00F2208A">
        <w:rPr>
          <w:rFonts w:eastAsia="Times New Roman" w:cs="Times New Roman"/>
          <w:szCs w:val="24"/>
        </w:rPr>
        <w:t>to</w:t>
      </w:r>
      <w:r w:rsidRPr="00262C58">
        <w:rPr>
          <w:rFonts w:eastAsia="Times New Roman" w:cs="Times New Roman"/>
          <w:szCs w:val="24"/>
        </w:rPr>
        <w:t xml:space="preserve"> th</w:t>
      </w:r>
      <w:r w:rsidR="00F97465">
        <w:rPr>
          <w:rFonts w:eastAsia="Times New Roman" w:cs="Times New Roman"/>
          <w:szCs w:val="24"/>
        </w:rPr>
        <w:t>e</w:t>
      </w:r>
      <w:r w:rsidRPr="00262C58">
        <w:rPr>
          <w:rFonts w:eastAsia="Times New Roman" w:cs="Times New Roman"/>
          <w:szCs w:val="24"/>
        </w:rPr>
        <w:t xml:space="preserve"> participant. Therapists provide</w:t>
      </w:r>
      <w:r w:rsidR="00F2208A">
        <w:rPr>
          <w:rFonts w:eastAsia="Times New Roman" w:cs="Times New Roman"/>
          <w:szCs w:val="24"/>
        </w:rPr>
        <w:t>d</w:t>
      </w:r>
      <w:r w:rsidRPr="00262C58">
        <w:rPr>
          <w:rFonts w:eastAsia="Times New Roman" w:cs="Times New Roman"/>
          <w:szCs w:val="24"/>
        </w:rPr>
        <w:t xml:space="preserve"> su</w:t>
      </w:r>
      <w:r w:rsidR="001A0A5C">
        <w:rPr>
          <w:rFonts w:eastAsia="Times New Roman" w:cs="Times New Roman"/>
          <w:szCs w:val="24"/>
        </w:rPr>
        <w:t>pport around topics discussed.</w:t>
      </w:r>
    </w:p>
    <w:p w14:paraId="33F9A355" w14:textId="7B6F5E2F" w:rsidR="005232CF" w:rsidRPr="00262C58" w:rsidRDefault="005232CF" w:rsidP="00CF2EEA">
      <w:pPr>
        <w:widowControl w:val="0"/>
        <w:spacing w:line="480" w:lineRule="auto"/>
        <w:ind w:firstLine="720"/>
        <w:rPr>
          <w:rFonts w:eastAsia="Times New Roman" w:cs="Times New Roman"/>
          <w:szCs w:val="24"/>
        </w:rPr>
      </w:pPr>
      <w:r w:rsidRPr="00201C8B">
        <w:rPr>
          <w:rFonts w:eastAsia="Times New Roman" w:cs="Times New Roman"/>
          <w:b/>
          <w:szCs w:val="24"/>
        </w:rPr>
        <w:t xml:space="preserve">Therapist </w:t>
      </w:r>
      <w:r w:rsidR="00A16707">
        <w:rPr>
          <w:rFonts w:eastAsia="Times New Roman" w:cs="Times New Roman"/>
          <w:b/>
          <w:szCs w:val="24"/>
        </w:rPr>
        <w:t>d</w:t>
      </w:r>
      <w:r w:rsidRPr="00201C8B">
        <w:rPr>
          <w:rFonts w:eastAsia="Times New Roman" w:cs="Times New Roman"/>
          <w:b/>
          <w:szCs w:val="24"/>
        </w:rPr>
        <w:t>escription.</w:t>
      </w:r>
      <w:r w:rsidRPr="00062E40">
        <w:rPr>
          <w:rFonts w:eastAsia="Times New Roman" w:cs="Times New Roman"/>
          <w:i/>
          <w:szCs w:val="24"/>
        </w:rPr>
        <w:t xml:space="preserve"> </w:t>
      </w:r>
      <w:r>
        <w:rPr>
          <w:rFonts w:eastAsia="Times New Roman" w:cs="Times New Roman"/>
          <w:szCs w:val="24"/>
        </w:rPr>
        <w:t xml:space="preserve">Four (3 men, 1 woman) individuals (2 Ph.D.’s, </w:t>
      </w:r>
      <w:r w:rsidR="002B152A">
        <w:rPr>
          <w:rFonts w:eastAsia="Times New Roman" w:cs="Times New Roman"/>
          <w:szCs w:val="24"/>
        </w:rPr>
        <w:t xml:space="preserve">2 </w:t>
      </w:r>
      <w:r>
        <w:rPr>
          <w:rFonts w:eastAsia="Times New Roman" w:cs="Times New Roman"/>
          <w:szCs w:val="24"/>
        </w:rPr>
        <w:t>Master’s degrees) served as project therapists. T</w:t>
      </w:r>
      <w:r w:rsidRPr="00262C58">
        <w:rPr>
          <w:rFonts w:eastAsia="Times New Roman" w:cs="Times New Roman"/>
          <w:szCs w:val="24"/>
        </w:rPr>
        <w:t xml:space="preserve">herapists </w:t>
      </w:r>
      <w:r>
        <w:rPr>
          <w:rFonts w:eastAsia="Times New Roman" w:cs="Times New Roman"/>
          <w:szCs w:val="24"/>
        </w:rPr>
        <w:t>were trained using both didactic and competency based criteria</w:t>
      </w:r>
      <w:r w:rsidR="00A1284D">
        <w:rPr>
          <w:rFonts w:eastAsia="Times New Roman" w:cs="Times New Roman"/>
          <w:szCs w:val="24"/>
        </w:rPr>
        <w:t xml:space="preserve"> </w:t>
      </w:r>
      <w:r w:rsidR="002B152A">
        <w:rPr>
          <w:rFonts w:eastAsia="Times New Roman" w:cs="Times New Roman"/>
          <w:szCs w:val="24"/>
        </w:rPr>
        <w:fldChar w:fldCharType="begin" w:fldLock="1"/>
      </w:r>
      <w:r w:rsidR="005A521A">
        <w:rPr>
          <w:rFonts w:eastAsia="Times New Roman" w:cs="Times New Roman"/>
          <w:szCs w:val="24"/>
        </w:rPr>
        <w:instrText>ADDIN CSL_CITATION {"citationItems":[{"id":"ITEM-1","itemData":{"DOI":"10.1521/bumc_2019_83_04","author":[{"dropping-particle":"","family":"Neal-Barnett","given":"Angela M.","non-dropping-particle":"","parse-names":false,"suffix":""},{"dropping-particle":"","family":"Woods","given":"Douglas W.","non-dropping-particle":"","parse-names":false,"suffix":""},{"dropping-particle":"","family":"Espil","given":"Flint M.","non-dropping-particle":"","parse-names":false,"suffix":""},{"dropping-particle":"","family":"Davis","given":"Martale","non-dropping-particle":"","parse-names":false,"suffix":""},{"dropping-particle":"","family":"Alexander","given":"Jennifer R.","non-dropping-particle":"","parse-names":false,"suffix":""},{"dropping-particle":"","family":"Compton","given":"Scott N.","non-dropping-particle":"","parse-names":false,"suffix":""},{"dropping-particle":"","family":"Walther","given":"Michael R.","non-dropping-particle":"","parse-names":false,"suffix":""},{"dropping-particle":"","family":"Twohig","given":"Michael P.","non-dropping-particle":"","parse-names":false,"suffix":""},{"dropping-particle":"","family":"Saunders","given":"Stephen M.","non-dropping-particle":"","parse-names":false,"suffix":""},{"dropping-particle":"","family":"Cahill","given":"Shawn P.","non-dropping-particle":"","parse-names":false,"suffix":""},{"dropping-particle":"","family":"Franklin","given":"Martin E.","non-dropping-particle":"","parse-names":false,"suffix":""}],"container-title":"Bulletin of the Menninger Clinic","id":"ITEM-1","issue":"4","issued":{"date-parts":[["2019"]]},"page":"399-431","title":"Acceptance-enhanced Behavior Therapy for Trichotillomania: Randomized controlled trial rationale, methods and strategies for recruiting minority participants","type":"article-journal","volume":"83"},"uris":["http://www.mendeley.com/documents/?uuid=5f30b163-f333-44b7-90e5-1105a5758fe9"]}],"mendeley":{"formattedCitation":"(Neal-Barnett et al., 2019)","plainTextFormattedCitation":"(Neal-Barnett et al., 2019)","previouslyFormattedCitation":"(Neal-Barnett et al., 2019)"},"properties":{"noteIndex":0},"schema":"https://github.com/citation-style-language/schema/raw/master/csl-citation.json"}</w:instrText>
      </w:r>
      <w:r w:rsidR="002B152A">
        <w:rPr>
          <w:rFonts w:eastAsia="Times New Roman" w:cs="Times New Roman"/>
          <w:szCs w:val="24"/>
        </w:rPr>
        <w:fldChar w:fldCharType="separate"/>
      </w:r>
      <w:r w:rsidR="00491BEB" w:rsidRPr="00491BEB">
        <w:rPr>
          <w:rFonts w:eastAsia="Times New Roman" w:cs="Times New Roman"/>
          <w:noProof/>
          <w:szCs w:val="24"/>
        </w:rPr>
        <w:t>(Neal-Barnett et al., 2019)</w:t>
      </w:r>
      <w:r w:rsidR="002B152A">
        <w:rPr>
          <w:rFonts w:eastAsia="Times New Roman" w:cs="Times New Roman"/>
          <w:szCs w:val="24"/>
        </w:rPr>
        <w:fldChar w:fldCharType="end"/>
      </w:r>
      <w:r w:rsidR="00A1284D">
        <w:rPr>
          <w:rFonts w:eastAsia="Times New Roman" w:cs="Times New Roman"/>
          <w:szCs w:val="24"/>
        </w:rPr>
        <w:t>.</w:t>
      </w:r>
      <w:r w:rsidR="00A16707">
        <w:rPr>
          <w:rFonts w:eastAsia="Times New Roman" w:cs="Times New Roman"/>
          <w:szCs w:val="24"/>
        </w:rPr>
        <w:t xml:space="preserve"> </w:t>
      </w:r>
      <w:r>
        <w:rPr>
          <w:rFonts w:eastAsia="Times New Roman" w:cs="Times New Roman"/>
          <w:szCs w:val="24"/>
        </w:rPr>
        <w:t>All therapists saw patients in both conditions.</w:t>
      </w:r>
      <w:r w:rsidR="00A16707">
        <w:rPr>
          <w:rFonts w:eastAsia="Times New Roman" w:cs="Times New Roman"/>
          <w:szCs w:val="24"/>
        </w:rPr>
        <w:t xml:space="preserve"> </w:t>
      </w:r>
      <w:r w:rsidR="00050F11">
        <w:rPr>
          <w:rFonts w:eastAsia="Times New Roman" w:cs="Times New Roman"/>
          <w:szCs w:val="24"/>
        </w:rPr>
        <w:t>Weekly supervision was provided by s</w:t>
      </w:r>
      <w:r>
        <w:rPr>
          <w:rFonts w:eastAsia="Times New Roman" w:cs="Times New Roman"/>
          <w:szCs w:val="24"/>
        </w:rPr>
        <w:t>eparate supervisors assigned to each condition</w:t>
      </w:r>
      <w:r w:rsidR="00050F11">
        <w:rPr>
          <w:rFonts w:eastAsia="Times New Roman" w:cs="Times New Roman"/>
          <w:szCs w:val="24"/>
        </w:rPr>
        <w:t>.</w:t>
      </w:r>
    </w:p>
    <w:p w14:paraId="265818A3" w14:textId="2413AFFA" w:rsidR="003539C9" w:rsidRDefault="002A45AB" w:rsidP="00CF2EEA">
      <w:pPr>
        <w:widowControl w:val="0"/>
        <w:spacing w:line="480" w:lineRule="auto"/>
        <w:ind w:firstLine="720"/>
        <w:rPr>
          <w:rFonts w:eastAsia="Times New Roman" w:cs="Times New Roman"/>
          <w:szCs w:val="24"/>
        </w:rPr>
      </w:pPr>
      <w:r w:rsidRPr="009A52F4">
        <w:rPr>
          <w:rFonts w:eastAsia="Times New Roman" w:cs="Times New Roman"/>
          <w:b/>
          <w:szCs w:val="24"/>
        </w:rPr>
        <w:t xml:space="preserve">Treatment </w:t>
      </w:r>
      <w:r w:rsidR="00A16707">
        <w:rPr>
          <w:rFonts w:eastAsia="Times New Roman" w:cs="Times New Roman"/>
          <w:b/>
          <w:szCs w:val="24"/>
        </w:rPr>
        <w:t>q</w:t>
      </w:r>
      <w:r w:rsidR="00FD2374" w:rsidRPr="009A52F4">
        <w:rPr>
          <w:rFonts w:eastAsia="Times New Roman" w:cs="Times New Roman"/>
          <w:b/>
          <w:szCs w:val="24"/>
        </w:rPr>
        <w:t>uality.</w:t>
      </w:r>
      <w:r w:rsidR="00FD2374" w:rsidRPr="001A0A5C">
        <w:rPr>
          <w:rFonts w:eastAsia="Times New Roman" w:cs="Times New Roman"/>
          <w:szCs w:val="24"/>
        </w:rPr>
        <w:t xml:space="preserve"> </w:t>
      </w:r>
      <w:r w:rsidR="00FB59CE">
        <w:rPr>
          <w:rFonts w:eastAsia="Times New Roman" w:cs="Times New Roman"/>
          <w:szCs w:val="24"/>
        </w:rPr>
        <w:t xml:space="preserve">As described in </w:t>
      </w:r>
      <w:proofErr w:type="spellStart"/>
      <w:r w:rsidR="001A0A5C" w:rsidRPr="001A0A5C">
        <w:rPr>
          <w:rFonts w:eastAsia="Times New Roman" w:cs="Times New Roman"/>
          <w:szCs w:val="24"/>
        </w:rPr>
        <w:t>Neal-Barnett</w:t>
      </w:r>
      <w:proofErr w:type="spellEnd"/>
      <w:r w:rsidR="001A0A5C" w:rsidRPr="001A0A5C">
        <w:rPr>
          <w:rFonts w:eastAsia="Times New Roman" w:cs="Times New Roman"/>
          <w:szCs w:val="24"/>
        </w:rPr>
        <w:t xml:space="preserve"> et al.</w:t>
      </w:r>
      <w:r w:rsidR="00A1284D">
        <w:rPr>
          <w:rFonts w:eastAsia="Times New Roman" w:cs="Times New Roman"/>
          <w:szCs w:val="24"/>
        </w:rPr>
        <w:t xml:space="preserve"> </w:t>
      </w:r>
      <w:r w:rsidR="001A0A5C" w:rsidRPr="001A0A5C">
        <w:rPr>
          <w:rFonts w:eastAsia="Times New Roman" w:cs="Times New Roman"/>
          <w:szCs w:val="24"/>
        </w:rPr>
        <w:fldChar w:fldCharType="begin" w:fldLock="1"/>
      </w:r>
      <w:r w:rsidR="005A521A">
        <w:rPr>
          <w:rFonts w:eastAsia="Times New Roman" w:cs="Times New Roman"/>
          <w:szCs w:val="24"/>
        </w:rPr>
        <w:instrText>ADDIN CSL_CITATION {"citationItems":[{"id":"ITEM-1","itemData":{"DOI":"10.1521/bumc_2019_83_04","author":[{"dropping-particle":"","family":"Neal-Barnett","given":"Angela M.","non-dropping-particle":"","parse-names":false,"suffix":""},{"dropping-particle":"","family":"Woods","given":"Douglas W.","non-dropping-particle":"","parse-names":false,"suffix":""},{"dropping-particle":"","family":"Espil","given":"Flint M.","non-dropping-particle":"","parse-names":false,"suffix":""},{"dropping-particle":"","family":"Davis","given":"Martale","non-dropping-particle":"","parse-names":false,"suffix":""},{"dropping-particle":"","family":"Alexander","given":"Jennifer R.","non-dropping-particle":"","parse-names":false,"suffix":""},{"dropping-particle":"","family":"Compton","given":"Scott N.","non-dropping-particle":"","parse-names":false,"suffix":""},{"dropping-particle":"","family":"Walther","given":"Michael R.","non-dropping-particle":"","parse-names":false,"suffix":""},{"dropping-particle":"","family":"Twohig","given":"Michael P.","non-dropping-particle":"","parse-names":false,"suffix":""},{"dropping-particle":"","family":"Saunders","given":"Stephen M.","non-dropping-particle":"","parse-names":false,"suffix":""},{"dropping-particle":"","family":"Cahill","given":"Shawn P.","non-dropping-particle":"","parse-names":false,"suffix":""},{"dropping-particle":"","family":"Franklin","given":"Martin E.","non-dropping-particle":"","parse-names":false,"suffix":""}],"container-title":"Bulletin of the Menninger Clinic","id":"ITEM-1","issue":"4","issued":{"date-parts":[["2019"]]},"page":"399-431","title":"Acceptance-enhanced Behavior Therapy for Trichotillomania: Randomized controlled trial rationale, methods and strategies for recruiting minority participants","type":"article-journal","volume":"83"},"uris":["http://www.mendeley.com/documents/?uuid=5f30b163-f333-44b7-90e5-1105a5758fe9"]}],"mendeley":{"formattedCitation":"(Neal-Barnett et al., 2019)","plainTextFormattedCitation":"(Neal-Barnett et al., 2019)","previouslyFormattedCitation":"(Neal-Barnett et al., 2019)"},"properties":{"noteIndex":0},"schema":"https://github.com/citation-style-language/schema/raw/master/csl-citation.json"}</w:instrText>
      </w:r>
      <w:r w:rsidR="001A0A5C" w:rsidRPr="001A0A5C">
        <w:rPr>
          <w:rFonts w:eastAsia="Times New Roman" w:cs="Times New Roman"/>
          <w:szCs w:val="24"/>
        </w:rPr>
        <w:fldChar w:fldCharType="separate"/>
      </w:r>
      <w:r w:rsidR="00491BEB" w:rsidRPr="00491BEB">
        <w:rPr>
          <w:rFonts w:eastAsia="Times New Roman" w:cs="Times New Roman"/>
          <w:noProof/>
          <w:szCs w:val="24"/>
        </w:rPr>
        <w:t>(Neal-Barnett et al., 2019)</w:t>
      </w:r>
      <w:r w:rsidR="001A0A5C" w:rsidRPr="001A0A5C">
        <w:rPr>
          <w:rFonts w:eastAsia="Times New Roman" w:cs="Times New Roman"/>
          <w:szCs w:val="24"/>
        </w:rPr>
        <w:fldChar w:fldCharType="end"/>
      </w:r>
      <w:r w:rsidR="00A1284D">
        <w:rPr>
          <w:rFonts w:eastAsia="Times New Roman" w:cs="Times New Roman"/>
          <w:szCs w:val="24"/>
        </w:rPr>
        <w:t>,</w:t>
      </w:r>
      <w:r w:rsidR="00FB59CE" w:rsidRPr="002B152A">
        <w:rPr>
          <w:rFonts w:eastAsia="Times New Roman" w:cs="Times New Roman"/>
          <w:szCs w:val="24"/>
        </w:rPr>
        <w:t xml:space="preserve"> </w:t>
      </w:r>
      <w:r w:rsidR="00FB59CE">
        <w:rPr>
          <w:rFonts w:eastAsia="Times New Roman" w:cs="Times New Roman"/>
          <w:szCs w:val="24"/>
        </w:rPr>
        <w:t xml:space="preserve">treatment integrity and fidelity </w:t>
      </w:r>
      <w:r w:rsidR="00950D36">
        <w:rPr>
          <w:rFonts w:eastAsia="Times New Roman" w:cs="Times New Roman"/>
          <w:szCs w:val="24"/>
        </w:rPr>
        <w:t xml:space="preserve">were </w:t>
      </w:r>
      <w:r w:rsidR="00FB59CE">
        <w:rPr>
          <w:rFonts w:eastAsia="Times New Roman" w:cs="Times New Roman"/>
          <w:szCs w:val="24"/>
        </w:rPr>
        <w:t>rated by independent raters</w:t>
      </w:r>
      <w:r w:rsidR="00050F11">
        <w:rPr>
          <w:rFonts w:eastAsia="Times New Roman" w:cs="Times New Roman"/>
          <w:szCs w:val="24"/>
        </w:rPr>
        <w:t>. R</w:t>
      </w:r>
      <w:r w:rsidR="00FB59CE">
        <w:rPr>
          <w:rFonts w:eastAsia="Times New Roman" w:cs="Times New Roman"/>
          <w:szCs w:val="24"/>
        </w:rPr>
        <w:t>esults showed that both conditions were implemented with high integrity and with fidelity to the intent of the protocol</w:t>
      </w:r>
      <w:r w:rsidR="00A1284D">
        <w:rPr>
          <w:rFonts w:eastAsia="Times New Roman" w:cs="Times New Roman"/>
          <w:szCs w:val="24"/>
        </w:rPr>
        <w:t xml:space="preserve"> </w:t>
      </w:r>
      <w:r w:rsidR="00BC54FE">
        <w:rPr>
          <w:rFonts w:eastAsia="Times New Roman" w:cs="Times New Roman"/>
          <w:szCs w:val="24"/>
        </w:rPr>
        <w:fldChar w:fldCharType="begin" w:fldLock="1"/>
      </w:r>
      <w:r w:rsidR="005A521A">
        <w:rPr>
          <w:rFonts w:eastAsia="Times New Roman" w:cs="Times New Roman"/>
          <w:szCs w:val="24"/>
        </w:rPr>
        <w:instrText>ADDIN CSL_CITATION {"citationItems":[{"id":"ITEM-1","itemData":{"DOI":"10.1521/bumc_2019_83_04","author":[{"dropping-particle":"","family":"Neal-Barnett","given":"Angela M.","non-dropping-particle":"","parse-names":false,"suffix":""},{"dropping-particle":"","family":"Woods","given":"Douglas W.","non-dropping-particle":"","parse-names":false,"suffix":""},{"dropping-particle":"","family":"Espil","given":"Flint M.","non-dropping-particle":"","parse-names":false,"suffix":""},{"dropping-particle":"","family":"Davis","given":"Martale","non-dropping-particle":"","parse-names":false,"suffix":""},{"dropping-particle":"","family":"Alexander","given":"Jennifer R.","non-dropping-particle":"","parse-names":false,"suffix":""},{"dropping-particle":"","family":"Compton","given":"Scott N.","non-dropping-particle":"","parse-names":false,"suffix":""},{"dropping-particle":"","family":"Walther","given":"Michael R.","non-dropping-particle":"","parse-names":false,"suffix":""},{"dropping-particle":"","family":"Twohig","given":"Michael P.","non-dropping-particle":"","parse-names":false,"suffix":""},{"dropping-particle":"","family":"Saunders","given":"Stephen M.","non-dropping-particle":"","parse-names":false,"suffix":""},{"dropping-particle":"","family":"Cahill","given":"Shawn P.","non-dropping-particle":"","parse-names":false,"suffix":""},{"dropping-particle":"","family":"Franklin","given":"Martin E.","non-dropping-particle":"","parse-names":false,"suffix":""}],"container-title":"Bulletin of the Menninger Clinic","id":"ITEM-1","issue":"4","issued":{"date-parts":[["2019"]]},"page":"399-431","title":"Acceptance-enhanced Behavior Therapy for Trichotillomania: Randomized controlled trial rationale, methods and strategies for recruiting minority participants","type":"article-journal","volume":"83"},"uris":["http://www.mendeley.com/documents/?uuid=5f30b163-f333-44b7-90e5-1105a5758fe9"]}],"mendeley":{"formattedCitation":"(Neal-Barnett et al., 2019)","plainTextFormattedCitation":"(Neal-Barnett et al., 2019)","previouslyFormattedCitation":"(Neal-Barnett et al., 2019)"},"properties":{"noteIndex":0},"schema":"https://github.com/citation-style-language/schema/raw/master/csl-citation.json"}</w:instrText>
      </w:r>
      <w:r w:rsidR="00BC54FE">
        <w:rPr>
          <w:rFonts w:eastAsia="Times New Roman" w:cs="Times New Roman"/>
          <w:szCs w:val="24"/>
        </w:rPr>
        <w:fldChar w:fldCharType="separate"/>
      </w:r>
      <w:r w:rsidR="00491BEB" w:rsidRPr="00491BEB">
        <w:rPr>
          <w:rFonts w:eastAsia="Times New Roman" w:cs="Times New Roman"/>
          <w:noProof/>
          <w:szCs w:val="24"/>
        </w:rPr>
        <w:t>(Neal-Barnett et al., 2019)</w:t>
      </w:r>
      <w:r w:rsidR="00BC54FE">
        <w:rPr>
          <w:rFonts w:eastAsia="Times New Roman" w:cs="Times New Roman"/>
          <w:szCs w:val="24"/>
        </w:rPr>
        <w:fldChar w:fldCharType="end"/>
      </w:r>
      <w:r w:rsidR="00A1284D">
        <w:rPr>
          <w:rFonts w:eastAsia="Times New Roman" w:cs="Times New Roman"/>
          <w:szCs w:val="24"/>
        </w:rPr>
        <w:t>.</w:t>
      </w:r>
    </w:p>
    <w:p w14:paraId="76B158CD" w14:textId="425706C0" w:rsidR="00515826" w:rsidRDefault="00515826" w:rsidP="00CF2EEA">
      <w:pPr>
        <w:pStyle w:val="Heading2"/>
        <w:keepNext w:val="0"/>
        <w:keepLines w:val="0"/>
        <w:widowControl w:val="0"/>
        <w:spacing w:line="480" w:lineRule="auto"/>
      </w:pPr>
      <w:r>
        <w:t>Statistical Analysis</w:t>
      </w:r>
    </w:p>
    <w:p w14:paraId="506AC12F" w14:textId="58556075" w:rsidR="0058715C" w:rsidRDefault="0058715C" w:rsidP="00CF2EEA">
      <w:pPr>
        <w:widowControl w:val="0"/>
        <w:spacing w:line="480" w:lineRule="auto"/>
        <w:ind w:firstLine="720"/>
        <w:rPr>
          <w:rFonts w:eastAsia="Times New Roman" w:cs="Times New Roman"/>
          <w:color w:val="000000"/>
          <w:szCs w:val="24"/>
        </w:rPr>
      </w:pPr>
      <w:r>
        <w:rPr>
          <w:rFonts w:eastAsia="Times New Roman" w:cs="Times New Roman"/>
          <w:color w:val="000000"/>
          <w:szCs w:val="24"/>
        </w:rPr>
        <w:t xml:space="preserve">All randomized participants were included in the analyses in accordance with intention-to-treat (ITT) </w:t>
      </w:r>
      <w:r w:rsidR="00C034ED">
        <w:rPr>
          <w:rFonts w:eastAsia="Times New Roman" w:cs="Times New Roman"/>
          <w:color w:val="000000"/>
          <w:szCs w:val="24"/>
        </w:rPr>
        <w:t xml:space="preserve">principles. Separate logistic regression models were used to test for between-group differences in response rates </w:t>
      </w:r>
      <w:r w:rsidR="00023779">
        <w:rPr>
          <w:rFonts w:eastAsia="Times New Roman" w:cs="Times New Roman"/>
          <w:color w:val="000000"/>
          <w:szCs w:val="24"/>
        </w:rPr>
        <w:t xml:space="preserve">and rates of TTM diagnoses </w:t>
      </w:r>
      <w:r w:rsidR="00C034ED">
        <w:rPr>
          <w:rFonts w:eastAsia="Times New Roman" w:cs="Times New Roman"/>
          <w:color w:val="000000"/>
          <w:szCs w:val="24"/>
        </w:rPr>
        <w:t>at week 6 and week 12</w:t>
      </w:r>
      <w:r w:rsidR="00023779">
        <w:rPr>
          <w:rFonts w:eastAsia="Times New Roman" w:cs="Times New Roman"/>
          <w:color w:val="000000"/>
          <w:szCs w:val="24"/>
        </w:rPr>
        <w:t xml:space="preserve">. Group-specific response and diagnostic rates and planned pair-wise comparisons were also calculated. Separate </w:t>
      </w:r>
      <w:r w:rsidR="00023779">
        <w:rPr>
          <w:rFonts w:eastAsia="Times New Roman" w:cs="Times New Roman"/>
          <w:color w:val="000000"/>
          <w:szCs w:val="24"/>
        </w:rPr>
        <w:lastRenderedPageBreak/>
        <w:t xml:space="preserve">longitudinal regression models were used to examine mean differences in the </w:t>
      </w:r>
      <w:r w:rsidR="00C67FF0">
        <w:rPr>
          <w:rFonts w:eastAsia="Times New Roman" w:cs="Times New Roman"/>
          <w:color w:val="000000"/>
          <w:szCs w:val="24"/>
        </w:rPr>
        <w:t>three</w:t>
      </w:r>
      <w:r w:rsidR="00023779">
        <w:rPr>
          <w:rFonts w:eastAsia="Times New Roman" w:cs="Times New Roman"/>
          <w:color w:val="000000"/>
          <w:szCs w:val="24"/>
        </w:rPr>
        <w:t xml:space="preserve"> outcome</w:t>
      </w:r>
      <w:r w:rsidR="00950D36">
        <w:rPr>
          <w:rFonts w:eastAsia="Times New Roman" w:cs="Times New Roman"/>
          <w:color w:val="000000"/>
          <w:szCs w:val="24"/>
        </w:rPr>
        <w:t xml:space="preserve"> measures</w:t>
      </w:r>
      <w:r w:rsidR="00A51116">
        <w:rPr>
          <w:rFonts w:eastAsia="Times New Roman" w:cs="Times New Roman"/>
          <w:color w:val="000000"/>
          <w:szCs w:val="24"/>
        </w:rPr>
        <w:t xml:space="preserve"> (CGI-</w:t>
      </w:r>
      <w:r w:rsidR="003C1490">
        <w:rPr>
          <w:rFonts w:eastAsia="Times New Roman" w:cs="Times New Roman"/>
          <w:color w:val="000000"/>
          <w:szCs w:val="24"/>
        </w:rPr>
        <w:t>I</w:t>
      </w:r>
      <w:r w:rsidR="00A51116">
        <w:rPr>
          <w:rFonts w:eastAsia="Times New Roman" w:cs="Times New Roman"/>
          <w:color w:val="000000"/>
          <w:szCs w:val="24"/>
        </w:rPr>
        <w:t>, NIMH-TSS, and MGH-H</w:t>
      </w:r>
      <w:r w:rsidR="00023779">
        <w:rPr>
          <w:rFonts w:eastAsia="Times New Roman" w:cs="Times New Roman"/>
          <w:color w:val="000000"/>
          <w:szCs w:val="24"/>
        </w:rPr>
        <w:t xml:space="preserve">S) between the </w:t>
      </w:r>
      <w:r w:rsidR="00C67FF0">
        <w:rPr>
          <w:rFonts w:eastAsia="Times New Roman" w:cs="Times New Roman"/>
          <w:color w:val="000000"/>
          <w:szCs w:val="24"/>
        </w:rPr>
        <w:t>two</w:t>
      </w:r>
      <w:r w:rsidR="00023779">
        <w:rPr>
          <w:rFonts w:eastAsia="Times New Roman" w:cs="Times New Roman"/>
          <w:color w:val="000000"/>
          <w:szCs w:val="24"/>
        </w:rPr>
        <w:t xml:space="preserve"> treatment groups at each assessment point (week 6 and week 12).</w:t>
      </w:r>
      <w:r w:rsidR="00950D36">
        <w:rPr>
          <w:rFonts w:eastAsia="Times New Roman" w:cs="Times New Roman"/>
          <w:color w:val="000000"/>
          <w:szCs w:val="24"/>
        </w:rPr>
        <w:t xml:space="preserve"> </w:t>
      </w:r>
      <w:r w:rsidR="00023779">
        <w:rPr>
          <w:rFonts w:eastAsia="Times New Roman" w:cs="Times New Roman"/>
          <w:color w:val="000000"/>
          <w:szCs w:val="24"/>
        </w:rPr>
        <w:t xml:space="preserve">Each regression model included indicators of time (assessment visit), group assignment, and all time </w:t>
      </w:r>
      <w:r w:rsidR="000227B4">
        <w:rPr>
          <w:rFonts w:eastAsia="Times New Roman" w:cs="Times New Roman"/>
          <w:color w:val="000000"/>
          <w:szCs w:val="24"/>
        </w:rPr>
        <w:t>×</w:t>
      </w:r>
      <w:r w:rsidR="00023779">
        <w:rPr>
          <w:rFonts w:eastAsia="Times New Roman" w:cs="Times New Roman"/>
          <w:color w:val="000000"/>
          <w:szCs w:val="24"/>
        </w:rPr>
        <w:t xml:space="preserve"> group interaction terms. </w:t>
      </w:r>
      <w:r w:rsidR="00EE6FD9">
        <w:rPr>
          <w:rFonts w:eastAsia="Times New Roman" w:cs="Times New Roman"/>
          <w:color w:val="000000"/>
          <w:szCs w:val="24"/>
        </w:rPr>
        <w:t xml:space="preserve">Each </w:t>
      </w:r>
      <w:r w:rsidR="00023779">
        <w:rPr>
          <w:rFonts w:eastAsia="Times New Roman" w:cs="Times New Roman"/>
          <w:color w:val="000000"/>
          <w:szCs w:val="24"/>
        </w:rPr>
        <w:t>model</w:t>
      </w:r>
      <w:r w:rsidR="009A4A6F">
        <w:rPr>
          <w:rFonts w:eastAsia="Times New Roman" w:cs="Times New Roman"/>
          <w:color w:val="000000"/>
          <w:szCs w:val="24"/>
        </w:rPr>
        <w:t xml:space="preserve"> </w:t>
      </w:r>
      <w:r w:rsidR="009A1ADA">
        <w:rPr>
          <w:rFonts w:eastAsia="Times New Roman" w:cs="Times New Roman"/>
          <w:color w:val="000000"/>
          <w:szCs w:val="24"/>
        </w:rPr>
        <w:t>(</w:t>
      </w:r>
      <w:r w:rsidR="00134391">
        <w:rPr>
          <w:rFonts w:eastAsia="Times New Roman" w:cs="Times New Roman"/>
          <w:color w:val="000000"/>
          <w:szCs w:val="24"/>
        </w:rPr>
        <w:t>except for</w:t>
      </w:r>
      <w:r w:rsidR="009A1ADA">
        <w:rPr>
          <w:rFonts w:eastAsia="Times New Roman" w:cs="Times New Roman"/>
          <w:color w:val="000000"/>
          <w:szCs w:val="24"/>
        </w:rPr>
        <w:t xml:space="preserve"> those evaluating</w:t>
      </w:r>
      <w:r w:rsidR="00023779">
        <w:rPr>
          <w:rFonts w:eastAsia="Times New Roman" w:cs="Times New Roman"/>
          <w:color w:val="000000"/>
          <w:szCs w:val="24"/>
        </w:rPr>
        <w:t xml:space="preserve"> the </w:t>
      </w:r>
      <w:r w:rsidR="009A1ADA">
        <w:rPr>
          <w:rFonts w:eastAsia="Times New Roman" w:cs="Times New Roman"/>
          <w:color w:val="000000"/>
          <w:szCs w:val="24"/>
        </w:rPr>
        <w:t>MIST</w:t>
      </w:r>
      <w:r w:rsidR="00C67FF0">
        <w:rPr>
          <w:rFonts w:eastAsia="Times New Roman" w:cs="Times New Roman"/>
          <w:color w:val="000000"/>
          <w:szCs w:val="24"/>
        </w:rPr>
        <w:t>-</w:t>
      </w:r>
      <w:r w:rsidR="009A1ADA">
        <w:rPr>
          <w:rFonts w:eastAsia="Times New Roman" w:cs="Times New Roman"/>
          <w:color w:val="000000"/>
          <w:szCs w:val="24"/>
        </w:rPr>
        <w:t xml:space="preserve">A Automatic and Focused </w:t>
      </w:r>
      <w:r w:rsidR="009A4A6F">
        <w:rPr>
          <w:rFonts w:eastAsia="Times New Roman" w:cs="Times New Roman"/>
          <w:color w:val="000000"/>
          <w:szCs w:val="24"/>
        </w:rPr>
        <w:t>s</w:t>
      </w:r>
      <w:r w:rsidR="009A1ADA">
        <w:rPr>
          <w:rFonts w:eastAsia="Times New Roman" w:cs="Times New Roman"/>
          <w:color w:val="000000"/>
          <w:szCs w:val="24"/>
        </w:rPr>
        <w:t>ubtypes)</w:t>
      </w:r>
      <w:r w:rsidR="00023779">
        <w:rPr>
          <w:rFonts w:eastAsia="Times New Roman" w:cs="Times New Roman"/>
          <w:color w:val="000000"/>
          <w:szCs w:val="24"/>
        </w:rPr>
        <w:t xml:space="preserve"> </w:t>
      </w:r>
      <w:r w:rsidR="00EE6FD9">
        <w:rPr>
          <w:rFonts w:eastAsia="Times New Roman" w:cs="Times New Roman"/>
          <w:color w:val="000000"/>
          <w:szCs w:val="24"/>
        </w:rPr>
        <w:t xml:space="preserve">also began with a limited number of </w:t>
      </w:r>
      <w:r w:rsidR="00023779">
        <w:rPr>
          <w:rFonts w:eastAsia="Times New Roman" w:cs="Times New Roman"/>
          <w:color w:val="000000"/>
          <w:szCs w:val="24"/>
        </w:rPr>
        <w:t>grand mean centered</w:t>
      </w:r>
      <w:r w:rsidR="00EE6FD9">
        <w:rPr>
          <w:rFonts w:eastAsia="Times New Roman" w:cs="Times New Roman"/>
          <w:color w:val="000000"/>
          <w:szCs w:val="24"/>
        </w:rPr>
        <w:t xml:space="preserve"> covariates (e.g., age, MIST-A Focused and Automatic scores), followed by backward stepping to identify the best-fitting</w:t>
      </w:r>
      <w:r w:rsidR="00B82E44" w:rsidRPr="005143BA">
        <w:rPr>
          <w:color w:val="000000"/>
        </w:rPr>
        <w:t xml:space="preserve"> and</w:t>
      </w:r>
      <w:r w:rsidR="00023779" w:rsidRPr="005143BA">
        <w:rPr>
          <w:color w:val="000000"/>
        </w:rPr>
        <w:t xml:space="preserve"> </w:t>
      </w:r>
      <w:r w:rsidR="00EE6FD9">
        <w:rPr>
          <w:rFonts w:eastAsia="Times New Roman" w:cs="Times New Roman"/>
          <w:color w:val="000000"/>
          <w:szCs w:val="24"/>
        </w:rPr>
        <w:t xml:space="preserve">most parsimonious model. </w:t>
      </w:r>
      <w:r w:rsidR="00E93A07">
        <w:rPr>
          <w:rFonts w:eastAsia="Times New Roman" w:cs="Times New Roman"/>
          <w:color w:val="000000"/>
          <w:szCs w:val="24"/>
        </w:rPr>
        <w:t>Ultimately, all potential covariates in the model were removed in all analyses.</w:t>
      </w:r>
      <w:r w:rsidR="00023779" w:rsidRPr="005143BA">
        <w:rPr>
          <w:color w:val="000000"/>
        </w:rPr>
        <w:t xml:space="preserve"> </w:t>
      </w:r>
      <w:bookmarkStart w:id="3" w:name="OLE_LINK3"/>
      <w:bookmarkStart w:id="4" w:name="OLE_LINK4"/>
      <w:r w:rsidR="00023779" w:rsidRPr="002D0316">
        <w:rPr>
          <w:rFonts w:eastAsia="Times New Roman" w:cs="Times New Roman"/>
          <w:szCs w:val="24"/>
        </w:rPr>
        <w:t>Residual error terms were assumed to follow a mean</w:t>
      </w:r>
      <w:bookmarkEnd w:id="3"/>
      <w:bookmarkEnd w:id="4"/>
      <w:r w:rsidR="00023779" w:rsidRPr="002D0316">
        <w:rPr>
          <w:rFonts w:eastAsia="Times New Roman" w:cs="Times New Roman"/>
          <w:szCs w:val="24"/>
        </w:rPr>
        <w:t>-0, normal distribution with an unstructured covariance structure used to ca</w:t>
      </w:r>
      <w:r w:rsidR="00023779" w:rsidRPr="002D0316">
        <w:rPr>
          <w:rFonts w:eastAsia="Times New Roman" w:cs="Times New Roman"/>
          <w:color w:val="000000"/>
          <w:szCs w:val="24"/>
        </w:rPr>
        <w:t>pture the within-person correlation over time.</w:t>
      </w:r>
      <w:r w:rsidR="00023779">
        <w:rPr>
          <w:rFonts w:eastAsia="Times New Roman" w:cs="Times New Roman"/>
          <w:color w:val="000000"/>
          <w:szCs w:val="24"/>
        </w:rPr>
        <w:t xml:space="preserve"> The fitted models were used to estimate mean scores at </w:t>
      </w:r>
      <w:r w:rsidR="00A3126E">
        <w:rPr>
          <w:rFonts w:eastAsia="Times New Roman" w:cs="Times New Roman"/>
          <w:color w:val="000000"/>
          <w:szCs w:val="24"/>
        </w:rPr>
        <w:t xml:space="preserve">each assessment point (i.e., week 6 and week 12). Tests were 2-sided, and </w:t>
      </w:r>
      <w:r w:rsidR="00A3126E" w:rsidRPr="005429EE">
        <w:rPr>
          <w:rFonts w:eastAsia="Times New Roman" w:cs="Times New Roman"/>
          <w:i/>
          <w:color w:val="000000"/>
          <w:szCs w:val="24"/>
        </w:rPr>
        <w:t>p</w:t>
      </w:r>
      <w:r w:rsidR="00A3126E">
        <w:rPr>
          <w:rFonts w:eastAsia="Times New Roman" w:cs="Times New Roman"/>
          <w:color w:val="000000"/>
          <w:szCs w:val="24"/>
        </w:rPr>
        <w:t xml:space="preserve"> &lt; .05 was considered stati</w:t>
      </w:r>
      <w:r w:rsidR="00A35961">
        <w:rPr>
          <w:rFonts w:eastAsia="Times New Roman" w:cs="Times New Roman"/>
          <w:color w:val="000000"/>
          <w:szCs w:val="24"/>
        </w:rPr>
        <w:t>sti</w:t>
      </w:r>
      <w:r w:rsidR="00A3126E">
        <w:rPr>
          <w:rFonts w:eastAsia="Times New Roman" w:cs="Times New Roman"/>
          <w:color w:val="000000"/>
          <w:szCs w:val="24"/>
        </w:rPr>
        <w:t>cally significant. Given that results reported in this manuscript assessed a priori primary hypotheses, no steps were taken to control for overall (</w:t>
      </w:r>
      <w:proofErr w:type="gramStart"/>
      <w:r w:rsidR="00A3126E">
        <w:rPr>
          <w:rFonts w:eastAsia="Times New Roman" w:cs="Times New Roman"/>
          <w:color w:val="000000"/>
          <w:szCs w:val="24"/>
        </w:rPr>
        <w:t>family-wise</w:t>
      </w:r>
      <w:proofErr w:type="gramEnd"/>
      <w:r w:rsidR="00A3126E">
        <w:rPr>
          <w:rFonts w:eastAsia="Times New Roman" w:cs="Times New Roman"/>
          <w:color w:val="000000"/>
          <w:szCs w:val="24"/>
        </w:rPr>
        <w:t>) error rates</w:t>
      </w:r>
      <w:r w:rsidR="00FD0269">
        <w:rPr>
          <w:rFonts w:eastAsia="Times New Roman" w:cs="Times New Roman"/>
          <w:color w:val="000000"/>
          <w:szCs w:val="24"/>
        </w:rPr>
        <w:t xml:space="preserve"> on the primary outcome measures</w:t>
      </w:r>
      <w:r w:rsidR="00A3126E">
        <w:rPr>
          <w:rFonts w:eastAsia="Times New Roman" w:cs="Times New Roman"/>
          <w:color w:val="000000"/>
          <w:szCs w:val="24"/>
        </w:rPr>
        <w:t>. Longitudinal models were fit using PROC MIXED in SAS Statistical Software, version 9.4 TS Level 1M0</w:t>
      </w:r>
      <w:r w:rsidR="008F571B">
        <w:rPr>
          <w:rFonts w:eastAsia="Times New Roman" w:cs="Times New Roman"/>
          <w:color w:val="000000"/>
          <w:szCs w:val="24"/>
        </w:rPr>
        <w:t xml:space="preserve"> (SAS Institute Inc</w:t>
      </w:r>
      <w:r w:rsidR="00554B10">
        <w:rPr>
          <w:rFonts w:eastAsia="Times New Roman" w:cs="Times New Roman"/>
          <w:color w:val="000000"/>
          <w:szCs w:val="24"/>
        </w:rPr>
        <w:t>.</w:t>
      </w:r>
      <w:r w:rsidR="008F571B">
        <w:rPr>
          <w:rFonts w:eastAsia="Times New Roman" w:cs="Times New Roman"/>
          <w:color w:val="000000"/>
          <w:szCs w:val="24"/>
        </w:rPr>
        <w:t>, Cary, North Carolina).</w:t>
      </w:r>
      <w:r w:rsidR="00062E40">
        <w:rPr>
          <w:rFonts w:eastAsia="Times New Roman" w:cs="Times New Roman"/>
          <w:color w:val="000000"/>
          <w:szCs w:val="24"/>
        </w:rPr>
        <w:t xml:space="preserve"> </w:t>
      </w:r>
      <w:r w:rsidR="008F571B">
        <w:rPr>
          <w:rFonts w:eastAsia="Times New Roman" w:cs="Times New Roman"/>
          <w:color w:val="000000"/>
          <w:szCs w:val="24"/>
        </w:rPr>
        <w:t>Throughout the analyses, adjusted degrees of freedom were implemented using the empirical distribution function option in SAS. To provide a measure of the clinical significance of the results, we calculated the number needed to treat (NNT) for binary outcomes and standardized between group effect size (ES) estim</w:t>
      </w:r>
      <w:r w:rsidR="00A35961">
        <w:rPr>
          <w:rFonts w:eastAsia="Times New Roman" w:cs="Times New Roman"/>
          <w:color w:val="000000"/>
          <w:szCs w:val="24"/>
        </w:rPr>
        <w:t>a</w:t>
      </w:r>
      <w:r w:rsidR="008F571B">
        <w:rPr>
          <w:rFonts w:eastAsia="Times New Roman" w:cs="Times New Roman"/>
          <w:color w:val="000000"/>
          <w:szCs w:val="24"/>
        </w:rPr>
        <w:t>tes at week 6 and w</w:t>
      </w:r>
      <w:r w:rsidR="00062E40">
        <w:rPr>
          <w:rFonts w:eastAsia="Times New Roman" w:cs="Times New Roman"/>
          <w:color w:val="000000"/>
          <w:szCs w:val="24"/>
        </w:rPr>
        <w:t xml:space="preserve">eek 12 for </w:t>
      </w:r>
      <w:r w:rsidR="00FD0269">
        <w:rPr>
          <w:rFonts w:eastAsia="Times New Roman" w:cs="Times New Roman"/>
          <w:color w:val="000000"/>
          <w:szCs w:val="24"/>
        </w:rPr>
        <w:t xml:space="preserve">each </w:t>
      </w:r>
      <w:r w:rsidR="00062E40">
        <w:rPr>
          <w:rFonts w:eastAsia="Times New Roman" w:cs="Times New Roman"/>
          <w:color w:val="000000"/>
          <w:szCs w:val="24"/>
        </w:rPr>
        <w:t>continuous outcome.</w:t>
      </w:r>
    </w:p>
    <w:p w14:paraId="33815E77" w14:textId="3BFC5BED" w:rsidR="008F571B" w:rsidRPr="0058715C" w:rsidRDefault="008F571B" w:rsidP="00CF2EEA">
      <w:pPr>
        <w:widowControl w:val="0"/>
        <w:spacing w:line="480" w:lineRule="auto"/>
        <w:ind w:firstLine="720"/>
        <w:rPr>
          <w:rFonts w:eastAsia="Times New Roman" w:cs="Times New Roman"/>
          <w:color w:val="000000"/>
          <w:szCs w:val="24"/>
        </w:rPr>
      </w:pPr>
      <w:r w:rsidRPr="00201C8B">
        <w:rPr>
          <w:rFonts w:eastAsia="Times New Roman" w:cs="Times New Roman"/>
          <w:b/>
          <w:color w:val="000000"/>
          <w:szCs w:val="24"/>
        </w:rPr>
        <w:t xml:space="preserve">Missing </w:t>
      </w:r>
      <w:r w:rsidR="00A16707">
        <w:rPr>
          <w:rFonts w:eastAsia="Times New Roman" w:cs="Times New Roman"/>
          <w:b/>
          <w:color w:val="000000"/>
          <w:szCs w:val="24"/>
        </w:rPr>
        <w:t>d</w:t>
      </w:r>
      <w:r w:rsidRPr="00201C8B">
        <w:rPr>
          <w:rFonts w:eastAsia="Times New Roman" w:cs="Times New Roman"/>
          <w:b/>
          <w:color w:val="000000"/>
          <w:szCs w:val="24"/>
        </w:rPr>
        <w:t>ata</w:t>
      </w:r>
      <w:r w:rsidR="00A16707">
        <w:rPr>
          <w:rFonts w:eastAsia="Times New Roman" w:cs="Times New Roman"/>
          <w:b/>
          <w:color w:val="000000"/>
          <w:szCs w:val="24"/>
        </w:rPr>
        <w:t>.</w:t>
      </w:r>
      <w:r w:rsidR="00A16707" w:rsidRPr="00062E40">
        <w:rPr>
          <w:rFonts w:eastAsia="Times New Roman" w:cs="Times New Roman"/>
          <w:color w:val="000000"/>
          <w:szCs w:val="24"/>
        </w:rPr>
        <w:t xml:space="preserve"> </w:t>
      </w:r>
      <w:r>
        <w:rPr>
          <w:rFonts w:eastAsia="Times New Roman" w:cs="Times New Roman"/>
          <w:color w:val="000000"/>
          <w:szCs w:val="24"/>
        </w:rPr>
        <w:t xml:space="preserve">Prior to analyses, we used multiple imputation to replace missing values. A sequential regression multivariate imputation algorithm was used as implemented in </w:t>
      </w:r>
      <w:proofErr w:type="spellStart"/>
      <w:r>
        <w:rPr>
          <w:rFonts w:eastAsia="Times New Roman" w:cs="Times New Roman"/>
          <w:color w:val="000000"/>
          <w:szCs w:val="24"/>
        </w:rPr>
        <w:t>IVEware</w:t>
      </w:r>
      <w:proofErr w:type="spellEnd"/>
      <w:r>
        <w:rPr>
          <w:rFonts w:eastAsia="Times New Roman" w:cs="Times New Roman"/>
          <w:color w:val="000000"/>
          <w:szCs w:val="24"/>
        </w:rPr>
        <w:t xml:space="preserve"> module for SAS. The imputation model included all longitudinal outcomes measures, treatment </w:t>
      </w:r>
      <w:r>
        <w:rPr>
          <w:rFonts w:eastAsia="Times New Roman" w:cs="Times New Roman"/>
          <w:color w:val="000000"/>
          <w:szCs w:val="24"/>
        </w:rPr>
        <w:lastRenderedPageBreak/>
        <w:t>indicator</w:t>
      </w:r>
      <w:r w:rsidR="006C1B95">
        <w:rPr>
          <w:rFonts w:eastAsia="Times New Roman" w:cs="Times New Roman"/>
          <w:color w:val="000000"/>
          <w:szCs w:val="24"/>
        </w:rPr>
        <w:t>s</w:t>
      </w:r>
      <w:r>
        <w:rPr>
          <w:rFonts w:eastAsia="Times New Roman" w:cs="Times New Roman"/>
          <w:color w:val="000000"/>
          <w:szCs w:val="24"/>
        </w:rPr>
        <w:t>, and key moderators and mediators.</w:t>
      </w:r>
      <w:r w:rsidR="00062E40">
        <w:rPr>
          <w:rFonts w:eastAsia="Times New Roman" w:cs="Times New Roman"/>
          <w:color w:val="000000"/>
          <w:szCs w:val="24"/>
        </w:rPr>
        <w:t xml:space="preserve"> </w:t>
      </w:r>
      <w:r>
        <w:rPr>
          <w:rFonts w:eastAsia="Times New Roman" w:cs="Times New Roman"/>
          <w:color w:val="000000"/>
          <w:szCs w:val="24"/>
        </w:rPr>
        <w:t>Twenty data sets were generated. Results reported were calculated using Rubin’s rules for combining the results of identical analyses performed on each of the 20 im</w:t>
      </w:r>
      <w:r w:rsidR="00062E40">
        <w:rPr>
          <w:rFonts w:eastAsia="Times New Roman" w:cs="Times New Roman"/>
          <w:color w:val="000000"/>
          <w:szCs w:val="24"/>
        </w:rPr>
        <w:t>puted data sets.</w:t>
      </w:r>
    </w:p>
    <w:p w14:paraId="0CA8A36B" w14:textId="77777777" w:rsidR="005232CF" w:rsidRDefault="005232CF" w:rsidP="00CF2EEA">
      <w:pPr>
        <w:pStyle w:val="Heading1"/>
        <w:keepNext w:val="0"/>
        <w:keepLines w:val="0"/>
        <w:widowControl w:val="0"/>
        <w:spacing w:line="480" w:lineRule="auto"/>
      </w:pPr>
      <w:r>
        <w:t>Results</w:t>
      </w:r>
    </w:p>
    <w:p w14:paraId="32393CEA" w14:textId="364C0CB5" w:rsidR="00A16707" w:rsidRDefault="00515826" w:rsidP="00CF2EEA">
      <w:pPr>
        <w:pStyle w:val="Heading2"/>
        <w:keepNext w:val="0"/>
        <w:keepLines w:val="0"/>
        <w:widowControl w:val="0"/>
        <w:spacing w:line="480" w:lineRule="auto"/>
      </w:pPr>
      <w:r w:rsidRPr="00515826">
        <w:t>Baseline Characteristics</w:t>
      </w:r>
    </w:p>
    <w:p w14:paraId="14F47B3E" w14:textId="5965D421" w:rsidR="00062E40" w:rsidRDefault="00050F11" w:rsidP="00CF2EEA">
      <w:pPr>
        <w:widowControl w:val="0"/>
        <w:spacing w:line="480" w:lineRule="auto"/>
        <w:ind w:firstLine="720"/>
        <w:rPr>
          <w:rFonts w:eastAsia="Times New Roman" w:cs="Times New Roman"/>
          <w:bCs/>
          <w:szCs w:val="24"/>
        </w:rPr>
      </w:pPr>
      <w:r>
        <w:rPr>
          <w:rFonts w:eastAsia="Times New Roman" w:cs="Times New Roman"/>
          <w:bCs/>
          <w:szCs w:val="24"/>
        </w:rPr>
        <w:t>D</w:t>
      </w:r>
      <w:r w:rsidR="00A35961">
        <w:rPr>
          <w:rFonts w:eastAsia="Times New Roman" w:cs="Times New Roman"/>
          <w:bCs/>
          <w:szCs w:val="24"/>
        </w:rPr>
        <w:t xml:space="preserve">emographic and clinical characteristics </w:t>
      </w:r>
      <w:r w:rsidR="00A51116">
        <w:rPr>
          <w:rFonts w:eastAsia="Times New Roman" w:cs="Times New Roman"/>
          <w:bCs/>
          <w:szCs w:val="24"/>
        </w:rPr>
        <w:t>for</w:t>
      </w:r>
      <w:r w:rsidR="00A35961">
        <w:rPr>
          <w:rFonts w:eastAsia="Times New Roman" w:cs="Times New Roman"/>
          <w:bCs/>
          <w:szCs w:val="24"/>
        </w:rPr>
        <w:t xml:space="preserve"> each treatment group and </w:t>
      </w:r>
      <w:r w:rsidR="00A24CD4">
        <w:rPr>
          <w:rFonts w:eastAsia="Times New Roman" w:cs="Times New Roman"/>
          <w:bCs/>
          <w:szCs w:val="24"/>
        </w:rPr>
        <w:t>for</w:t>
      </w:r>
      <w:r w:rsidR="00A35961">
        <w:rPr>
          <w:rFonts w:eastAsia="Times New Roman" w:cs="Times New Roman"/>
          <w:bCs/>
          <w:szCs w:val="24"/>
        </w:rPr>
        <w:t xml:space="preserve"> the entire sample are summarized in</w:t>
      </w:r>
      <w:r w:rsidR="00A35961" w:rsidRPr="001E43B0">
        <w:rPr>
          <w:rFonts w:eastAsia="Times New Roman" w:cs="Times New Roman"/>
          <w:bCs/>
          <w:szCs w:val="24"/>
        </w:rPr>
        <w:t xml:space="preserve"> Table 1.</w:t>
      </w:r>
      <w:r w:rsidR="00062E40">
        <w:rPr>
          <w:rFonts w:eastAsia="Times New Roman" w:cs="Times New Roman"/>
          <w:bCs/>
          <w:szCs w:val="24"/>
        </w:rPr>
        <w:t xml:space="preserve"> </w:t>
      </w:r>
      <w:r w:rsidR="00A35961">
        <w:rPr>
          <w:rFonts w:eastAsia="Times New Roman" w:cs="Times New Roman"/>
          <w:bCs/>
          <w:szCs w:val="24"/>
        </w:rPr>
        <w:t>N</w:t>
      </w:r>
      <w:r w:rsidR="00515826">
        <w:rPr>
          <w:rFonts w:eastAsia="Times New Roman" w:cs="Times New Roman"/>
          <w:bCs/>
          <w:szCs w:val="24"/>
        </w:rPr>
        <w:t xml:space="preserve">o significant differences </w:t>
      </w:r>
      <w:r w:rsidR="00FD0269">
        <w:rPr>
          <w:rFonts w:eastAsia="Times New Roman" w:cs="Times New Roman"/>
          <w:bCs/>
          <w:szCs w:val="24"/>
        </w:rPr>
        <w:t xml:space="preserve">at baseline </w:t>
      </w:r>
      <w:r w:rsidR="00A35961">
        <w:rPr>
          <w:rFonts w:eastAsia="Times New Roman" w:cs="Times New Roman"/>
          <w:bCs/>
          <w:szCs w:val="24"/>
        </w:rPr>
        <w:t xml:space="preserve">were found </w:t>
      </w:r>
      <w:r w:rsidR="00515826">
        <w:rPr>
          <w:rFonts w:eastAsia="Times New Roman" w:cs="Times New Roman"/>
          <w:bCs/>
          <w:szCs w:val="24"/>
        </w:rPr>
        <w:t xml:space="preserve">between the two conditions </w:t>
      </w:r>
      <w:r w:rsidR="00FD0269">
        <w:rPr>
          <w:rFonts w:eastAsia="Times New Roman" w:cs="Times New Roman"/>
          <w:bCs/>
          <w:szCs w:val="24"/>
        </w:rPr>
        <w:t xml:space="preserve">on </w:t>
      </w:r>
      <w:r w:rsidR="00C67FF0">
        <w:rPr>
          <w:rFonts w:eastAsia="Times New Roman" w:cs="Times New Roman"/>
          <w:bCs/>
          <w:szCs w:val="24"/>
        </w:rPr>
        <w:t>any</w:t>
      </w:r>
      <w:r w:rsidR="00FD0269">
        <w:rPr>
          <w:rFonts w:eastAsia="Times New Roman" w:cs="Times New Roman"/>
          <w:bCs/>
          <w:szCs w:val="24"/>
        </w:rPr>
        <w:t xml:space="preserve"> key variable.</w:t>
      </w:r>
    </w:p>
    <w:p w14:paraId="442086CD" w14:textId="5339E669" w:rsidR="00515826" w:rsidRDefault="00E10903" w:rsidP="00CF2EEA">
      <w:pPr>
        <w:widowControl w:val="0"/>
        <w:spacing w:line="480" w:lineRule="auto"/>
        <w:ind w:firstLine="720"/>
        <w:rPr>
          <w:rFonts w:eastAsia="Times New Roman" w:cs="Times New Roman"/>
          <w:bCs/>
          <w:szCs w:val="24"/>
        </w:rPr>
      </w:pPr>
      <w:r>
        <w:rPr>
          <w:rFonts w:eastAsia="Times New Roman" w:cs="Times New Roman"/>
          <w:bCs/>
          <w:szCs w:val="24"/>
        </w:rPr>
        <w:t>Of the 85 participants randomized, 7</w:t>
      </w:r>
      <w:r w:rsidR="00A0698D">
        <w:rPr>
          <w:rFonts w:eastAsia="Times New Roman" w:cs="Times New Roman"/>
          <w:bCs/>
          <w:szCs w:val="24"/>
        </w:rPr>
        <w:t>8</w:t>
      </w:r>
      <w:r>
        <w:rPr>
          <w:rFonts w:eastAsia="Times New Roman" w:cs="Times New Roman"/>
          <w:bCs/>
          <w:szCs w:val="24"/>
        </w:rPr>
        <w:t xml:space="preserve"> (9</w:t>
      </w:r>
      <w:r w:rsidR="00A0698D">
        <w:rPr>
          <w:rFonts w:eastAsia="Times New Roman" w:cs="Times New Roman"/>
          <w:bCs/>
          <w:szCs w:val="24"/>
        </w:rPr>
        <w:t>1</w:t>
      </w:r>
      <w:r>
        <w:rPr>
          <w:rFonts w:eastAsia="Times New Roman" w:cs="Times New Roman"/>
          <w:bCs/>
          <w:szCs w:val="24"/>
        </w:rPr>
        <w:t>.</w:t>
      </w:r>
      <w:r w:rsidR="00A0698D">
        <w:rPr>
          <w:rFonts w:eastAsia="Times New Roman" w:cs="Times New Roman"/>
          <w:bCs/>
          <w:szCs w:val="24"/>
        </w:rPr>
        <w:t>8</w:t>
      </w:r>
      <w:r>
        <w:rPr>
          <w:rFonts w:eastAsia="Times New Roman" w:cs="Times New Roman"/>
          <w:bCs/>
          <w:szCs w:val="24"/>
        </w:rPr>
        <w:t xml:space="preserve">%) completed the </w:t>
      </w:r>
      <w:r w:rsidR="00050F11">
        <w:rPr>
          <w:rFonts w:eastAsia="Times New Roman" w:cs="Times New Roman"/>
          <w:bCs/>
          <w:szCs w:val="24"/>
        </w:rPr>
        <w:t xml:space="preserve">week 6 </w:t>
      </w:r>
      <w:r>
        <w:rPr>
          <w:rFonts w:eastAsia="Times New Roman" w:cs="Times New Roman"/>
          <w:bCs/>
          <w:szCs w:val="24"/>
        </w:rPr>
        <w:t>mid-poin</w:t>
      </w:r>
      <w:r w:rsidR="00E06A35">
        <w:rPr>
          <w:rFonts w:eastAsia="Times New Roman" w:cs="Times New Roman"/>
          <w:bCs/>
          <w:szCs w:val="24"/>
        </w:rPr>
        <w:t xml:space="preserve">t assessment and </w:t>
      </w:r>
      <w:r>
        <w:rPr>
          <w:rFonts w:eastAsia="Times New Roman" w:cs="Times New Roman"/>
          <w:bCs/>
          <w:szCs w:val="24"/>
        </w:rPr>
        <w:t>6</w:t>
      </w:r>
      <w:r w:rsidR="00A0698D">
        <w:rPr>
          <w:rFonts w:eastAsia="Times New Roman" w:cs="Times New Roman"/>
          <w:bCs/>
          <w:szCs w:val="24"/>
        </w:rPr>
        <w:t>9</w:t>
      </w:r>
      <w:r>
        <w:rPr>
          <w:rFonts w:eastAsia="Times New Roman" w:cs="Times New Roman"/>
          <w:bCs/>
          <w:szCs w:val="24"/>
        </w:rPr>
        <w:t xml:space="preserve"> (8</w:t>
      </w:r>
      <w:r w:rsidR="00A0698D">
        <w:rPr>
          <w:rFonts w:eastAsia="Times New Roman" w:cs="Times New Roman"/>
          <w:bCs/>
          <w:szCs w:val="24"/>
        </w:rPr>
        <w:t>1.2</w:t>
      </w:r>
      <w:r>
        <w:rPr>
          <w:rFonts w:eastAsia="Times New Roman" w:cs="Times New Roman"/>
          <w:bCs/>
          <w:szCs w:val="24"/>
        </w:rPr>
        <w:t xml:space="preserve">%) completed the </w:t>
      </w:r>
      <w:r w:rsidR="00050F11">
        <w:rPr>
          <w:rFonts w:eastAsia="Times New Roman" w:cs="Times New Roman"/>
          <w:bCs/>
          <w:szCs w:val="24"/>
        </w:rPr>
        <w:t xml:space="preserve">week 12 </w:t>
      </w:r>
      <w:r>
        <w:rPr>
          <w:rFonts w:eastAsia="Times New Roman" w:cs="Times New Roman"/>
          <w:bCs/>
          <w:szCs w:val="24"/>
        </w:rPr>
        <w:t>post-acute treatment assessment</w:t>
      </w:r>
      <w:r w:rsidR="00E06A35">
        <w:rPr>
          <w:rFonts w:eastAsia="Times New Roman" w:cs="Times New Roman"/>
          <w:bCs/>
          <w:szCs w:val="24"/>
        </w:rPr>
        <w:t>. There were no significant differences in rates of attrition (</w:t>
      </w:r>
      <w:r w:rsidR="00E06A35" w:rsidRPr="00201C8B">
        <w:rPr>
          <w:rFonts w:eastAsia="Times New Roman" w:cs="Times New Roman"/>
          <w:bCs/>
          <w:i/>
          <w:szCs w:val="24"/>
        </w:rPr>
        <w:t>p</w:t>
      </w:r>
      <w:r w:rsidR="00E06A35">
        <w:rPr>
          <w:rFonts w:eastAsia="Times New Roman" w:cs="Times New Roman"/>
          <w:bCs/>
          <w:szCs w:val="24"/>
        </w:rPr>
        <w:t xml:space="preserve"> = .</w:t>
      </w:r>
      <w:r w:rsidR="004564D1">
        <w:rPr>
          <w:rFonts w:eastAsia="Times New Roman" w:cs="Times New Roman"/>
          <w:bCs/>
          <w:szCs w:val="24"/>
        </w:rPr>
        <w:t>83</w:t>
      </w:r>
      <w:r w:rsidR="00E06A35">
        <w:rPr>
          <w:rFonts w:eastAsia="Times New Roman" w:cs="Times New Roman"/>
          <w:bCs/>
          <w:szCs w:val="24"/>
        </w:rPr>
        <w:t>) between the two groups</w:t>
      </w:r>
      <w:r w:rsidR="00EF450C">
        <w:rPr>
          <w:rFonts w:eastAsia="Times New Roman" w:cs="Times New Roman"/>
          <w:bCs/>
          <w:szCs w:val="24"/>
        </w:rPr>
        <w:t>;</w:t>
      </w:r>
      <w:r w:rsidR="00E06A35">
        <w:rPr>
          <w:rFonts w:eastAsia="Times New Roman" w:cs="Times New Roman"/>
          <w:bCs/>
          <w:szCs w:val="24"/>
        </w:rPr>
        <w:t xml:space="preserve"> </w:t>
      </w:r>
      <w:r w:rsidR="004564D1">
        <w:rPr>
          <w:rFonts w:eastAsia="Times New Roman" w:cs="Times New Roman"/>
          <w:bCs/>
          <w:szCs w:val="24"/>
        </w:rPr>
        <w:t>9</w:t>
      </w:r>
      <w:r w:rsidR="00E06A35">
        <w:rPr>
          <w:rFonts w:eastAsia="Times New Roman" w:cs="Times New Roman"/>
          <w:bCs/>
          <w:szCs w:val="24"/>
        </w:rPr>
        <w:t xml:space="preserve"> (</w:t>
      </w:r>
      <w:r w:rsidR="004564D1">
        <w:rPr>
          <w:rFonts w:eastAsia="Times New Roman" w:cs="Times New Roman"/>
          <w:bCs/>
          <w:szCs w:val="24"/>
        </w:rPr>
        <w:t>20.9</w:t>
      </w:r>
      <w:r w:rsidR="00E06A35">
        <w:rPr>
          <w:rFonts w:eastAsia="Times New Roman" w:cs="Times New Roman"/>
          <w:bCs/>
          <w:szCs w:val="24"/>
        </w:rPr>
        <w:t xml:space="preserve">%) and </w:t>
      </w:r>
      <w:r w:rsidR="004564D1">
        <w:rPr>
          <w:rFonts w:eastAsia="Times New Roman" w:cs="Times New Roman"/>
          <w:bCs/>
          <w:szCs w:val="24"/>
        </w:rPr>
        <w:t>8</w:t>
      </w:r>
      <w:r w:rsidR="00E06A35">
        <w:rPr>
          <w:rFonts w:eastAsia="Times New Roman" w:cs="Times New Roman"/>
          <w:bCs/>
          <w:szCs w:val="24"/>
        </w:rPr>
        <w:t xml:space="preserve"> (</w:t>
      </w:r>
      <w:r w:rsidR="004564D1">
        <w:rPr>
          <w:rFonts w:eastAsia="Times New Roman" w:cs="Times New Roman"/>
          <w:bCs/>
          <w:szCs w:val="24"/>
        </w:rPr>
        <w:t>19.0</w:t>
      </w:r>
      <w:r w:rsidR="00E06A35">
        <w:rPr>
          <w:rFonts w:eastAsia="Times New Roman" w:cs="Times New Roman"/>
          <w:bCs/>
          <w:szCs w:val="24"/>
        </w:rPr>
        <w:t xml:space="preserve">%) participants from </w:t>
      </w:r>
      <w:r w:rsidR="00A24CD4">
        <w:rPr>
          <w:rFonts w:eastAsia="Times New Roman" w:cs="Times New Roman"/>
          <w:bCs/>
          <w:szCs w:val="24"/>
        </w:rPr>
        <w:t xml:space="preserve">the </w:t>
      </w:r>
      <w:r w:rsidR="00E06A35">
        <w:rPr>
          <w:rFonts w:eastAsia="Times New Roman" w:cs="Times New Roman"/>
          <w:bCs/>
          <w:szCs w:val="24"/>
        </w:rPr>
        <w:t>AEBT</w:t>
      </w:r>
      <w:r w:rsidR="00A51116">
        <w:rPr>
          <w:rFonts w:eastAsia="Times New Roman" w:cs="Times New Roman"/>
          <w:bCs/>
          <w:szCs w:val="24"/>
        </w:rPr>
        <w:t>-TTM</w:t>
      </w:r>
      <w:r w:rsidR="00A24CD4">
        <w:rPr>
          <w:rFonts w:eastAsia="Times New Roman" w:cs="Times New Roman"/>
          <w:bCs/>
          <w:szCs w:val="24"/>
        </w:rPr>
        <w:t xml:space="preserve"> and PST group</w:t>
      </w:r>
      <w:r w:rsidR="00E06A35">
        <w:rPr>
          <w:rFonts w:eastAsia="Times New Roman" w:cs="Times New Roman"/>
          <w:bCs/>
          <w:szCs w:val="24"/>
        </w:rPr>
        <w:t xml:space="preserve">, respectively, </w:t>
      </w:r>
      <w:r w:rsidR="00EF450C">
        <w:rPr>
          <w:rFonts w:eastAsia="Times New Roman" w:cs="Times New Roman"/>
          <w:bCs/>
          <w:szCs w:val="24"/>
        </w:rPr>
        <w:t xml:space="preserve">withdrew </w:t>
      </w:r>
      <w:r w:rsidR="00E06A35">
        <w:rPr>
          <w:rFonts w:eastAsia="Times New Roman" w:cs="Times New Roman"/>
          <w:bCs/>
          <w:szCs w:val="24"/>
        </w:rPr>
        <w:t xml:space="preserve">from the study before the </w:t>
      </w:r>
      <w:r w:rsidR="00E40686">
        <w:rPr>
          <w:rFonts w:eastAsia="Times New Roman" w:cs="Times New Roman"/>
          <w:bCs/>
          <w:szCs w:val="24"/>
        </w:rPr>
        <w:t>end-point assessment</w:t>
      </w:r>
      <w:r w:rsidR="00E06A35">
        <w:rPr>
          <w:rFonts w:eastAsia="Times New Roman" w:cs="Times New Roman"/>
          <w:bCs/>
          <w:szCs w:val="24"/>
        </w:rPr>
        <w:t xml:space="preserve">. </w:t>
      </w:r>
      <w:r w:rsidR="00E825D3">
        <w:rPr>
          <w:rFonts w:eastAsia="Times New Roman" w:cs="Times New Roman"/>
          <w:bCs/>
          <w:szCs w:val="24"/>
        </w:rPr>
        <w:t xml:space="preserve">The mean number of sessions completed </w:t>
      </w:r>
      <w:r w:rsidR="00E40686">
        <w:rPr>
          <w:rFonts w:eastAsia="Times New Roman" w:cs="Times New Roman"/>
          <w:bCs/>
          <w:szCs w:val="24"/>
        </w:rPr>
        <w:t>(</w:t>
      </w:r>
      <w:r w:rsidR="00E825D3">
        <w:rPr>
          <w:rFonts w:eastAsia="Times New Roman" w:cs="Times New Roman"/>
          <w:bCs/>
          <w:szCs w:val="24"/>
        </w:rPr>
        <w:t xml:space="preserve">out of 10 </w:t>
      </w:r>
      <w:r w:rsidR="00E40686">
        <w:rPr>
          <w:rFonts w:eastAsia="Times New Roman" w:cs="Times New Roman"/>
          <w:bCs/>
          <w:szCs w:val="24"/>
        </w:rPr>
        <w:t>sessions)</w:t>
      </w:r>
      <w:r w:rsidR="00E825D3">
        <w:rPr>
          <w:rFonts w:eastAsia="Times New Roman" w:cs="Times New Roman"/>
          <w:bCs/>
          <w:szCs w:val="24"/>
        </w:rPr>
        <w:t xml:space="preserve"> in the </w:t>
      </w:r>
      <w:r w:rsidR="00E06A35">
        <w:rPr>
          <w:rFonts w:eastAsia="Times New Roman" w:cs="Times New Roman"/>
          <w:bCs/>
          <w:szCs w:val="24"/>
        </w:rPr>
        <w:t>AEBT</w:t>
      </w:r>
      <w:r w:rsidR="00A51116">
        <w:rPr>
          <w:rFonts w:eastAsia="Times New Roman" w:cs="Times New Roman"/>
          <w:bCs/>
          <w:szCs w:val="24"/>
        </w:rPr>
        <w:t>-TTM</w:t>
      </w:r>
      <w:r w:rsidR="003071DE">
        <w:rPr>
          <w:rFonts w:eastAsia="Times New Roman" w:cs="Times New Roman"/>
          <w:bCs/>
          <w:szCs w:val="24"/>
        </w:rPr>
        <w:t xml:space="preserve"> group </w:t>
      </w:r>
      <w:r w:rsidR="00E825D3">
        <w:rPr>
          <w:rFonts w:eastAsia="Times New Roman" w:cs="Times New Roman"/>
          <w:bCs/>
          <w:szCs w:val="24"/>
        </w:rPr>
        <w:t>was</w:t>
      </w:r>
      <w:r w:rsidR="003071DE">
        <w:rPr>
          <w:rFonts w:eastAsia="Times New Roman" w:cs="Times New Roman"/>
          <w:bCs/>
          <w:szCs w:val="24"/>
        </w:rPr>
        <w:t xml:space="preserve"> 8.8 (</w:t>
      </w:r>
      <w:r w:rsidR="003071DE" w:rsidRPr="00201C8B">
        <w:rPr>
          <w:rFonts w:eastAsia="Times New Roman" w:cs="Times New Roman"/>
          <w:bCs/>
          <w:i/>
          <w:szCs w:val="24"/>
        </w:rPr>
        <w:t>SD</w:t>
      </w:r>
      <w:r w:rsidR="00D32F79">
        <w:rPr>
          <w:rFonts w:eastAsia="Times New Roman" w:cs="Times New Roman"/>
          <w:bCs/>
          <w:szCs w:val="24"/>
        </w:rPr>
        <w:t xml:space="preserve"> </w:t>
      </w:r>
      <w:r w:rsidR="003071DE">
        <w:rPr>
          <w:rFonts w:eastAsia="Times New Roman" w:cs="Times New Roman"/>
          <w:bCs/>
          <w:szCs w:val="24"/>
        </w:rPr>
        <w:t>=</w:t>
      </w:r>
      <w:r w:rsidR="00D32F79">
        <w:rPr>
          <w:rFonts w:eastAsia="Times New Roman" w:cs="Times New Roman"/>
          <w:bCs/>
          <w:szCs w:val="24"/>
        </w:rPr>
        <w:t xml:space="preserve"> </w:t>
      </w:r>
      <w:r w:rsidR="003071DE">
        <w:rPr>
          <w:rFonts w:eastAsia="Times New Roman" w:cs="Times New Roman"/>
          <w:bCs/>
          <w:szCs w:val="24"/>
        </w:rPr>
        <w:t>2.7) and 9.0 (</w:t>
      </w:r>
      <w:r w:rsidR="003071DE" w:rsidRPr="00201C8B">
        <w:rPr>
          <w:rFonts w:eastAsia="Times New Roman" w:cs="Times New Roman"/>
          <w:bCs/>
          <w:i/>
          <w:szCs w:val="24"/>
        </w:rPr>
        <w:t>SD</w:t>
      </w:r>
      <w:r w:rsidR="00D32F79">
        <w:rPr>
          <w:rFonts w:eastAsia="Times New Roman" w:cs="Times New Roman"/>
          <w:bCs/>
          <w:i/>
          <w:szCs w:val="24"/>
        </w:rPr>
        <w:t xml:space="preserve"> </w:t>
      </w:r>
      <w:r w:rsidR="003071DE" w:rsidRPr="00201C8B">
        <w:rPr>
          <w:rFonts w:eastAsia="Times New Roman" w:cs="Times New Roman"/>
          <w:bCs/>
          <w:i/>
          <w:szCs w:val="24"/>
        </w:rPr>
        <w:t>=</w:t>
      </w:r>
      <w:r w:rsidR="00D32F79">
        <w:rPr>
          <w:rFonts w:eastAsia="Times New Roman" w:cs="Times New Roman"/>
          <w:bCs/>
          <w:szCs w:val="24"/>
        </w:rPr>
        <w:t xml:space="preserve"> </w:t>
      </w:r>
      <w:r w:rsidR="003071DE">
        <w:rPr>
          <w:rFonts w:eastAsia="Times New Roman" w:cs="Times New Roman"/>
          <w:bCs/>
          <w:szCs w:val="24"/>
        </w:rPr>
        <w:t xml:space="preserve">2.5) </w:t>
      </w:r>
      <w:r w:rsidR="00E825D3">
        <w:rPr>
          <w:rFonts w:eastAsia="Times New Roman" w:cs="Times New Roman"/>
          <w:bCs/>
          <w:szCs w:val="24"/>
        </w:rPr>
        <w:t>in the PST group</w:t>
      </w:r>
      <w:r w:rsidR="00E40686">
        <w:rPr>
          <w:rFonts w:eastAsia="Times New Roman" w:cs="Times New Roman"/>
          <w:bCs/>
          <w:szCs w:val="24"/>
        </w:rPr>
        <w:t xml:space="preserve"> (</w:t>
      </w:r>
      <w:r w:rsidR="00E40686" w:rsidRPr="00A51116">
        <w:rPr>
          <w:rFonts w:eastAsia="Times New Roman" w:cs="Times New Roman"/>
          <w:bCs/>
          <w:i/>
          <w:szCs w:val="24"/>
        </w:rPr>
        <w:t>p</w:t>
      </w:r>
      <w:r w:rsidR="00E40686">
        <w:rPr>
          <w:rFonts w:eastAsia="Times New Roman" w:cs="Times New Roman"/>
          <w:bCs/>
          <w:szCs w:val="24"/>
        </w:rPr>
        <w:t xml:space="preserve"> = ns)</w:t>
      </w:r>
      <w:r w:rsidR="00E825D3">
        <w:rPr>
          <w:rFonts w:eastAsia="Times New Roman" w:cs="Times New Roman"/>
          <w:bCs/>
          <w:szCs w:val="24"/>
        </w:rPr>
        <w:t>.</w:t>
      </w:r>
    </w:p>
    <w:p w14:paraId="3718B84F" w14:textId="5E007046" w:rsidR="001973B2" w:rsidRDefault="00515826" w:rsidP="00CF2EEA">
      <w:pPr>
        <w:pStyle w:val="Heading2"/>
        <w:keepNext w:val="0"/>
        <w:keepLines w:val="0"/>
        <w:widowControl w:val="0"/>
        <w:spacing w:line="480" w:lineRule="auto"/>
      </w:pPr>
      <w:r w:rsidRPr="00515826">
        <w:t>Primary Outcome</w:t>
      </w:r>
    </w:p>
    <w:p w14:paraId="48D8EBE6" w14:textId="30F65F5D" w:rsidR="00050F11" w:rsidRDefault="00E40686" w:rsidP="00CF2EEA">
      <w:pPr>
        <w:widowControl w:val="0"/>
        <w:spacing w:line="480" w:lineRule="auto"/>
        <w:ind w:firstLine="720"/>
        <w:rPr>
          <w:rFonts w:eastAsia="Times New Roman" w:cs="Times New Roman"/>
          <w:bCs/>
          <w:szCs w:val="24"/>
        </w:rPr>
      </w:pPr>
      <w:r>
        <w:rPr>
          <w:rFonts w:eastAsia="Times New Roman" w:cs="Times New Roman"/>
          <w:bCs/>
          <w:szCs w:val="24"/>
        </w:rPr>
        <w:t>With treatment response defined as a CGI</w:t>
      </w:r>
      <w:r w:rsidR="00A51116">
        <w:rPr>
          <w:rFonts w:eastAsia="Times New Roman" w:cs="Times New Roman"/>
          <w:bCs/>
          <w:szCs w:val="24"/>
        </w:rPr>
        <w:t>-I</w:t>
      </w:r>
      <w:r>
        <w:rPr>
          <w:rFonts w:eastAsia="Times New Roman" w:cs="Times New Roman"/>
          <w:bCs/>
          <w:szCs w:val="24"/>
        </w:rPr>
        <w:t xml:space="preserve"> score of 1 or 2, </w:t>
      </w:r>
      <w:r w:rsidR="000E422A">
        <w:rPr>
          <w:rFonts w:eastAsia="Times New Roman" w:cs="Times New Roman"/>
          <w:bCs/>
          <w:szCs w:val="24"/>
        </w:rPr>
        <w:t xml:space="preserve">week 6 </w:t>
      </w:r>
      <w:r w:rsidR="002028AA">
        <w:rPr>
          <w:rFonts w:eastAsia="Times New Roman" w:cs="Times New Roman"/>
          <w:bCs/>
          <w:szCs w:val="24"/>
        </w:rPr>
        <w:t>(</w:t>
      </w:r>
      <w:r w:rsidR="000276C1">
        <w:rPr>
          <w:rFonts w:eastAsia="Times New Roman" w:cs="Times New Roman"/>
          <w:bCs/>
          <w:szCs w:val="24"/>
        </w:rPr>
        <w:t xml:space="preserve">treatment </w:t>
      </w:r>
      <w:r w:rsidR="002028AA">
        <w:rPr>
          <w:rFonts w:eastAsia="Times New Roman" w:cs="Times New Roman"/>
          <w:bCs/>
          <w:szCs w:val="24"/>
        </w:rPr>
        <w:t xml:space="preserve">mid-point) </w:t>
      </w:r>
      <w:r>
        <w:rPr>
          <w:rFonts w:eastAsia="Times New Roman" w:cs="Times New Roman"/>
          <w:bCs/>
          <w:szCs w:val="24"/>
        </w:rPr>
        <w:t>rates of response</w:t>
      </w:r>
      <w:r w:rsidR="0042601C">
        <w:rPr>
          <w:rFonts w:eastAsia="Times New Roman" w:cs="Times New Roman"/>
          <w:bCs/>
          <w:szCs w:val="24"/>
        </w:rPr>
        <w:t xml:space="preserve"> were </w:t>
      </w:r>
      <w:r w:rsidR="00373B55">
        <w:rPr>
          <w:rFonts w:eastAsia="Times New Roman" w:cs="Times New Roman"/>
          <w:bCs/>
          <w:szCs w:val="24"/>
        </w:rPr>
        <w:t>48</w:t>
      </w:r>
      <w:r w:rsidR="0042601C">
        <w:rPr>
          <w:rFonts w:eastAsia="Times New Roman" w:cs="Times New Roman"/>
          <w:bCs/>
          <w:szCs w:val="24"/>
        </w:rPr>
        <w:t xml:space="preserve">% (CI 95%, </w:t>
      </w:r>
      <w:r w:rsidR="00373B55">
        <w:rPr>
          <w:rFonts w:eastAsia="Times New Roman" w:cs="Times New Roman"/>
          <w:bCs/>
          <w:szCs w:val="24"/>
        </w:rPr>
        <w:t>34</w:t>
      </w:r>
      <w:r w:rsidR="0042601C">
        <w:rPr>
          <w:rFonts w:eastAsia="Times New Roman" w:cs="Times New Roman"/>
          <w:bCs/>
          <w:szCs w:val="24"/>
        </w:rPr>
        <w:t>-6</w:t>
      </w:r>
      <w:r w:rsidR="00293916">
        <w:rPr>
          <w:rFonts w:eastAsia="Times New Roman" w:cs="Times New Roman"/>
          <w:bCs/>
          <w:szCs w:val="24"/>
        </w:rPr>
        <w:t>3</w:t>
      </w:r>
      <w:r w:rsidR="0042601C">
        <w:rPr>
          <w:rFonts w:eastAsia="Times New Roman" w:cs="Times New Roman"/>
          <w:bCs/>
          <w:szCs w:val="24"/>
        </w:rPr>
        <w:t>%) for AEBT</w:t>
      </w:r>
      <w:r w:rsidR="00A51116">
        <w:rPr>
          <w:rFonts w:eastAsia="Times New Roman" w:cs="Times New Roman"/>
          <w:bCs/>
          <w:szCs w:val="24"/>
        </w:rPr>
        <w:t>-TTM</w:t>
      </w:r>
      <w:r w:rsidR="0042601C">
        <w:rPr>
          <w:rFonts w:eastAsia="Times New Roman" w:cs="Times New Roman"/>
          <w:bCs/>
          <w:szCs w:val="24"/>
        </w:rPr>
        <w:t xml:space="preserve"> and </w:t>
      </w:r>
      <w:r w:rsidR="00373B55">
        <w:rPr>
          <w:rFonts w:eastAsia="Times New Roman" w:cs="Times New Roman"/>
          <w:bCs/>
          <w:szCs w:val="24"/>
        </w:rPr>
        <w:t>28</w:t>
      </w:r>
      <w:r w:rsidR="002B59EC">
        <w:rPr>
          <w:rFonts w:eastAsia="Times New Roman" w:cs="Times New Roman"/>
          <w:bCs/>
          <w:szCs w:val="24"/>
        </w:rPr>
        <w:t xml:space="preserve">% (CI 95%, </w:t>
      </w:r>
      <w:r w:rsidR="00373B55">
        <w:rPr>
          <w:rFonts w:eastAsia="Times New Roman" w:cs="Times New Roman"/>
          <w:bCs/>
          <w:szCs w:val="24"/>
        </w:rPr>
        <w:t>14</w:t>
      </w:r>
      <w:r w:rsidR="002B59EC">
        <w:rPr>
          <w:rFonts w:eastAsia="Times New Roman" w:cs="Times New Roman"/>
          <w:bCs/>
          <w:szCs w:val="24"/>
        </w:rPr>
        <w:t>-</w:t>
      </w:r>
      <w:r w:rsidR="00B55F4B">
        <w:rPr>
          <w:rFonts w:eastAsia="Times New Roman" w:cs="Times New Roman"/>
          <w:bCs/>
          <w:szCs w:val="24"/>
        </w:rPr>
        <w:t>4</w:t>
      </w:r>
      <w:r w:rsidR="00964B7E">
        <w:rPr>
          <w:rFonts w:eastAsia="Times New Roman" w:cs="Times New Roman"/>
          <w:bCs/>
          <w:szCs w:val="24"/>
        </w:rPr>
        <w:t>7</w:t>
      </w:r>
      <w:r w:rsidR="002B59EC">
        <w:rPr>
          <w:rFonts w:eastAsia="Times New Roman" w:cs="Times New Roman"/>
          <w:bCs/>
          <w:szCs w:val="24"/>
        </w:rPr>
        <w:t xml:space="preserve">%) </w:t>
      </w:r>
      <w:r w:rsidR="0042601C">
        <w:rPr>
          <w:rFonts w:eastAsia="Times New Roman" w:cs="Times New Roman"/>
          <w:bCs/>
          <w:szCs w:val="24"/>
        </w:rPr>
        <w:t xml:space="preserve">for PST. </w:t>
      </w:r>
      <w:r w:rsidR="002B59EC">
        <w:rPr>
          <w:rFonts w:eastAsia="Times New Roman" w:cs="Times New Roman"/>
          <w:bCs/>
          <w:szCs w:val="24"/>
        </w:rPr>
        <w:t>By week 12</w:t>
      </w:r>
      <w:r w:rsidR="000276C1">
        <w:rPr>
          <w:rFonts w:eastAsia="Times New Roman" w:cs="Times New Roman"/>
          <w:bCs/>
          <w:szCs w:val="24"/>
        </w:rPr>
        <w:t xml:space="preserve"> (end of treatment)</w:t>
      </w:r>
      <w:r w:rsidR="002B59EC">
        <w:rPr>
          <w:rFonts w:eastAsia="Times New Roman" w:cs="Times New Roman"/>
          <w:bCs/>
          <w:szCs w:val="24"/>
        </w:rPr>
        <w:t xml:space="preserve">, this percentage increased to </w:t>
      </w:r>
      <w:r w:rsidR="00373B55">
        <w:rPr>
          <w:rFonts w:eastAsia="Times New Roman" w:cs="Times New Roman"/>
          <w:bCs/>
          <w:szCs w:val="24"/>
        </w:rPr>
        <w:t>64</w:t>
      </w:r>
      <w:r w:rsidR="00D97855">
        <w:rPr>
          <w:rFonts w:eastAsia="Times New Roman" w:cs="Times New Roman"/>
          <w:bCs/>
          <w:szCs w:val="24"/>
        </w:rPr>
        <w:t xml:space="preserve">% (CI 95%, </w:t>
      </w:r>
      <w:r w:rsidR="00DC38B4">
        <w:rPr>
          <w:rFonts w:eastAsia="Times New Roman" w:cs="Times New Roman"/>
          <w:bCs/>
          <w:szCs w:val="24"/>
        </w:rPr>
        <w:t>4</w:t>
      </w:r>
      <w:r w:rsidR="00293916">
        <w:rPr>
          <w:rFonts w:eastAsia="Times New Roman" w:cs="Times New Roman"/>
          <w:bCs/>
          <w:szCs w:val="24"/>
        </w:rPr>
        <w:t>8</w:t>
      </w:r>
      <w:r w:rsidR="00D97855">
        <w:rPr>
          <w:rFonts w:eastAsia="Times New Roman" w:cs="Times New Roman"/>
          <w:bCs/>
          <w:szCs w:val="24"/>
        </w:rPr>
        <w:t>-</w:t>
      </w:r>
      <w:r w:rsidR="00F56505">
        <w:rPr>
          <w:rFonts w:eastAsia="Times New Roman" w:cs="Times New Roman"/>
          <w:bCs/>
          <w:szCs w:val="24"/>
        </w:rPr>
        <w:t>7</w:t>
      </w:r>
      <w:r w:rsidR="00293916">
        <w:rPr>
          <w:rFonts w:eastAsia="Times New Roman" w:cs="Times New Roman"/>
          <w:bCs/>
          <w:szCs w:val="24"/>
        </w:rPr>
        <w:t>8</w:t>
      </w:r>
      <w:r w:rsidR="00D97855">
        <w:rPr>
          <w:rFonts w:eastAsia="Times New Roman" w:cs="Times New Roman"/>
          <w:bCs/>
          <w:szCs w:val="24"/>
        </w:rPr>
        <w:t xml:space="preserve">%) </w:t>
      </w:r>
      <w:r w:rsidR="00A77A5F">
        <w:rPr>
          <w:rFonts w:eastAsia="Times New Roman" w:cs="Times New Roman"/>
          <w:bCs/>
          <w:szCs w:val="24"/>
        </w:rPr>
        <w:t>for</w:t>
      </w:r>
      <w:r w:rsidR="002B59EC">
        <w:rPr>
          <w:rFonts w:eastAsia="Times New Roman" w:cs="Times New Roman"/>
          <w:bCs/>
          <w:szCs w:val="24"/>
        </w:rPr>
        <w:t xml:space="preserve"> AEBT</w:t>
      </w:r>
      <w:r w:rsidR="00A51116">
        <w:rPr>
          <w:rFonts w:eastAsia="Times New Roman" w:cs="Times New Roman"/>
          <w:bCs/>
          <w:szCs w:val="24"/>
        </w:rPr>
        <w:t>-TTM</w:t>
      </w:r>
      <w:r w:rsidR="002B59EC">
        <w:rPr>
          <w:rFonts w:eastAsia="Times New Roman" w:cs="Times New Roman"/>
          <w:bCs/>
          <w:szCs w:val="24"/>
        </w:rPr>
        <w:t xml:space="preserve"> </w:t>
      </w:r>
      <w:r w:rsidR="00D97855">
        <w:rPr>
          <w:rFonts w:eastAsia="Times New Roman" w:cs="Times New Roman"/>
          <w:bCs/>
          <w:szCs w:val="24"/>
        </w:rPr>
        <w:t xml:space="preserve">and </w:t>
      </w:r>
      <w:r w:rsidR="00373B55">
        <w:rPr>
          <w:rFonts w:eastAsia="Times New Roman" w:cs="Times New Roman"/>
          <w:bCs/>
          <w:szCs w:val="24"/>
        </w:rPr>
        <w:t>38</w:t>
      </w:r>
      <w:r w:rsidR="00DC38B4">
        <w:rPr>
          <w:rFonts w:eastAsia="Times New Roman" w:cs="Times New Roman"/>
          <w:bCs/>
          <w:szCs w:val="24"/>
        </w:rPr>
        <w:t xml:space="preserve">% (CI 95%, </w:t>
      </w:r>
      <w:r w:rsidR="00373B55">
        <w:rPr>
          <w:rFonts w:eastAsia="Times New Roman" w:cs="Times New Roman"/>
          <w:bCs/>
          <w:szCs w:val="24"/>
        </w:rPr>
        <w:t>24</w:t>
      </w:r>
      <w:r w:rsidR="00DC38B4">
        <w:rPr>
          <w:rFonts w:eastAsia="Times New Roman" w:cs="Times New Roman"/>
          <w:bCs/>
          <w:szCs w:val="24"/>
        </w:rPr>
        <w:t>-</w:t>
      </w:r>
      <w:r w:rsidR="00373B55">
        <w:rPr>
          <w:rFonts w:eastAsia="Times New Roman" w:cs="Times New Roman"/>
          <w:bCs/>
          <w:szCs w:val="24"/>
        </w:rPr>
        <w:t>54</w:t>
      </w:r>
      <w:r w:rsidR="00D97855">
        <w:rPr>
          <w:rFonts w:eastAsia="Times New Roman" w:cs="Times New Roman"/>
          <w:bCs/>
          <w:szCs w:val="24"/>
        </w:rPr>
        <w:t xml:space="preserve">%) </w:t>
      </w:r>
      <w:r w:rsidR="00A77A5F">
        <w:rPr>
          <w:rFonts w:eastAsia="Times New Roman" w:cs="Times New Roman"/>
          <w:bCs/>
          <w:szCs w:val="24"/>
        </w:rPr>
        <w:t>for</w:t>
      </w:r>
      <w:r w:rsidR="00D97855">
        <w:rPr>
          <w:rFonts w:eastAsia="Times New Roman" w:cs="Times New Roman"/>
          <w:bCs/>
          <w:szCs w:val="24"/>
        </w:rPr>
        <w:t xml:space="preserve"> PST</w:t>
      </w:r>
      <w:r w:rsidR="008529FF">
        <w:rPr>
          <w:rFonts w:eastAsia="Times New Roman" w:cs="Times New Roman"/>
          <w:bCs/>
          <w:szCs w:val="24"/>
        </w:rPr>
        <w:t xml:space="preserve">. </w:t>
      </w:r>
      <w:r w:rsidR="00A77A5F">
        <w:rPr>
          <w:rFonts w:eastAsia="Times New Roman" w:cs="Times New Roman"/>
          <w:bCs/>
          <w:szCs w:val="24"/>
        </w:rPr>
        <w:t>Planned pairwise comparisons</w:t>
      </w:r>
      <w:r>
        <w:rPr>
          <w:rFonts w:eastAsia="Times New Roman" w:cs="Times New Roman"/>
          <w:bCs/>
          <w:szCs w:val="24"/>
        </w:rPr>
        <w:t xml:space="preserve"> </w:t>
      </w:r>
      <w:r w:rsidR="00EA3A9F">
        <w:rPr>
          <w:rFonts w:eastAsia="Times New Roman" w:cs="Times New Roman"/>
          <w:bCs/>
          <w:szCs w:val="24"/>
        </w:rPr>
        <w:t>of</w:t>
      </w:r>
      <w:r w:rsidR="00A77A5F">
        <w:rPr>
          <w:rFonts w:eastAsia="Times New Roman" w:cs="Times New Roman"/>
          <w:bCs/>
          <w:szCs w:val="24"/>
        </w:rPr>
        <w:t xml:space="preserve"> response rates </w:t>
      </w:r>
      <w:r w:rsidR="002028AA">
        <w:rPr>
          <w:rFonts w:eastAsia="Times New Roman" w:cs="Times New Roman"/>
          <w:bCs/>
          <w:szCs w:val="24"/>
        </w:rPr>
        <w:t>at week 6 were not statistically different (</w:t>
      </w:r>
      <w:r w:rsidR="002028AA" w:rsidRPr="00FE1EC5">
        <w:rPr>
          <w:rFonts w:eastAsia="Times New Roman" w:cs="Times New Roman"/>
          <w:bCs/>
          <w:i/>
          <w:szCs w:val="24"/>
        </w:rPr>
        <w:t>p</w:t>
      </w:r>
      <w:r w:rsidR="002028AA">
        <w:rPr>
          <w:rFonts w:eastAsia="Times New Roman" w:cs="Times New Roman"/>
          <w:bCs/>
          <w:szCs w:val="24"/>
        </w:rPr>
        <w:t xml:space="preserve"> </w:t>
      </w:r>
      <w:r w:rsidR="00C8631A">
        <w:rPr>
          <w:rFonts w:eastAsia="Times New Roman" w:cs="Times New Roman"/>
          <w:bCs/>
          <w:szCs w:val="24"/>
        </w:rPr>
        <w:t>=</w:t>
      </w:r>
      <w:r w:rsidR="002028AA">
        <w:rPr>
          <w:rFonts w:eastAsia="Times New Roman" w:cs="Times New Roman"/>
          <w:bCs/>
          <w:szCs w:val="24"/>
        </w:rPr>
        <w:t xml:space="preserve"> .</w:t>
      </w:r>
      <w:r w:rsidR="00964B7E">
        <w:rPr>
          <w:rFonts w:eastAsia="Times New Roman" w:cs="Times New Roman"/>
          <w:bCs/>
          <w:szCs w:val="24"/>
        </w:rPr>
        <w:t>09</w:t>
      </w:r>
      <w:r w:rsidR="002028AA">
        <w:rPr>
          <w:rFonts w:eastAsia="Times New Roman" w:cs="Times New Roman"/>
          <w:bCs/>
          <w:szCs w:val="24"/>
        </w:rPr>
        <w:t xml:space="preserve">), whereas by </w:t>
      </w:r>
      <w:r w:rsidR="00A77A5F">
        <w:rPr>
          <w:rFonts w:eastAsia="Times New Roman" w:cs="Times New Roman"/>
          <w:bCs/>
          <w:szCs w:val="24"/>
        </w:rPr>
        <w:t xml:space="preserve">week </w:t>
      </w:r>
      <w:r w:rsidR="00EA3A9F">
        <w:rPr>
          <w:rFonts w:eastAsia="Times New Roman" w:cs="Times New Roman"/>
          <w:bCs/>
          <w:szCs w:val="24"/>
        </w:rPr>
        <w:t>12</w:t>
      </w:r>
      <w:r w:rsidR="006C1B95">
        <w:rPr>
          <w:rFonts w:eastAsia="Times New Roman" w:cs="Times New Roman"/>
          <w:bCs/>
          <w:szCs w:val="24"/>
        </w:rPr>
        <w:t>,</w:t>
      </w:r>
      <w:r w:rsidR="00A77A5F">
        <w:rPr>
          <w:rFonts w:eastAsia="Times New Roman" w:cs="Times New Roman"/>
          <w:bCs/>
          <w:szCs w:val="24"/>
        </w:rPr>
        <w:t xml:space="preserve"> AEBT</w:t>
      </w:r>
      <w:r w:rsidR="00A51116">
        <w:rPr>
          <w:rFonts w:eastAsia="Times New Roman" w:cs="Times New Roman"/>
          <w:bCs/>
          <w:szCs w:val="24"/>
        </w:rPr>
        <w:t>-TTM</w:t>
      </w:r>
      <w:r w:rsidR="00A77A5F">
        <w:rPr>
          <w:rFonts w:eastAsia="Times New Roman" w:cs="Times New Roman"/>
          <w:bCs/>
          <w:szCs w:val="24"/>
        </w:rPr>
        <w:t xml:space="preserve"> </w:t>
      </w:r>
      <w:r w:rsidR="000276C1">
        <w:rPr>
          <w:rFonts w:eastAsia="Times New Roman" w:cs="Times New Roman"/>
          <w:bCs/>
          <w:szCs w:val="24"/>
        </w:rPr>
        <w:t xml:space="preserve">was </w:t>
      </w:r>
      <w:r w:rsidR="00A77A5F">
        <w:rPr>
          <w:rFonts w:eastAsia="Times New Roman" w:cs="Times New Roman"/>
          <w:bCs/>
          <w:szCs w:val="24"/>
        </w:rPr>
        <w:t xml:space="preserve">superior to PST </w:t>
      </w:r>
      <w:r w:rsidR="00EA3A9F">
        <w:rPr>
          <w:rFonts w:eastAsia="Times New Roman" w:cs="Times New Roman"/>
          <w:bCs/>
          <w:szCs w:val="24"/>
        </w:rPr>
        <w:t>(</w:t>
      </w:r>
      <w:r w:rsidR="00EA3A9F" w:rsidRPr="00FE1EC5">
        <w:rPr>
          <w:rFonts w:eastAsia="Times New Roman" w:cs="Times New Roman"/>
          <w:bCs/>
          <w:i/>
          <w:szCs w:val="24"/>
        </w:rPr>
        <w:t>p</w:t>
      </w:r>
      <w:r w:rsidR="00EA3A9F">
        <w:rPr>
          <w:rFonts w:eastAsia="Times New Roman" w:cs="Times New Roman"/>
          <w:bCs/>
          <w:szCs w:val="24"/>
        </w:rPr>
        <w:t xml:space="preserve"> &lt; .0</w:t>
      </w:r>
      <w:r w:rsidR="00F56505">
        <w:rPr>
          <w:rFonts w:eastAsia="Times New Roman" w:cs="Times New Roman"/>
          <w:bCs/>
          <w:szCs w:val="24"/>
        </w:rPr>
        <w:t>2</w:t>
      </w:r>
      <w:r w:rsidR="00EA3A9F">
        <w:rPr>
          <w:rFonts w:eastAsia="Times New Roman" w:cs="Times New Roman"/>
          <w:bCs/>
          <w:szCs w:val="24"/>
        </w:rPr>
        <w:t>)</w:t>
      </w:r>
      <w:r w:rsidR="002028AA">
        <w:rPr>
          <w:rFonts w:eastAsia="Times New Roman" w:cs="Times New Roman"/>
          <w:bCs/>
          <w:szCs w:val="24"/>
        </w:rPr>
        <w:t>.</w:t>
      </w:r>
    </w:p>
    <w:p w14:paraId="5B94767C" w14:textId="74403364" w:rsidR="0055592C" w:rsidRDefault="0055592C" w:rsidP="0055592C">
      <w:pPr>
        <w:pStyle w:val="Heading2"/>
        <w:keepNext w:val="0"/>
        <w:keepLines w:val="0"/>
        <w:widowControl w:val="0"/>
        <w:spacing w:line="480" w:lineRule="auto"/>
      </w:pPr>
      <w:r>
        <w:t>Secondary</w:t>
      </w:r>
      <w:r w:rsidRPr="00515826">
        <w:t xml:space="preserve"> Outcomes</w:t>
      </w:r>
    </w:p>
    <w:p w14:paraId="6BF01C43" w14:textId="02878D5C" w:rsidR="00A35961" w:rsidRDefault="00F56505" w:rsidP="00CF2EEA">
      <w:pPr>
        <w:widowControl w:val="0"/>
        <w:spacing w:line="480" w:lineRule="auto"/>
        <w:ind w:firstLine="720"/>
        <w:rPr>
          <w:rFonts w:eastAsia="Times New Roman" w:cs="Times New Roman"/>
          <w:bCs/>
          <w:szCs w:val="24"/>
        </w:rPr>
      </w:pPr>
      <w:r>
        <w:rPr>
          <w:rFonts w:eastAsia="Times New Roman" w:cs="Times New Roman"/>
          <w:bCs/>
          <w:szCs w:val="24"/>
        </w:rPr>
        <w:lastRenderedPageBreak/>
        <w:t xml:space="preserve">At baseline, all </w:t>
      </w:r>
      <w:r w:rsidR="00BD33A9">
        <w:rPr>
          <w:rFonts w:eastAsia="Times New Roman" w:cs="Times New Roman"/>
          <w:bCs/>
          <w:szCs w:val="24"/>
        </w:rPr>
        <w:t>participants</w:t>
      </w:r>
      <w:r w:rsidR="00BD33A9">
        <w:rPr>
          <w:rFonts w:eastAsia="Times New Roman" w:cs="Times New Roman"/>
          <w:bCs/>
          <w:szCs w:val="24"/>
        </w:rPr>
        <w:t xml:space="preserve"> </w:t>
      </w:r>
      <w:r>
        <w:rPr>
          <w:rFonts w:eastAsia="Times New Roman" w:cs="Times New Roman"/>
          <w:bCs/>
          <w:szCs w:val="24"/>
        </w:rPr>
        <w:t xml:space="preserve">met diagnostic criteria for </w:t>
      </w:r>
      <w:r w:rsidRPr="00262C58">
        <w:rPr>
          <w:rFonts w:eastAsia="Times New Roman" w:cs="Times New Roman"/>
          <w:szCs w:val="24"/>
        </w:rPr>
        <w:t>TTM</w:t>
      </w:r>
      <w:r w:rsidR="006674C6">
        <w:rPr>
          <w:rFonts w:eastAsia="Times New Roman" w:cs="Times New Roman"/>
          <w:szCs w:val="24"/>
        </w:rPr>
        <w:t xml:space="preserve"> according to the</w:t>
      </w:r>
      <w:r w:rsidR="004F2C57">
        <w:rPr>
          <w:rFonts w:eastAsia="Times New Roman" w:cs="Times New Roman"/>
          <w:szCs w:val="24"/>
        </w:rPr>
        <w:t xml:space="preserve"> </w:t>
      </w:r>
      <w:r w:rsidR="004F2C57">
        <w:rPr>
          <w:rFonts w:cs="Times New Roman"/>
          <w:szCs w:val="24"/>
        </w:rPr>
        <w:t>Trichotillomania Diagnostic Inventory</w:t>
      </w:r>
      <w:r w:rsidR="006674C6">
        <w:rPr>
          <w:rFonts w:eastAsia="Times New Roman" w:cs="Times New Roman"/>
          <w:szCs w:val="24"/>
        </w:rPr>
        <w:t xml:space="preserve"> </w:t>
      </w:r>
      <w:r w:rsidR="004F2C57">
        <w:rPr>
          <w:rFonts w:eastAsia="Times New Roman" w:cs="Times New Roman"/>
          <w:szCs w:val="24"/>
        </w:rPr>
        <w:t>(</w:t>
      </w:r>
      <w:r w:rsidR="006674C6">
        <w:rPr>
          <w:rFonts w:eastAsia="Times New Roman" w:cs="Times New Roman"/>
          <w:szCs w:val="24"/>
        </w:rPr>
        <w:t>TDI</w:t>
      </w:r>
      <w:r w:rsidR="005A521A">
        <w:rPr>
          <w:rFonts w:eastAsia="Times New Roman" w:cs="Times New Roman"/>
          <w:szCs w:val="24"/>
        </w:rPr>
        <w:t xml:space="preserve">) </w:t>
      </w:r>
      <w:r w:rsidR="005A521A">
        <w:rPr>
          <w:rFonts w:eastAsia="Times New Roman" w:cs="Times New Roman"/>
          <w:szCs w:val="24"/>
        </w:rPr>
        <w:fldChar w:fldCharType="begin" w:fldLock="1"/>
      </w:r>
      <w:r w:rsidR="00AE0A71">
        <w:rPr>
          <w:rFonts w:eastAsia="Times New Roman" w:cs="Times New Roman"/>
          <w:szCs w:val="24"/>
        </w:rPr>
        <w:instrText>ADDIN CSL_CITATION {"citationItems":[{"id":"ITEM-1","itemData":{"DOI":"10.1016/0005-7967(94)90022-1","ISBN":"0005-7967 (Print) 0005-7967 (Linking)","ISSN":"00057967","PMID":"8085996","abstract":"Trichotillomania is a disorder characterized by hair-pulling and resulting hair loss. Hair is usually pulled from the scalp, eyelashes, eyebrows, beard, and pubic area. Sufferers often resort to wearing wigs or elaborate hair styles and make-up to camouflage bald patches. It occurs more frequently in women and is associated with considerable distress. The two treatments of choice currently are pharmacotherapy and cognitive-behavioral therapy. The choice of assessment procedures includes self-monitoring, saving hairs, interview, observational rating, digital photograph and computer scoring, significant others' report, and standardized measures. Goals of assessment in trichotillomania and advantages and disadvantages of assessment procedures are discussed. The Trichotillomania Diagnostic Interview is presented as a standardized diagnostic interview. © 1994.","author":[{"dropping-particle":"","family":"Rothbaum","given":"Barbara O.","non-dropping-particle":"","parse-names":false,"suffix":""},{"dropping-particle":"","family":"Ninan","given":"Philip T.","non-dropping-particle":"","parse-names":false,"suffix":""}],"container-title":"Behaviour Research and Therapy","id":"ITEM-1","issue":"6","issued":{"date-parts":[["1994"]]},"page":"651-662","title":"The assessment of trichotillomania","type":"article-journal","volume":"32"},"uris":["http://www.mendeley.com/documents/?uuid=fffaa5d0-4502-4e83-a3c5-ffbb55951f95"]}],"mendeley":{"formattedCitation":"(Rothbaum &amp; Ninan, 1994)","plainTextFormattedCitation":"(Rothbaum &amp; Ninan, 1994)","previouslyFormattedCitation":"(Rothbaum &amp; Ninan, 1994)"},"properties":{"noteIndex":0},"schema":"https://github.com/citation-style-language/schema/raw/master/csl-citation.json"}</w:instrText>
      </w:r>
      <w:r w:rsidR="005A521A">
        <w:rPr>
          <w:rFonts w:eastAsia="Times New Roman" w:cs="Times New Roman"/>
          <w:szCs w:val="24"/>
        </w:rPr>
        <w:fldChar w:fldCharType="separate"/>
      </w:r>
      <w:r w:rsidR="005A521A" w:rsidRPr="005A521A">
        <w:rPr>
          <w:rFonts w:eastAsia="Times New Roman" w:cs="Times New Roman"/>
          <w:noProof/>
          <w:szCs w:val="24"/>
        </w:rPr>
        <w:t>(Rothbaum &amp; Ninan, 1994)</w:t>
      </w:r>
      <w:r w:rsidR="005A521A">
        <w:rPr>
          <w:rFonts w:eastAsia="Times New Roman" w:cs="Times New Roman"/>
          <w:szCs w:val="24"/>
        </w:rPr>
        <w:fldChar w:fldCharType="end"/>
      </w:r>
      <w:r>
        <w:rPr>
          <w:rFonts w:eastAsia="Times New Roman" w:cs="Times New Roman"/>
          <w:szCs w:val="24"/>
        </w:rPr>
        <w:t>.</w:t>
      </w:r>
      <w:r w:rsidR="00A51116">
        <w:rPr>
          <w:rFonts w:eastAsia="Times New Roman" w:cs="Times New Roman"/>
          <w:szCs w:val="24"/>
        </w:rPr>
        <w:t xml:space="preserve"> </w:t>
      </w:r>
      <w:r>
        <w:rPr>
          <w:rFonts w:eastAsia="Times New Roman" w:cs="Times New Roman"/>
          <w:szCs w:val="24"/>
        </w:rPr>
        <w:t>By week 6, this percentage reduced to 54% (CI 95%, 3</w:t>
      </w:r>
      <w:r w:rsidR="000E03DA">
        <w:rPr>
          <w:rFonts w:eastAsia="Times New Roman" w:cs="Times New Roman"/>
          <w:szCs w:val="24"/>
        </w:rPr>
        <w:t>7</w:t>
      </w:r>
      <w:r>
        <w:rPr>
          <w:rFonts w:eastAsia="Times New Roman" w:cs="Times New Roman"/>
          <w:szCs w:val="24"/>
        </w:rPr>
        <w:t>-</w:t>
      </w:r>
      <w:r w:rsidR="00FC2835">
        <w:rPr>
          <w:rFonts w:eastAsia="Times New Roman" w:cs="Times New Roman"/>
          <w:szCs w:val="24"/>
        </w:rPr>
        <w:t>69</w:t>
      </w:r>
      <w:r>
        <w:rPr>
          <w:rFonts w:eastAsia="Times New Roman" w:cs="Times New Roman"/>
          <w:szCs w:val="24"/>
        </w:rPr>
        <w:t>%) for those in AEBT</w:t>
      </w:r>
      <w:r w:rsidR="00A51116">
        <w:rPr>
          <w:rFonts w:eastAsia="Times New Roman" w:cs="Times New Roman"/>
          <w:szCs w:val="24"/>
        </w:rPr>
        <w:t>-TTM</w:t>
      </w:r>
      <w:r>
        <w:rPr>
          <w:rFonts w:eastAsia="Times New Roman" w:cs="Times New Roman"/>
          <w:szCs w:val="24"/>
        </w:rPr>
        <w:t xml:space="preserve"> and </w:t>
      </w:r>
      <w:r w:rsidR="000E03DA">
        <w:rPr>
          <w:rFonts w:eastAsia="Times New Roman" w:cs="Times New Roman"/>
          <w:szCs w:val="24"/>
        </w:rPr>
        <w:t>70</w:t>
      </w:r>
      <w:r>
        <w:rPr>
          <w:rFonts w:eastAsia="Times New Roman" w:cs="Times New Roman"/>
          <w:szCs w:val="24"/>
        </w:rPr>
        <w:t>% (CI 95%, 4</w:t>
      </w:r>
      <w:r w:rsidR="00293916">
        <w:rPr>
          <w:rFonts w:eastAsia="Times New Roman" w:cs="Times New Roman"/>
          <w:szCs w:val="24"/>
        </w:rPr>
        <w:t>8</w:t>
      </w:r>
      <w:r>
        <w:rPr>
          <w:rFonts w:eastAsia="Times New Roman" w:cs="Times New Roman"/>
          <w:szCs w:val="24"/>
        </w:rPr>
        <w:t>-8</w:t>
      </w:r>
      <w:r w:rsidR="00293916">
        <w:rPr>
          <w:rFonts w:eastAsia="Times New Roman" w:cs="Times New Roman"/>
          <w:szCs w:val="24"/>
        </w:rPr>
        <w:t>5</w:t>
      </w:r>
      <w:r>
        <w:rPr>
          <w:rFonts w:eastAsia="Times New Roman" w:cs="Times New Roman"/>
          <w:szCs w:val="24"/>
        </w:rPr>
        <w:t xml:space="preserve">%) for </w:t>
      </w:r>
      <w:r w:rsidR="00A51116">
        <w:rPr>
          <w:rFonts w:eastAsia="Times New Roman" w:cs="Times New Roman"/>
          <w:szCs w:val="24"/>
        </w:rPr>
        <w:t xml:space="preserve">those in </w:t>
      </w:r>
      <w:r>
        <w:rPr>
          <w:rFonts w:eastAsia="Times New Roman" w:cs="Times New Roman"/>
          <w:szCs w:val="24"/>
        </w:rPr>
        <w:t xml:space="preserve">PST. By week 12, only 40% (CI 95%, </w:t>
      </w:r>
      <w:r w:rsidR="00FC2835">
        <w:rPr>
          <w:rFonts w:eastAsia="Times New Roman" w:cs="Times New Roman"/>
          <w:szCs w:val="24"/>
        </w:rPr>
        <w:t>19</w:t>
      </w:r>
      <w:r>
        <w:rPr>
          <w:rFonts w:eastAsia="Times New Roman" w:cs="Times New Roman"/>
          <w:szCs w:val="24"/>
        </w:rPr>
        <w:t>-6</w:t>
      </w:r>
      <w:r w:rsidR="00FC2835">
        <w:rPr>
          <w:rFonts w:eastAsia="Times New Roman" w:cs="Times New Roman"/>
          <w:szCs w:val="24"/>
        </w:rPr>
        <w:t>7</w:t>
      </w:r>
      <w:r>
        <w:rPr>
          <w:rFonts w:eastAsia="Times New Roman" w:cs="Times New Roman"/>
          <w:szCs w:val="24"/>
        </w:rPr>
        <w:t>%) of those in AEBT</w:t>
      </w:r>
      <w:r w:rsidR="00A51116">
        <w:rPr>
          <w:rFonts w:eastAsia="Times New Roman" w:cs="Times New Roman"/>
          <w:szCs w:val="24"/>
        </w:rPr>
        <w:t>-TTM</w:t>
      </w:r>
      <w:r>
        <w:rPr>
          <w:rFonts w:eastAsia="Times New Roman" w:cs="Times New Roman"/>
          <w:szCs w:val="24"/>
        </w:rPr>
        <w:t xml:space="preserve"> and 4</w:t>
      </w:r>
      <w:r w:rsidR="00FC2835">
        <w:rPr>
          <w:rFonts w:eastAsia="Times New Roman" w:cs="Times New Roman"/>
          <w:szCs w:val="24"/>
        </w:rPr>
        <w:t>9</w:t>
      </w:r>
      <w:r>
        <w:rPr>
          <w:rFonts w:eastAsia="Times New Roman" w:cs="Times New Roman"/>
          <w:szCs w:val="24"/>
        </w:rPr>
        <w:t>% (CI 95%, 2</w:t>
      </w:r>
      <w:r w:rsidR="00FC2835">
        <w:rPr>
          <w:rFonts w:eastAsia="Times New Roman" w:cs="Times New Roman"/>
          <w:szCs w:val="24"/>
        </w:rPr>
        <w:t>4</w:t>
      </w:r>
      <w:r>
        <w:rPr>
          <w:rFonts w:eastAsia="Times New Roman" w:cs="Times New Roman"/>
          <w:szCs w:val="24"/>
        </w:rPr>
        <w:t>-</w:t>
      </w:r>
      <w:r w:rsidR="00293916">
        <w:rPr>
          <w:rFonts w:eastAsia="Times New Roman" w:cs="Times New Roman"/>
          <w:szCs w:val="24"/>
        </w:rPr>
        <w:t>7</w:t>
      </w:r>
      <w:r w:rsidR="00FC2835">
        <w:rPr>
          <w:rFonts w:eastAsia="Times New Roman" w:cs="Times New Roman"/>
          <w:szCs w:val="24"/>
        </w:rPr>
        <w:t>4</w:t>
      </w:r>
      <w:r>
        <w:rPr>
          <w:rFonts w:eastAsia="Times New Roman" w:cs="Times New Roman"/>
          <w:szCs w:val="24"/>
        </w:rPr>
        <w:t>%) of those in PST met diagnostic criteria for TTM.</w:t>
      </w:r>
      <w:r w:rsidR="00A51116">
        <w:rPr>
          <w:rFonts w:eastAsia="Times New Roman" w:cs="Times New Roman"/>
          <w:szCs w:val="24"/>
        </w:rPr>
        <w:t xml:space="preserve"> </w:t>
      </w:r>
      <w:r>
        <w:rPr>
          <w:rFonts w:eastAsia="Times New Roman" w:cs="Times New Roman"/>
          <w:szCs w:val="24"/>
        </w:rPr>
        <w:t>Planned pairwise comparisons of rates of diagnoses at week 6 and week 12 were not statistically different (</w:t>
      </w:r>
      <w:r w:rsidRPr="00FE1EC5">
        <w:rPr>
          <w:rFonts w:eastAsia="Times New Roman" w:cs="Times New Roman"/>
          <w:i/>
          <w:szCs w:val="24"/>
        </w:rPr>
        <w:t>p</w:t>
      </w:r>
      <w:r>
        <w:rPr>
          <w:rFonts w:eastAsia="Times New Roman" w:cs="Times New Roman"/>
          <w:szCs w:val="24"/>
        </w:rPr>
        <w:t xml:space="preserve"> </w:t>
      </w:r>
      <w:r w:rsidR="00C8631A">
        <w:rPr>
          <w:rFonts w:eastAsia="Times New Roman" w:cs="Times New Roman"/>
          <w:szCs w:val="24"/>
        </w:rPr>
        <w:t>=</w:t>
      </w:r>
      <w:r>
        <w:rPr>
          <w:rFonts w:eastAsia="Times New Roman" w:cs="Times New Roman"/>
          <w:szCs w:val="24"/>
        </w:rPr>
        <w:t xml:space="preserve"> .</w:t>
      </w:r>
      <w:r w:rsidR="00FC2835">
        <w:rPr>
          <w:rFonts w:eastAsia="Times New Roman" w:cs="Times New Roman"/>
          <w:szCs w:val="24"/>
        </w:rPr>
        <w:t>19</w:t>
      </w:r>
      <w:r>
        <w:rPr>
          <w:rFonts w:eastAsia="Times New Roman" w:cs="Times New Roman"/>
          <w:szCs w:val="24"/>
        </w:rPr>
        <w:t xml:space="preserve">; </w:t>
      </w:r>
      <w:r w:rsidRPr="00FE1EC5">
        <w:rPr>
          <w:rFonts w:eastAsia="Times New Roman" w:cs="Times New Roman"/>
          <w:i/>
          <w:szCs w:val="24"/>
        </w:rPr>
        <w:t>p</w:t>
      </w:r>
      <w:r>
        <w:rPr>
          <w:rFonts w:eastAsia="Times New Roman" w:cs="Times New Roman"/>
          <w:szCs w:val="24"/>
        </w:rPr>
        <w:t xml:space="preserve"> </w:t>
      </w:r>
      <w:r w:rsidR="00C8631A">
        <w:rPr>
          <w:rFonts w:eastAsia="Times New Roman" w:cs="Times New Roman"/>
          <w:szCs w:val="24"/>
        </w:rPr>
        <w:t>=</w:t>
      </w:r>
      <w:r>
        <w:rPr>
          <w:rFonts w:eastAsia="Times New Roman" w:cs="Times New Roman"/>
          <w:szCs w:val="24"/>
        </w:rPr>
        <w:t xml:space="preserve"> .</w:t>
      </w:r>
      <w:r w:rsidR="00FC2835">
        <w:rPr>
          <w:rFonts w:eastAsia="Times New Roman" w:cs="Times New Roman"/>
          <w:szCs w:val="24"/>
        </w:rPr>
        <w:t>52</w:t>
      </w:r>
      <w:r>
        <w:rPr>
          <w:rFonts w:eastAsia="Times New Roman" w:cs="Times New Roman"/>
          <w:szCs w:val="24"/>
        </w:rPr>
        <w:t>).</w:t>
      </w:r>
    </w:p>
    <w:p w14:paraId="6BF1CDC4" w14:textId="50EA0B3F" w:rsidR="0006208D" w:rsidRDefault="000E422A" w:rsidP="00CF2EEA">
      <w:pPr>
        <w:widowControl w:val="0"/>
        <w:spacing w:line="480" w:lineRule="auto"/>
        <w:ind w:firstLine="720"/>
        <w:rPr>
          <w:rFonts w:eastAsia="Times New Roman" w:cs="Times New Roman"/>
          <w:bCs/>
          <w:szCs w:val="24"/>
        </w:rPr>
      </w:pPr>
      <w:r>
        <w:rPr>
          <w:rFonts w:eastAsia="Times New Roman" w:cs="Times New Roman"/>
          <w:bCs/>
          <w:szCs w:val="24"/>
        </w:rPr>
        <w:t>L</w:t>
      </w:r>
      <w:r w:rsidR="0067139A">
        <w:rPr>
          <w:rFonts w:eastAsia="Times New Roman" w:cs="Times New Roman"/>
          <w:bCs/>
          <w:szCs w:val="24"/>
        </w:rPr>
        <w:t xml:space="preserve">ongitudinal regression analyses </w:t>
      </w:r>
      <w:r w:rsidR="007937BC">
        <w:rPr>
          <w:rFonts w:eastAsia="Times New Roman" w:cs="Times New Roman"/>
          <w:bCs/>
          <w:szCs w:val="24"/>
        </w:rPr>
        <w:t xml:space="preserve">on the </w:t>
      </w:r>
      <w:r w:rsidR="0006208D">
        <w:rPr>
          <w:rFonts w:eastAsia="Times New Roman" w:cs="Times New Roman"/>
          <w:bCs/>
          <w:szCs w:val="24"/>
        </w:rPr>
        <w:t>NIMH-TSS</w:t>
      </w:r>
      <w:r>
        <w:rPr>
          <w:rFonts w:eastAsia="Times New Roman" w:cs="Times New Roman"/>
          <w:bCs/>
          <w:szCs w:val="24"/>
        </w:rPr>
        <w:t xml:space="preserve"> </w:t>
      </w:r>
      <w:r w:rsidR="0006208D">
        <w:rPr>
          <w:rFonts w:eastAsia="Times New Roman" w:cs="Times New Roman"/>
          <w:bCs/>
          <w:szCs w:val="24"/>
        </w:rPr>
        <w:t>revealed that AEBT</w:t>
      </w:r>
      <w:r w:rsidR="00A51116">
        <w:rPr>
          <w:rFonts w:eastAsia="Times New Roman" w:cs="Times New Roman"/>
          <w:bCs/>
          <w:szCs w:val="24"/>
        </w:rPr>
        <w:t>-TTM</w:t>
      </w:r>
      <w:r w:rsidR="0006208D">
        <w:rPr>
          <w:rFonts w:eastAsia="Times New Roman" w:cs="Times New Roman"/>
          <w:bCs/>
          <w:szCs w:val="24"/>
        </w:rPr>
        <w:t xml:space="preserve"> was </w:t>
      </w:r>
      <w:r w:rsidR="00AC7238">
        <w:rPr>
          <w:rFonts w:eastAsia="Times New Roman" w:cs="Times New Roman"/>
          <w:bCs/>
          <w:szCs w:val="24"/>
        </w:rPr>
        <w:t xml:space="preserve">statistically </w:t>
      </w:r>
      <w:r w:rsidR="0006208D">
        <w:rPr>
          <w:rFonts w:eastAsia="Times New Roman" w:cs="Times New Roman"/>
          <w:bCs/>
          <w:szCs w:val="24"/>
        </w:rPr>
        <w:t xml:space="preserve">superior to PST </w:t>
      </w:r>
      <w:r w:rsidR="007E6020">
        <w:rPr>
          <w:rFonts w:eastAsia="Times New Roman" w:cs="Times New Roman"/>
          <w:bCs/>
          <w:szCs w:val="24"/>
        </w:rPr>
        <w:t>by</w:t>
      </w:r>
      <w:r w:rsidR="00BF3CF9">
        <w:rPr>
          <w:rFonts w:eastAsia="Times New Roman" w:cs="Times New Roman"/>
          <w:bCs/>
          <w:szCs w:val="24"/>
        </w:rPr>
        <w:t xml:space="preserve"> </w:t>
      </w:r>
      <w:r w:rsidR="0006208D">
        <w:rPr>
          <w:rFonts w:eastAsia="Times New Roman" w:cs="Times New Roman"/>
          <w:bCs/>
          <w:szCs w:val="24"/>
        </w:rPr>
        <w:t>week 6 (</w:t>
      </w:r>
      <w:r w:rsidR="0006208D" w:rsidRPr="00FE1EC5">
        <w:rPr>
          <w:rFonts w:eastAsia="Times New Roman" w:cs="Times New Roman"/>
          <w:bCs/>
          <w:i/>
          <w:szCs w:val="24"/>
        </w:rPr>
        <w:t>p</w:t>
      </w:r>
      <w:r w:rsidR="0006208D">
        <w:rPr>
          <w:rFonts w:eastAsia="Times New Roman" w:cs="Times New Roman"/>
          <w:bCs/>
          <w:szCs w:val="24"/>
        </w:rPr>
        <w:t xml:space="preserve"> &lt; .</w:t>
      </w:r>
      <w:r w:rsidR="00356FB9">
        <w:rPr>
          <w:rFonts w:eastAsia="Times New Roman" w:cs="Times New Roman"/>
          <w:bCs/>
          <w:szCs w:val="24"/>
        </w:rPr>
        <w:t>03</w:t>
      </w:r>
      <w:r w:rsidR="00293916">
        <w:rPr>
          <w:rFonts w:eastAsia="Times New Roman" w:cs="Times New Roman"/>
          <w:bCs/>
          <w:szCs w:val="24"/>
        </w:rPr>
        <w:t>)</w:t>
      </w:r>
      <w:r w:rsidR="00C67FF0">
        <w:rPr>
          <w:rFonts w:eastAsia="Times New Roman" w:cs="Times New Roman"/>
          <w:bCs/>
          <w:szCs w:val="24"/>
        </w:rPr>
        <w:t>,</w:t>
      </w:r>
      <w:r w:rsidR="00293916">
        <w:rPr>
          <w:rFonts w:eastAsia="Times New Roman" w:cs="Times New Roman"/>
          <w:bCs/>
          <w:szCs w:val="24"/>
        </w:rPr>
        <w:t xml:space="preserve"> with </w:t>
      </w:r>
      <w:r w:rsidR="00AC7238">
        <w:rPr>
          <w:rFonts w:eastAsia="Times New Roman" w:cs="Times New Roman"/>
          <w:bCs/>
          <w:szCs w:val="24"/>
        </w:rPr>
        <w:t xml:space="preserve">continued statistically significant </w:t>
      </w:r>
      <w:r w:rsidR="00293916">
        <w:rPr>
          <w:rFonts w:eastAsia="Times New Roman" w:cs="Times New Roman"/>
          <w:bCs/>
          <w:szCs w:val="24"/>
        </w:rPr>
        <w:t xml:space="preserve">differences </w:t>
      </w:r>
      <w:r w:rsidR="007E6020">
        <w:rPr>
          <w:rFonts w:eastAsia="Times New Roman" w:cs="Times New Roman"/>
          <w:bCs/>
          <w:szCs w:val="24"/>
        </w:rPr>
        <w:t xml:space="preserve">at </w:t>
      </w:r>
      <w:r w:rsidR="0006208D">
        <w:rPr>
          <w:rFonts w:eastAsia="Times New Roman" w:cs="Times New Roman"/>
          <w:bCs/>
          <w:szCs w:val="24"/>
        </w:rPr>
        <w:t>week 12 (</w:t>
      </w:r>
      <w:r w:rsidR="0006208D" w:rsidRPr="00FE1EC5">
        <w:rPr>
          <w:rFonts w:eastAsia="Times New Roman" w:cs="Times New Roman"/>
          <w:bCs/>
          <w:i/>
          <w:szCs w:val="24"/>
        </w:rPr>
        <w:t>p</w:t>
      </w:r>
      <w:r w:rsidR="0006208D">
        <w:rPr>
          <w:rFonts w:eastAsia="Times New Roman" w:cs="Times New Roman"/>
          <w:bCs/>
          <w:szCs w:val="24"/>
        </w:rPr>
        <w:t xml:space="preserve"> &lt; .</w:t>
      </w:r>
      <w:r w:rsidR="00356FB9">
        <w:rPr>
          <w:rFonts w:eastAsia="Times New Roman" w:cs="Times New Roman"/>
          <w:bCs/>
          <w:szCs w:val="24"/>
        </w:rPr>
        <w:t>01</w:t>
      </w:r>
      <w:r w:rsidR="0006208D">
        <w:rPr>
          <w:rFonts w:eastAsia="Times New Roman" w:cs="Times New Roman"/>
          <w:bCs/>
          <w:szCs w:val="24"/>
        </w:rPr>
        <w:t xml:space="preserve">). </w:t>
      </w:r>
      <w:r w:rsidR="00A51116">
        <w:rPr>
          <w:rFonts w:eastAsia="Times New Roman" w:cs="Times New Roman"/>
          <w:bCs/>
          <w:szCs w:val="24"/>
        </w:rPr>
        <w:t>MGH-H</w:t>
      </w:r>
      <w:r w:rsidR="00D255A8">
        <w:rPr>
          <w:rFonts w:eastAsia="Times New Roman" w:cs="Times New Roman"/>
          <w:bCs/>
          <w:szCs w:val="24"/>
        </w:rPr>
        <w:t xml:space="preserve">S scores were not significantly different between the two treatment conditions </w:t>
      </w:r>
      <w:r w:rsidR="00DF4372">
        <w:rPr>
          <w:rFonts w:eastAsia="Times New Roman" w:cs="Times New Roman"/>
          <w:bCs/>
          <w:szCs w:val="24"/>
        </w:rPr>
        <w:t>at</w:t>
      </w:r>
      <w:r w:rsidR="00D255A8">
        <w:rPr>
          <w:rFonts w:eastAsia="Times New Roman" w:cs="Times New Roman"/>
          <w:bCs/>
          <w:szCs w:val="24"/>
        </w:rPr>
        <w:t xml:space="preserve"> week 6 (</w:t>
      </w:r>
      <w:r w:rsidR="00D255A8" w:rsidRPr="00FE1EC5">
        <w:rPr>
          <w:rFonts w:eastAsia="Times New Roman" w:cs="Times New Roman"/>
          <w:bCs/>
          <w:i/>
          <w:szCs w:val="24"/>
        </w:rPr>
        <w:t>p</w:t>
      </w:r>
      <w:r w:rsidR="007937BC">
        <w:rPr>
          <w:rFonts w:eastAsia="Times New Roman" w:cs="Times New Roman"/>
          <w:bCs/>
          <w:szCs w:val="24"/>
        </w:rPr>
        <w:t xml:space="preserve"> </w:t>
      </w:r>
      <w:r w:rsidR="00C8631A">
        <w:rPr>
          <w:rFonts w:eastAsia="Times New Roman" w:cs="Times New Roman"/>
          <w:bCs/>
          <w:szCs w:val="24"/>
        </w:rPr>
        <w:t>=</w:t>
      </w:r>
      <w:r w:rsidR="007937BC">
        <w:rPr>
          <w:rFonts w:eastAsia="Times New Roman" w:cs="Times New Roman"/>
          <w:bCs/>
          <w:szCs w:val="24"/>
        </w:rPr>
        <w:t xml:space="preserve"> </w:t>
      </w:r>
      <w:r w:rsidR="00D255A8">
        <w:rPr>
          <w:rFonts w:eastAsia="Times New Roman" w:cs="Times New Roman"/>
          <w:bCs/>
          <w:szCs w:val="24"/>
        </w:rPr>
        <w:t>.</w:t>
      </w:r>
      <w:r w:rsidR="00AC7238">
        <w:rPr>
          <w:rFonts w:eastAsia="Times New Roman" w:cs="Times New Roman"/>
          <w:bCs/>
          <w:szCs w:val="24"/>
        </w:rPr>
        <w:t>88</w:t>
      </w:r>
      <w:r w:rsidR="00D255A8">
        <w:rPr>
          <w:rFonts w:eastAsia="Times New Roman" w:cs="Times New Roman"/>
          <w:bCs/>
          <w:szCs w:val="24"/>
        </w:rPr>
        <w:t xml:space="preserve">) </w:t>
      </w:r>
      <w:r w:rsidR="00EC42BD">
        <w:rPr>
          <w:rFonts w:eastAsia="Times New Roman" w:cs="Times New Roman"/>
          <w:bCs/>
          <w:szCs w:val="24"/>
        </w:rPr>
        <w:t>but became statistically significant</w:t>
      </w:r>
      <w:r w:rsidR="00D255A8">
        <w:rPr>
          <w:rFonts w:eastAsia="Times New Roman" w:cs="Times New Roman"/>
          <w:bCs/>
          <w:szCs w:val="24"/>
        </w:rPr>
        <w:t xml:space="preserve"> </w:t>
      </w:r>
      <w:r w:rsidR="00DF4372">
        <w:rPr>
          <w:rFonts w:eastAsia="Times New Roman" w:cs="Times New Roman"/>
          <w:bCs/>
          <w:szCs w:val="24"/>
        </w:rPr>
        <w:t>at</w:t>
      </w:r>
      <w:r w:rsidR="00D255A8">
        <w:rPr>
          <w:rFonts w:eastAsia="Times New Roman" w:cs="Times New Roman"/>
          <w:bCs/>
          <w:szCs w:val="24"/>
        </w:rPr>
        <w:t xml:space="preserve"> </w:t>
      </w:r>
      <w:r>
        <w:rPr>
          <w:rFonts w:eastAsia="Times New Roman" w:cs="Times New Roman"/>
          <w:bCs/>
          <w:szCs w:val="24"/>
        </w:rPr>
        <w:t>w</w:t>
      </w:r>
      <w:r w:rsidR="00D255A8">
        <w:rPr>
          <w:rFonts w:eastAsia="Times New Roman" w:cs="Times New Roman"/>
          <w:bCs/>
          <w:szCs w:val="24"/>
        </w:rPr>
        <w:t>eek 12 (</w:t>
      </w:r>
      <w:r w:rsidR="00D255A8" w:rsidRPr="00FE1EC5">
        <w:rPr>
          <w:rFonts w:eastAsia="Times New Roman" w:cs="Times New Roman"/>
          <w:bCs/>
          <w:i/>
          <w:szCs w:val="24"/>
        </w:rPr>
        <w:t>p</w:t>
      </w:r>
      <w:r w:rsidR="00D32F79">
        <w:rPr>
          <w:rFonts w:eastAsia="Times New Roman" w:cs="Times New Roman"/>
          <w:bCs/>
          <w:szCs w:val="24"/>
        </w:rPr>
        <w:t xml:space="preserve"> </w:t>
      </w:r>
      <w:r w:rsidR="00D255A8">
        <w:rPr>
          <w:rFonts w:eastAsia="Times New Roman" w:cs="Times New Roman"/>
          <w:bCs/>
          <w:szCs w:val="24"/>
        </w:rPr>
        <w:t>=</w:t>
      </w:r>
      <w:r w:rsidR="00D32F79">
        <w:rPr>
          <w:rFonts w:eastAsia="Times New Roman" w:cs="Times New Roman"/>
          <w:bCs/>
          <w:szCs w:val="24"/>
        </w:rPr>
        <w:t xml:space="preserve"> </w:t>
      </w:r>
      <w:r w:rsidR="00D255A8">
        <w:rPr>
          <w:rFonts w:eastAsia="Times New Roman" w:cs="Times New Roman"/>
          <w:bCs/>
          <w:szCs w:val="24"/>
        </w:rPr>
        <w:t>.</w:t>
      </w:r>
      <w:r w:rsidR="00EC42BD">
        <w:rPr>
          <w:rFonts w:eastAsia="Times New Roman" w:cs="Times New Roman"/>
          <w:bCs/>
          <w:szCs w:val="24"/>
        </w:rPr>
        <w:t>03</w:t>
      </w:r>
      <w:r w:rsidR="00D255A8">
        <w:rPr>
          <w:rFonts w:eastAsia="Times New Roman" w:cs="Times New Roman"/>
          <w:bCs/>
          <w:szCs w:val="24"/>
        </w:rPr>
        <w:t>).</w:t>
      </w:r>
      <w:r w:rsidR="00E116E1">
        <w:rPr>
          <w:rFonts w:eastAsia="Times New Roman" w:cs="Times New Roman"/>
          <w:bCs/>
          <w:szCs w:val="24"/>
        </w:rPr>
        <w:t xml:space="preserve"> Longitudinal regression analyses of the CGI-S scores showed no significant between group differences in the average symptom severity rating at week 6 (</w:t>
      </w:r>
      <w:r w:rsidR="00E116E1" w:rsidRPr="004D60A5">
        <w:rPr>
          <w:rFonts w:eastAsia="Times New Roman" w:cs="Times New Roman"/>
          <w:bCs/>
          <w:i/>
          <w:szCs w:val="24"/>
        </w:rPr>
        <w:t>p</w:t>
      </w:r>
      <w:r w:rsidR="00E116E1">
        <w:rPr>
          <w:rFonts w:eastAsia="Times New Roman" w:cs="Times New Roman"/>
          <w:bCs/>
          <w:szCs w:val="24"/>
        </w:rPr>
        <w:t xml:space="preserve"> </w:t>
      </w:r>
      <w:r w:rsidR="00C8631A">
        <w:rPr>
          <w:rFonts w:eastAsia="Times New Roman" w:cs="Times New Roman"/>
          <w:bCs/>
          <w:szCs w:val="24"/>
        </w:rPr>
        <w:t>=</w:t>
      </w:r>
      <w:r w:rsidR="00E116E1">
        <w:rPr>
          <w:rFonts w:eastAsia="Times New Roman" w:cs="Times New Roman"/>
          <w:bCs/>
          <w:szCs w:val="24"/>
        </w:rPr>
        <w:t xml:space="preserve"> .</w:t>
      </w:r>
      <w:r w:rsidR="007E7EBB">
        <w:rPr>
          <w:rFonts w:eastAsia="Times New Roman" w:cs="Times New Roman"/>
          <w:bCs/>
          <w:szCs w:val="24"/>
        </w:rPr>
        <w:t>44</w:t>
      </w:r>
      <w:r w:rsidR="00E116E1">
        <w:rPr>
          <w:rFonts w:eastAsia="Times New Roman" w:cs="Times New Roman"/>
          <w:bCs/>
          <w:szCs w:val="24"/>
        </w:rPr>
        <w:t>) or at week 12 (</w:t>
      </w:r>
      <w:r w:rsidR="00E116E1" w:rsidRPr="004D60A5">
        <w:rPr>
          <w:rFonts w:eastAsia="Times New Roman" w:cs="Times New Roman"/>
          <w:bCs/>
          <w:i/>
          <w:szCs w:val="24"/>
        </w:rPr>
        <w:t>p</w:t>
      </w:r>
      <w:r w:rsidR="00E116E1">
        <w:rPr>
          <w:rFonts w:eastAsia="Times New Roman" w:cs="Times New Roman"/>
          <w:bCs/>
          <w:szCs w:val="24"/>
        </w:rPr>
        <w:t xml:space="preserve"> </w:t>
      </w:r>
      <w:r w:rsidR="00C8631A">
        <w:rPr>
          <w:rFonts w:eastAsia="Times New Roman" w:cs="Times New Roman"/>
          <w:bCs/>
          <w:szCs w:val="24"/>
        </w:rPr>
        <w:t>=</w:t>
      </w:r>
      <w:r w:rsidR="00E116E1">
        <w:rPr>
          <w:rFonts w:eastAsia="Times New Roman" w:cs="Times New Roman"/>
          <w:bCs/>
          <w:szCs w:val="24"/>
        </w:rPr>
        <w:t xml:space="preserve"> .</w:t>
      </w:r>
      <w:r w:rsidR="009B384A">
        <w:rPr>
          <w:rFonts w:eastAsia="Times New Roman" w:cs="Times New Roman"/>
          <w:bCs/>
          <w:szCs w:val="24"/>
        </w:rPr>
        <w:t>07</w:t>
      </w:r>
      <w:r w:rsidR="00E116E1">
        <w:rPr>
          <w:rFonts w:eastAsia="Times New Roman" w:cs="Times New Roman"/>
          <w:bCs/>
          <w:szCs w:val="24"/>
        </w:rPr>
        <w:t>).</w:t>
      </w:r>
    </w:p>
    <w:p w14:paraId="6FE61DCA" w14:textId="6C0D6145" w:rsidR="00AD7B1C" w:rsidRDefault="00AD7B1C" w:rsidP="00AD7B1C">
      <w:pPr>
        <w:widowControl w:val="0"/>
        <w:spacing w:line="480" w:lineRule="auto"/>
        <w:ind w:firstLine="720"/>
        <w:rPr>
          <w:rFonts w:eastAsia="Times New Roman" w:cs="Times New Roman"/>
          <w:bCs/>
          <w:szCs w:val="24"/>
        </w:rPr>
      </w:pPr>
      <w:r>
        <w:rPr>
          <w:rFonts w:eastAsia="Times New Roman" w:cs="Times New Roman"/>
          <w:bCs/>
          <w:szCs w:val="24"/>
        </w:rPr>
        <w:t>Longitudinal regression analyses on the MIST</w:t>
      </w:r>
      <w:r w:rsidR="001F3D5A">
        <w:rPr>
          <w:rFonts w:eastAsia="Times New Roman" w:cs="Times New Roman"/>
          <w:bCs/>
          <w:szCs w:val="24"/>
        </w:rPr>
        <w:t>-</w:t>
      </w:r>
      <w:r>
        <w:rPr>
          <w:rFonts w:eastAsia="Times New Roman" w:cs="Times New Roman"/>
          <w:bCs/>
          <w:szCs w:val="24"/>
        </w:rPr>
        <w:t>A</w:t>
      </w:r>
      <w:r w:rsidR="001F3D5A">
        <w:rPr>
          <w:rFonts w:eastAsia="Times New Roman" w:cs="Times New Roman"/>
          <w:bCs/>
          <w:szCs w:val="24"/>
        </w:rPr>
        <w:t xml:space="preserve"> </w:t>
      </w:r>
      <w:r>
        <w:rPr>
          <w:rFonts w:eastAsia="Times New Roman" w:cs="Times New Roman"/>
          <w:bCs/>
          <w:szCs w:val="24"/>
        </w:rPr>
        <w:t xml:space="preserve">Automatic scale revealed that there were no </w:t>
      </w:r>
      <w:r w:rsidR="00CD034E">
        <w:rPr>
          <w:rFonts w:eastAsia="Times New Roman" w:cs="Times New Roman"/>
          <w:bCs/>
          <w:szCs w:val="24"/>
        </w:rPr>
        <w:t>significant differences</w:t>
      </w:r>
      <w:r>
        <w:rPr>
          <w:rFonts w:eastAsia="Times New Roman" w:cs="Times New Roman"/>
          <w:bCs/>
          <w:szCs w:val="24"/>
        </w:rPr>
        <w:t xml:space="preserve"> between the two treatment conditions at week 6 (</w:t>
      </w:r>
      <w:r w:rsidRPr="00FE1EC5">
        <w:rPr>
          <w:rFonts w:eastAsia="Times New Roman" w:cs="Times New Roman"/>
          <w:bCs/>
          <w:i/>
          <w:szCs w:val="24"/>
        </w:rPr>
        <w:t>p</w:t>
      </w:r>
      <w:r>
        <w:rPr>
          <w:rFonts w:eastAsia="Times New Roman" w:cs="Times New Roman"/>
          <w:bCs/>
          <w:szCs w:val="24"/>
        </w:rPr>
        <w:t xml:space="preserve"> </w:t>
      </w:r>
      <w:r w:rsidR="00621BCA">
        <w:rPr>
          <w:rFonts w:eastAsia="Times New Roman" w:cs="Times New Roman"/>
          <w:bCs/>
          <w:szCs w:val="24"/>
        </w:rPr>
        <w:t>=</w:t>
      </w:r>
      <w:r>
        <w:rPr>
          <w:rFonts w:eastAsia="Times New Roman" w:cs="Times New Roman"/>
          <w:bCs/>
          <w:szCs w:val="24"/>
        </w:rPr>
        <w:t xml:space="preserve"> .</w:t>
      </w:r>
      <w:r w:rsidR="00621BCA">
        <w:rPr>
          <w:rFonts w:eastAsia="Times New Roman" w:cs="Times New Roman"/>
          <w:bCs/>
          <w:szCs w:val="24"/>
        </w:rPr>
        <w:t>72</w:t>
      </w:r>
      <w:r>
        <w:rPr>
          <w:rFonts w:eastAsia="Times New Roman" w:cs="Times New Roman"/>
          <w:bCs/>
          <w:szCs w:val="24"/>
        </w:rPr>
        <w:t xml:space="preserve">) </w:t>
      </w:r>
      <w:r w:rsidR="00CD034E">
        <w:rPr>
          <w:rFonts w:eastAsia="Times New Roman" w:cs="Times New Roman"/>
          <w:bCs/>
          <w:szCs w:val="24"/>
        </w:rPr>
        <w:t>or week</w:t>
      </w:r>
      <w:r>
        <w:rPr>
          <w:rFonts w:eastAsia="Times New Roman" w:cs="Times New Roman"/>
          <w:bCs/>
          <w:szCs w:val="24"/>
        </w:rPr>
        <w:t xml:space="preserve"> 12 (</w:t>
      </w:r>
      <w:r w:rsidRPr="00FE1EC5">
        <w:rPr>
          <w:rFonts w:eastAsia="Times New Roman" w:cs="Times New Roman"/>
          <w:bCs/>
          <w:i/>
          <w:szCs w:val="24"/>
        </w:rPr>
        <w:t>p</w:t>
      </w:r>
      <w:r>
        <w:rPr>
          <w:rFonts w:eastAsia="Times New Roman" w:cs="Times New Roman"/>
          <w:bCs/>
          <w:szCs w:val="24"/>
        </w:rPr>
        <w:t xml:space="preserve"> = .</w:t>
      </w:r>
      <w:r w:rsidR="00621BCA">
        <w:rPr>
          <w:rFonts w:eastAsia="Times New Roman" w:cs="Times New Roman"/>
          <w:bCs/>
          <w:szCs w:val="24"/>
        </w:rPr>
        <w:t>24</w:t>
      </w:r>
      <w:r>
        <w:rPr>
          <w:rFonts w:eastAsia="Times New Roman" w:cs="Times New Roman"/>
          <w:bCs/>
          <w:szCs w:val="24"/>
        </w:rPr>
        <w:t xml:space="preserve">). Longitudinal regression analyses of the </w:t>
      </w:r>
      <w:r w:rsidR="00CD034E">
        <w:rPr>
          <w:rFonts w:eastAsia="Times New Roman" w:cs="Times New Roman"/>
          <w:bCs/>
          <w:szCs w:val="24"/>
        </w:rPr>
        <w:t>MIST</w:t>
      </w:r>
      <w:r w:rsidR="001F3D5A">
        <w:rPr>
          <w:rFonts w:eastAsia="Times New Roman" w:cs="Times New Roman"/>
          <w:bCs/>
          <w:szCs w:val="24"/>
        </w:rPr>
        <w:t>-</w:t>
      </w:r>
      <w:r w:rsidR="00CD034E">
        <w:rPr>
          <w:rFonts w:eastAsia="Times New Roman" w:cs="Times New Roman"/>
          <w:bCs/>
          <w:szCs w:val="24"/>
        </w:rPr>
        <w:t>A</w:t>
      </w:r>
      <w:r w:rsidR="001F3D5A">
        <w:rPr>
          <w:rFonts w:eastAsia="Times New Roman" w:cs="Times New Roman"/>
          <w:bCs/>
          <w:szCs w:val="24"/>
        </w:rPr>
        <w:t xml:space="preserve"> </w:t>
      </w:r>
      <w:r w:rsidR="00CD034E">
        <w:rPr>
          <w:rFonts w:eastAsia="Times New Roman" w:cs="Times New Roman"/>
          <w:bCs/>
          <w:szCs w:val="24"/>
        </w:rPr>
        <w:t>Focused</w:t>
      </w:r>
      <w:r>
        <w:rPr>
          <w:rFonts w:eastAsia="Times New Roman" w:cs="Times New Roman"/>
          <w:bCs/>
          <w:szCs w:val="24"/>
        </w:rPr>
        <w:t xml:space="preserve"> scores </w:t>
      </w:r>
      <w:r w:rsidR="00CD034E">
        <w:rPr>
          <w:rFonts w:eastAsia="Times New Roman" w:cs="Times New Roman"/>
          <w:bCs/>
          <w:szCs w:val="24"/>
        </w:rPr>
        <w:t xml:space="preserve">also </w:t>
      </w:r>
      <w:r>
        <w:rPr>
          <w:rFonts w:eastAsia="Times New Roman" w:cs="Times New Roman"/>
          <w:bCs/>
          <w:szCs w:val="24"/>
        </w:rPr>
        <w:t>showed no significant between group differences at week 6 (</w:t>
      </w:r>
      <w:r w:rsidRPr="004D60A5">
        <w:rPr>
          <w:rFonts w:eastAsia="Times New Roman" w:cs="Times New Roman"/>
          <w:bCs/>
          <w:i/>
          <w:szCs w:val="24"/>
        </w:rPr>
        <w:t>p</w:t>
      </w:r>
      <w:r>
        <w:rPr>
          <w:rFonts w:eastAsia="Times New Roman" w:cs="Times New Roman"/>
          <w:bCs/>
          <w:szCs w:val="24"/>
        </w:rPr>
        <w:t xml:space="preserve"> </w:t>
      </w:r>
      <w:r w:rsidR="00C8631A">
        <w:rPr>
          <w:rFonts w:eastAsia="Times New Roman" w:cs="Times New Roman"/>
          <w:bCs/>
          <w:szCs w:val="24"/>
        </w:rPr>
        <w:t>=</w:t>
      </w:r>
      <w:r>
        <w:rPr>
          <w:rFonts w:eastAsia="Times New Roman" w:cs="Times New Roman"/>
          <w:bCs/>
          <w:szCs w:val="24"/>
        </w:rPr>
        <w:t xml:space="preserve"> .</w:t>
      </w:r>
      <w:r w:rsidR="00C8631A">
        <w:rPr>
          <w:rFonts w:eastAsia="Times New Roman" w:cs="Times New Roman"/>
          <w:bCs/>
          <w:szCs w:val="24"/>
        </w:rPr>
        <w:t>53</w:t>
      </w:r>
      <w:r>
        <w:rPr>
          <w:rFonts w:eastAsia="Times New Roman" w:cs="Times New Roman"/>
          <w:bCs/>
          <w:szCs w:val="24"/>
        </w:rPr>
        <w:t>) or at week 12 (</w:t>
      </w:r>
      <w:r w:rsidRPr="004D60A5">
        <w:rPr>
          <w:rFonts w:eastAsia="Times New Roman" w:cs="Times New Roman"/>
          <w:bCs/>
          <w:i/>
          <w:szCs w:val="24"/>
        </w:rPr>
        <w:t>p</w:t>
      </w:r>
      <w:r>
        <w:rPr>
          <w:rFonts w:eastAsia="Times New Roman" w:cs="Times New Roman"/>
          <w:bCs/>
          <w:szCs w:val="24"/>
        </w:rPr>
        <w:t xml:space="preserve"> </w:t>
      </w:r>
      <w:r w:rsidR="00A1147A">
        <w:rPr>
          <w:rFonts w:eastAsia="Times New Roman" w:cs="Times New Roman"/>
          <w:bCs/>
          <w:szCs w:val="24"/>
        </w:rPr>
        <w:t>=</w:t>
      </w:r>
      <w:r>
        <w:rPr>
          <w:rFonts w:eastAsia="Times New Roman" w:cs="Times New Roman"/>
          <w:bCs/>
          <w:szCs w:val="24"/>
        </w:rPr>
        <w:t xml:space="preserve"> .07).</w:t>
      </w:r>
    </w:p>
    <w:p w14:paraId="7AEDA99D" w14:textId="6D64FA77" w:rsidR="0006208D" w:rsidRPr="004F0A56" w:rsidRDefault="00D60307" w:rsidP="00CF2EEA">
      <w:pPr>
        <w:pStyle w:val="Heading2"/>
        <w:keepNext w:val="0"/>
        <w:keepLines w:val="0"/>
        <w:widowControl w:val="0"/>
        <w:spacing w:line="480" w:lineRule="auto"/>
      </w:pPr>
      <w:r w:rsidRPr="004F0A56">
        <w:t>Effect Estimates of Clinical Significance</w:t>
      </w:r>
    </w:p>
    <w:p w14:paraId="0A90DAEF" w14:textId="254E0B9A" w:rsidR="0006208D" w:rsidRDefault="00D31FEE" w:rsidP="00CF2EEA">
      <w:pPr>
        <w:widowControl w:val="0"/>
        <w:spacing w:line="480" w:lineRule="auto"/>
        <w:ind w:firstLine="720"/>
        <w:rPr>
          <w:rFonts w:eastAsia="Times New Roman" w:cs="Times New Roman"/>
          <w:bCs/>
          <w:szCs w:val="24"/>
        </w:rPr>
      </w:pPr>
      <w:r>
        <w:rPr>
          <w:rFonts w:eastAsia="Times New Roman" w:cs="Times New Roman"/>
          <w:bCs/>
          <w:szCs w:val="24"/>
        </w:rPr>
        <w:t>The NNT</w:t>
      </w:r>
      <w:r w:rsidR="00326AF2">
        <w:rPr>
          <w:rFonts w:eastAsia="Times New Roman" w:cs="Times New Roman"/>
          <w:bCs/>
          <w:szCs w:val="24"/>
        </w:rPr>
        <w:t xml:space="preserve"> </w:t>
      </w:r>
      <w:r>
        <w:rPr>
          <w:rFonts w:eastAsia="Times New Roman" w:cs="Times New Roman"/>
          <w:bCs/>
          <w:szCs w:val="24"/>
        </w:rPr>
        <w:t>with AEBT</w:t>
      </w:r>
      <w:r w:rsidR="00F64697">
        <w:rPr>
          <w:rFonts w:eastAsia="Times New Roman" w:cs="Times New Roman"/>
          <w:bCs/>
          <w:szCs w:val="24"/>
        </w:rPr>
        <w:t>-TTM</w:t>
      </w:r>
      <w:r>
        <w:rPr>
          <w:rFonts w:eastAsia="Times New Roman" w:cs="Times New Roman"/>
          <w:bCs/>
          <w:szCs w:val="24"/>
        </w:rPr>
        <w:t xml:space="preserve"> vs</w:t>
      </w:r>
      <w:r w:rsidR="00C60EF8">
        <w:rPr>
          <w:rFonts w:eastAsia="Times New Roman" w:cs="Times New Roman"/>
          <w:bCs/>
          <w:szCs w:val="24"/>
        </w:rPr>
        <w:t>.</w:t>
      </w:r>
      <w:r>
        <w:rPr>
          <w:rFonts w:eastAsia="Times New Roman" w:cs="Times New Roman"/>
          <w:bCs/>
          <w:szCs w:val="24"/>
        </w:rPr>
        <w:t xml:space="preserve"> PST to see 1 additional response at week 12, on average, was estimated as </w:t>
      </w:r>
      <w:r w:rsidR="00F63CB8">
        <w:rPr>
          <w:rFonts w:eastAsia="Times New Roman" w:cs="Times New Roman"/>
          <w:bCs/>
          <w:szCs w:val="24"/>
        </w:rPr>
        <w:t>4.</w:t>
      </w:r>
      <w:r w:rsidR="00373B55">
        <w:rPr>
          <w:rFonts w:eastAsia="Times New Roman" w:cs="Times New Roman"/>
          <w:bCs/>
          <w:szCs w:val="24"/>
        </w:rPr>
        <w:t>0</w:t>
      </w:r>
      <w:r w:rsidR="009B6227">
        <w:rPr>
          <w:rFonts w:eastAsia="Times New Roman" w:cs="Times New Roman"/>
          <w:bCs/>
          <w:szCs w:val="24"/>
        </w:rPr>
        <w:t xml:space="preserve"> </w:t>
      </w:r>
      <w:r w:rsidR="00C60EF8">
        <w:rPr>
          <w:rFonts w:eastAsia="Times New Roman" w:cs="Times New Roman"/>
          <w:bCs/>
          <w:szCs w:val="24"/>
        </w:rPr>
        <w:t>(95% CI, 2.</w:t>
      </w:r>
      <w:r w:rsidR="00F63CB8">
        <w:rPr>
          <w:rFonts w:eastAsia="Times New Roman" w:cs="Times New Roman"/>
          <w:bCs/>
          <w:szCs w:val="24"/>
        </w:rPr>
        <w:t>2</w:t>
      </w:r>
      <w:r w:rsidR="00C60EF8">
        <w:rPr>
          <w:rFonts w:eastAsia="Times New Roman" w:cs="Times New Roman"/>
          <w:bCs/>
          <w:szCs w:val="24"/>
        </w:rPr>
        <w:t xml:space="preserve"> to </w:t>
      </w:r>
      <w:r w:rsidR="00373B55">
        <w:rPr>
          <w:rFonts w:eastAsia="Times New Roman" w:cs="Times New Roman"/>
          <w:bCs/>
          <w:szCs w:val="24"/>
        </w:rPr>
        <w:t>8.3</w:t>
      </w:r>
      <w:r w:rsidR="00C60EF8">
        <w:rPr>
          <w:rFonts w:eastAsia="Times New Roman" w:cs="Times New Roman"/>
          <w:bCs/>
          <w:szCs w:val="24"/>
        </w:rPr>
        <w:t>)</w:t>
      </w:r>
      <w:r>
        <w:rPr>
          <w:rFonts w:eastAsia="Times New Roman" w:cs="Times New Roman"/>
          <w:bCs/>
          <w:szCs w:val="24"/>
        </w:rPr>
        <w:t>.</w:t>
      </w:r>
      <w:r w:rsidR="00F64697">
        <w:rPr>
          <w:rFonts w:eastAsia="Times New Roman" w:cs="Times New Roman"/>
          <w:bCs/>
          <w:szCs w:val="24"/>
        </w:rPr>
        <w:t xml:space="preserve"> </w:t>
      </w:r>
      <w:r>
        <w:rPr>
          <w:rFonts w:eastAsia="Times New Roman" w:cs="Times New Roman"/>
          <w:bCs/>
          <w:szCs w:val="24"/>
        </w:rPr>
        <w:t>Treatment ES estimates for AEBT</w:t>
      </w:r>
      <w:r w:rsidR="00F64697">
        <w:rPr>
          <w:rFonts w:eastAsia="Times New Roman" w:cs="Times New Roman"/>
          <w:bCs/>
          <w:szCs w:val="24"/>
        </w:rPr>
        <w:t>-TTM</w:t>
      </w:r>
      <w:r>
        <w:rPr>
          <w:rFonts w:eastAsia="Times New Roman" w:cs="Times New Roman"/>
          <w:bCs/>
          <w:szCs w:val="24"/>
        </w:rPr>
        <w:t xml:space="preserve"> vs</w:t>
      </w:r>
      <w:r w:rsidR="00D0407B">
        <w:rPr>
          <w:rFonts w:eastAsia="Times New Roman" w:cs="Times New Roman"/>
          <w:bCs/>
          <w:szCs w:val="24"/>
        </w:rPr>
        <w:t>.</w:t>
      </w:r>
      <w:r>
        <w:rPr>
          <w:rFonts w:eastAsia="Times New Roman" w:cs="Times New Roman"/>
          <w:bCs/>
          <w:szCs w:val="24"/>
        </w:rPr>
        <w:t xml:space="preserve"> PST on week 12 NIMH-TSS scores was 0.</w:t>
      </w:r>
      <w:r w:rsidR="00732E87">
        <w:rPr>
          <w:rFonts w:eastAsia="Times New Roman" w:cs="Times New Roman"/>
          <w:bCs/>
          <w:szCs w:val="24"/>
        </w:rPr>
        <w:t>5</w:t>
      </w:r>
      <w:r w:rsidR="00C67FF0">
        <w:rPr>
          <w:rFonts w:eastAsia="Times New Roman" w:cs="Times New Roman"/>
          <w:bCs/>
          <w:szCs w:val="24"/>
        </w:rPr>
        <w:t>9</w:t>
      </w:r>
      <w:r>
        <w:rPr>
          <w:rFonts w:eastAsia="Times New Roman" w:cs="Times New Roman"/>
          <w:bCs/>
          <w:szCs w:val="24"/>
        </w:rPr>
        <w:t xml:space="preserve"> </w:t>
      </w:r>
      <w:r w:rsidR="00C901AD">
        <w:rPr>
          <w:rFonts w:eastAsia="Times New Roman" w:cs="Times New Roman"/>
          <w:bCs/>
          <w:szCs w:val="24"/>
        </w:rPr>
        <w:t xml:space="preserve">and </w:t>
      </w:r>
      <w:r>
        <w:rPr>
          <w:rFonts w:eastAsia="Times New Roman" w:cs="Times New Roman"/>
          <w:bCs/>
          <w:szCs w:val="24"/>
        </w:rPr>
        <w:t>0.</w:t>
      </w:r>
      <w:r w:rsidR="00C67FF0">
        <w:rPr>
          <w:rFonts w:eastAsia="Times New Roman" w:cs="Times New Roman"/>
          <w:bCs/>
          <w:szCs w:val="24"/>
        </w:rPr>
        <w:t>46</w:t>
      </w:r>
      <w:r>
        <w:rPr>
          <w:rFonts w:eastAsia="Times New Roman" w:cs="Times New Roman"/>
          <w:bCs/>
          <w:szCs w:val="24"/>
        </w:rPr>
        <w:t xml:space="preserve"> </w:t>
      </w:r>
      <w:r w:rsidR="00D0407B">
        <w:rPr>
          <w:rFonts w:eastAsia="Times New Roman" w:cs="Times New Roman"/>
          <w:bCs/>
          <w:szCs w:val="24"/>
        </w:rPr>
        <w:t>for week 12</w:t>
      </w:r>
      <w:r w:rsidR="00A51116">
        <w:rPr>
          <w:rFonts w:eastAsia="Times New Roman" w:cs="Times New Roman"/>
          <w:bCs/>
          <w:szCs w:val="24"/>
        </w:rPr>
        <w:t xml:space="preserve"> MGH-H</w:t>
      </w:r>
      <w:r>
        <w:rPr>
          <w:rFonts w:eastAsia="Times New Roman" w:cs="Times New Roman"/>
          <w:bCs/>
          <w:szCs w:val="24"/>
        </w:rPr>
        <w:t>S</w:t>
      </w:r>
      <w:r w:rsidR="00D0407B">
        <w:rPr>
          <w:rFonts w:eastAsia="Times New Roman" w:cs="Times New Roman"/>
          <w:bCs/>
          <w:szCs w:val="24"/>
        </w:rPr>
        <w:t xml:space="preserve"> scores</w:t>
      </w:r>
      <w:r>
        <w:rPr>
          <w:rFonts w:eastAsia="Times New Roman" w:cs="Times New Roman"/>
          <w:bCs/>
          <w:szCs w:val="24"/>
        </w:rPr>
        <w:t xml:space="preserve">. These ES estimates correspond </w:t>
      </w:r>
      <w:r w:rsidR="003021E9">
        <w:rPr>
          <w:rFonts w:eastAsia="Times New Roman" w:cs="Times New Roman"/>
          <w:bCs/>
          <w:szCs w:val="24"/>
        </w:rPr>
        <w:t xml:space="preserve">to moderate </w:t>
      </w:r>
      <w:r>
        <w:rPr>
          <w:rFonts w:eastAsia="Times New Roman" w:cs="Times New Roman"/>
          <w:bCs/>
          <w:szCs w:val="24"/>
        </w:rPr>
        <w:t>treatment effect sizes</w:t>
      </w:r>
      <w:r w:rsidR="00375E0D">
        <w:rPr>
          <w:rFonts w:eastAsia="Times New Roman" w:cs="Times New Roman"/>
          <w:bCs/>
          <w:szCs w:val="24"/>
        </w:rPr>
        <w:t xml:space="preserve"> </w:t>
      </w:r>
      <w:r w:rsidR="00492EC5">
        <w:rPr>
          <w:rFonts w:eastAsia="Times New Roman" w:cs="Times New Roman"/>
          <w:bCs/>
          <w:szCs w:val="24"/>
        </w:rPr>
        <w:fldChar w:fldCharType="begin" w:fldLock="1"/>
      </w:r>
      <w:r w:rsidR="00C064BE">
        <w:rPr>
          <w:rFonts w:eastAsia="Times New Roman" w:cs="Times New Roman"/>
          <w:bCs/>
          <w:szCs w:val="24"/>
        </w:rPr>
        <w:instrText>ADDIN CSL_CITATION {"citationItems":[{"id":"ITEM-1","itemData":{"DOI":"10.1234/12345678","ISBN":"0121790606","ISSN":"01621459","PMID":"17877467","abstract":"Cohen, J. (1988). Statistical Power Analysis for the Behavioral Sciences (2nd edition). Hillsdale, New Jersey: L.","author":[{"dropping-particle":"","family":"Cohen","given":"Jacob","non-dropping-particle":"","parse-names":false,"suffix":""}],"edition":"2","id":"ITEM-1","issued":{"date-parts":[["1988"]]},"publisher":"Lawrence Earlbaum Associates","publisher-place":"Hillsdale, NJ","title":"Statistical power analysis for the behavioral sciences.","type":"book"},"uris":["http://www.mendeley.com/documents/?uuid=9141f11a-3456-466f-aa91-48d4efa2c047","http://www.mendeley.com/documents/?uuid=b8d723ba-7482-44c3-be45-e3e2b92a8245"]}],"mendeley":{"formattedCitation":"(Cohen, 1988)","plainTextFormattedCitation":"(Cohen, 1988)","previouslyFormattedCitation":"(Cohen, 1988)"},"properties":{"noteIndex":0},"schema":"https://github.com/citation-style-language/schema/raw/master/csl-citation.json"}</w:instrText>
      </w:r>
      <w:r w:rsidR="00492EC5">
        <w:rPr>
          <w:rFonts w:eastAsia="Times New Roman" w:cs="Times New Roman"/>
          <w:bCs/>
          <w:szCs w:val="24"/>
        </w:rPr>
        <w:fldChar w:fldCharType="separate"/>
      </w:r>
      <w:r w:rsidR="00C064BE" w:rsidRPr="00C064BE">
        <w:rPr>
          <w:rFonts w:eastAsia="Times New Roman" w:cs="Times New Roman"/>
          <w:bCs/>
          <w:noProof/>
          <w:szCs w:val="24"/>
        </w:rPr>
        <w:t>(Cohen, 1988)</w:t>
      </w:r>
      <w:r w:rsidR="00492EC5">
        <w:rPr>
          <w:rFonts w:eastAsia="Times New Roman" w:cs="Times New Roman"/>
          <w:bCs/>
          <w:szCs w:val="24"/>
        </w:rPr>
        <w:fldChar w:fldCharType="end"/>
      </w:r>
      <w:r w:rsidR="00375E0D">
        <w:rPr>
          <w:rFonts w:eastAsia="Times New Roman" w:cs="Times New Roman"/>
          <w:bCs/>
          <w:szCs w:val="24"/>
        </w:rPr>
        <w:t>.</w:t>
      </w:r>
      <w:r w:rsidR="003021E9">
        <w:rPr>
          <w:rFonts w:eastAsia="Times New Roman" w:cs="Times New Roman"/>
          <w:bCs/>
          <w:szCs w:val="24"/>
        </w:rPr>
        <w:t xml:space="preserve"> </w:t>
      </w:r>
      <w:r w:rsidR="00030F08">
        <w:rPr>
          <w:rFonts w:eastAsia="Times New Roman" w:cs="Times New Roman"/>
          <w:bCs/>
          <w:szCs w:val="24"/>
        </w:rPr>
        <w:t>Table 2 provides a detailed overview of point estimates, between</w:t>
      </w:r>
      <w:r w:rsidR="00A24CD4">
        <w:rPr>
          <w:rFonts w:eastAsia="Times New Roman" w:cs="Times New Roman"/>
          <w:bCs/>
          <w:szCs w:val="24"/>
        </w:rPr>
        <w:t>-</w:t>
      </w:r>
      <w:r w:rsidR="00030F08">
        <w:rPr>
          <w:rFonts w:eastAsia="Times New Roman" w:cs="Times New Roman"/>
          <w:bCs/>
          <w:szCs w:val="24"/>
        </w:rPr>
        <w:t xml:space="preserve">group planned comparisons, and </w:t>
      </w:r>
      <w:r w:rsidR="00DF4372">
        <w:rPr>
          <w:rFonts w:eastAsia="Times New Roman" w:cs="Times New Roman"/>
          <w:bCs/>
          <w:szCs w:val="24"/>
        </w:rPr>
        <w:t>ES</w:t>
      </w:r>
      <w:r w:rsidR="00030F08">
        <w:rPr>
          <w:rFonts w:eastAsia="Times New Roman" w:cs="Times New Roman"/>
          <w:bCs/>
          <w:szCs w:val="24"/>
        </w:rPr>
        <w:t xml:space="preserve"> estimates for </w:t>
      </w:r>
      <w:r w:rsidR="00326AF2">
        <w:rPr>
          <w:rFonts w:eastAsia="Times New Roman" w:cs="Times New Roman"/>
          <w:bCs/>
          <w:szCs w:val="24"/>
        </w:rPr>
        <w:t xml:space="preserve">both </w:t>
      </w:r>
      <w:r w:rsidR="00030F08">
        <w:rPr>
          <w:rFonts w:eastAsia="Times New Roman" w:cs="Times New Roman"/>
          <w:bCs/>
          <w:szCs w:val="24"/>
        </w:rPr>
        <w:lastRenderedPageBreak/>
        <w:t>continuous and binary outcomes.</w:t>
      </w:r>
    </w:p>
    <w:p w14:paraId="445B3D05" w14:textId="2E708706" w:rsidR="00D60307" w:rsidRPr="00E43C40" w:rsidRDefault="003021E9" w:rsidP="00CF2EEA">
      <w:pPr>
        <w:pStyle w:val="Heading2"/>
        <w:keepNext w:val="0"/>
        <w:keepLines w:val="0"/>
        <w:widowControl w:val="0"/>
        <w:spacing w:line="480" w:lineRule="auto"/>
      </w:pPr>
      <w:r w:rsidRPr="004F0A56">
        <w:t xml:space="preserve">Adverse </w:t>
      </w:r>
      <w:r w:rsidRPr="00E43C40">
        <w:t>Event Analyses</w:t>
      </w:r>
    </w:p>
    <w:p w14:paraId="0E1DF5EF" w14:textId="3E1FD316" w:rsidR="003021E9" w:rsidRPr="00E43C40" w:rsidRDefault="00236A0D" w:rsidP="00CF2EEA">
      <w:pPr>
        <w:widowControl w:val="0"/>
        <w:spacing w:line="480" w:lineRule="auto"/>
        <w:ind w:firstLine="720"/>
        <w:rPr>
          <w:rFonts w:eastAsia="Times New Roman" w:cs="Times New Roman"/>
          <w:bCs/>
          <w:szCs w:val="24"/>
        </w:rPr>
      </w:pPr>
      <w:r w:rsidRPr="00E43C40">
        <w:rPr>
          <w:rFonts w:eastAsia="Times New Roman" w:cs="Times New Roman"/>
          <w:bCs/>
          <w:szCs w:val="24"/>
        </w:rPr>
        <w:t xml:space="preserve">Table 3 summarizes </w:t>
      </w:r>
      <w:r w:rsidR="003021E9" w:rsidRPr="00E43C40">
        <w:rPr>
          <w:rFonts w:eastAsia="Times New Roman" w:cs="Times New Roman"/>
          <w:bCs/>
          <w:szCs w:val="24"/>
        </w:rPr>
        <w:t xml:space="preserve">adverse events rates by treatment condition. </w:t>
      </w:r>
      <w:r w:rsidR="006055D4" w:rsidRPr="00E43C40">
        <w:rPr>
          <w:rFonts w:eastAsia="Times New Roman" w:cs="Times New Roman"/>
          <w:bCs/>
          <w:szCs w:val="24"/>
        </w:rPr>
        <w:t>No</w:t>
      </w:r>
      <w:r w:rsidR="00270B50" w:rsidRPr="00E43C40">
        <w:rPr>
          <w:rFonts w:eastAsia="Times New Roman" w:cs="Times New Roman"/>
          <w:bCs/>
          <w:szCs w:val="24"/>
        </w:rPr>
        <w:t xml:space="preserve"> between-</w:t>
      </w:r>
      <w:r w:rsidR="00624EEE" w:rsidRPr="00E43C40">
        <w:rPr>
          <w:rFonts w:eastAsia="Times New Roman" w:cs="Times New Roman"/>
          <w:bCs/>
          <w:szCs w:val="24"/>
        </w:rPr>
        <w:t xml:space="preserve">group differences </w:t>
      </w:r>
      <w:r w:rsidR="00270B50" w:rsidRPr="00E43C40">
        <w:rPr>
          <w:rFonts w:eastAsia="Times New Roman" w:cs="Times New Roman"/>
          <w:bCs/>
          <w:szCs w:val="24"/>
        </w:rPr>
        <w:t xml:space="preserve">emerged </w:t>
      </w:r>
      <w:r w:rsidRPr="00E43C40">
        <w:rPr>
          <w:rFonts w:eastAsia="Times New Roman" w:cs="Times New Roman"/>
          <w:bCs/>
          <w:szCs w:val="24"/>
        </w:rPr>
        <w:t>with respect to the number of adverse events reported.</w:t>
      </w:r>
      <w:r w:rsidR="00775E75">
        <w:rPr>
          <w:rFonts w:eastAsia="Times New Roman" w:cs="Times New Roman"/>
          <w:bCs/>
          <w:szCs w:val="24"/>
        </w:rPr>
        <w:t xml:space="preserve"> </w:t>
      </w:r>
      <w:r w:rsidR="00326AF2" w:rsidRPr="00E43C40">
        <w:rPr>
          <w:rFonts w:eastAsia="Times New Roman" w:cs="Times New Roman"/>
          <w:bCs/>
          <w:szCs w:val="24"/>
        </w:rPr>
        <w:t>A</w:t>
      </w:r>
      <w:r w:rsidR="002B686D" w:rsidRPr="00E43C40">
        <w:rPr>
          <w:rFonts w:eastAsia="Times New Roman" w:cs="Times New Roman"/>
          <w:bCs/>
          <w:szCs w:val="24"/>
        </w:rPr>
        <w:t xml:space="preserve"> total of 246 adverse events were recorded</w:t>
      </w:r>
      <w:r w:rsidR="00326AF2" w:rsidRPr="00E43C40">
        <w:rPr>
          <w:rFonts w:eastAsia="Times New Roman" w:cs="Times New Roman"/>
          <w:bCs/>
          <w:szCs w:val="24"/>
        </w:rPr>
        <w:t xml:space="preserve"> and evaluated</w:t>
      </w:r>
      <w:r w:rsidR="00AF252C" w:rsidRPr="00E43C40">
        <w:rPr>
          <w:rFonts w:eastAsia="Times New Roman" w:cs="Times New Roman"/>
          <w:bCs/>
          <w:szCs w:val="24"/>
        </w:rPr>
        <w:t>. N</w:t>
      </w:r>
      <w:r w:rsidR="009D0096" w:rsidRPr="00E43C40">
        <w:rPr>
          <w:rFonts w:eastAsia="Times New Roman" w:cs="Times New Roman"/>
          <w:bCs/>
          <w:szCs w:val="24"/>
        </w:rPr>
        <w:t>one of these events were</w:t>
      </w:r>
      <w:r w:rsidR="002B686D" w:rsidRPr="00E43C40">
        <w:rPr>
          <w:rFonts w:eastAsia="Times New Roman" w:cs="Times New Roman"/>
          <w:bCs/>
          <w:szCs w:val="24"/>
        </w:rPr>
        <w:t xml:space="preserve"> determined to be related to the trea</w:t>
      </w:r>
      <w:r w:rsidR="009D0096" w:rsidRPr="00E43C40">
        <w:rPr>
          <w:rFonts w:eastAsia="Times New Roman" w:cs="Times New Roman"/>
          <w:bCs/>
          <w:szCs w:val="24"/>
        </w:rPr>
        <w:t>tment provided.</w:t>
      </w:r>
    </w:p>
    <w:p w14:paraId="7F327A86" w14:textId="6713D4D4" w:rsidR="004500AC" w:rsidRDefault="008E766F" w:rsidP="00CF2EEA">
      <w:pPr>
        <w:pStyle w:val="Heading2"/>
        <w:keepNext w:val="0"/>
        <w:keepLines w:val="0"/>
        <w:widowControl w:val="0"/>
        <w:spacing w:line="480" w:lineRule="auto"/>
      </w:pPr>
      <w:r>
        <w:t>Treatment Acceptability</w:t>
      </w:r>
    </w:p>
    <w:p w14:paraId="7869FD76" w14:textId="391B5B9E" w:rsidR="008E766F" w:rsidRDefault="004500AC" w:rsidP="00CF2EEA">
      <w:pPr>
        <w:widowControl w:val="0"/>
        <w:spacing w:line="480" w:lineRule="auto"/>
        <w:ind w:firstLine="720"/>
        <w:rPr>
          <w:rFonts w:eastAsia="Times New Roman" w:cs="Times New Roman"/>
          <w:bCs/>
          <w:i/>
          <w:szCs w:val="24"/>
        </w:rPr>
      </w:pPr>
      <w:r>
        <w:rPr>
          <w:rFonts w:eastAsia="Times New Roman" w:cs="Times New Roman"/>
          <w:bCs/>
          <w:szCs w:val="24"/>
        </w:rPr>
        <w:t>At the end of treatment, participants who received AEBT</w:t>
      </w:r>
      <w:r w:rsidR="00F64697">
        <w:rPr>
          <w:rFonts w:eastAsia="Times New Roman" w:cs="Times New Roman"/>
          <w:bCs/>
          <w:szCs w:val="24"/>
        </w:rPr>
        <w:t>-TTM</w:t>
      </w:r>
      <w:r>
        <w:rPr>
          <w:rFonts w:eastAsia="Times New Roman" w:cs="Times New Roman"/>
          <w:bCs/>
          <w:szCs w:val="24"/>
        </w:rPr>
        <w:t xml:space="preserve"> rated the</w:t>
      </w:r>
      <w:r w:rsidR="006078B5">
        <w:rPr>
          <w:rFonts w:eastAsia="Times New Roman" w:cs="Times New Roman"/>
          <w:bCs/>
          <w:szCs w:val="24"/>
        </w:rPr>
        <w:t xml:space="preserve"> acceptability of the</w:t>
      </w:r>
      <w:r>
        <w:rPr>
          <w:rFonts w:eastAsia="Times New Roman" w:cs="Times New Roman"/>
          <w:bCs/>
          <w:szCs w:val="24"/>
        </w:rPr>
        <w:t xml:space="preserve">ir treatment higher </w:t>
      </w:r>
      <w:r w:rsidR="00236A0D">
        <w:rPr>
          <w:rFonts w:eastAsia="Times New Roman" w:cs="Times New Roman"/>
          <w:bCs/>
          <w:szCs w:val="24"/>
        </w:rPr>
        <w:t>than those in the</w:t>
      </w:r>
      <w:r>
        <w:rPr>
          <w:rFonts w:eastAsia="Times New Roman" w:cs="Times New Roman"/>
          <w:bCs/>
          <w:szCs w:val="24"/>
        </w:rPr>
        <w:t xml:space="preserve"> PST group (</w:t>
      </w:r>
      <w:r w:rsidRPr="00F64697">
        <w:rPr>
          <w:rFonts w:eastAsia="Times New Roman" w:cs="Times New Roman"/>
          <w:bCs/>
          <w:i/>
          <w:szCs w:val="24"/>
        </w:rPr>
        <w:t>p</w:t>
      </w:r>
      <w:r>
        <w:rPr>
          <w:rFonts w:eastAsia="Times New Roman" w:cs="Times New Roman"/>
          <w:bCs/>
          <w:szCs w:val="24"/>
        </w:rPr>
        <w:t xml:space="preserve"> &lt; .0</w:t>
      </w:r>
      <w:r w:rsidR="001B4C54">
        <w:rPr>
          <w:rFonts w:eastAsia="Times New Roman" w:cs="Times New Roman"/>
          <w:bCs/>
          <w:szCs w:val="24"/>
        </w:rPr>
        <w:t>0</w:t>
      </w:r>
      <w:r>
        <w:rPr>
          <w:rFonts w:eastAsia="Times New Roman" w:cs="Times New Roman"/>
          <w:bCs/>
          <w:szCs w:val="24"/>
        </w:rPr>
        <w:t>1). The average</w:t>
      </w:r>
      <w:r w:rsidR="00590675">
        <w:rPr>
          <w:rFonts w:eastAsia="Times New Roman" w:cs="Times New Roman"/>
          <w:bCs/>
          <w:szCs w:val="24"/>
        </w:rPr>
        <w:t xml:space="preserve"> (</w:t>
      </w:r>
      <w:r w:rsidR="00590675" w:rsidRPr="00E74D20">
        <w:rPr>
          <w:rFonts w:eastAsia="Times New Roman" w:cs="Times New Roman"/>
          <w:bCs/>
          <w:i/>
          <w:szCs w:val="24"/>
        </w:rPr>
        <w:t>SD</w:t>
      </w:r>
      <w:r w:rsidR="00590675">
        <w:rPr>
          <w:rFonts w:eastAsia="Times New Roman" w:cs="Times New Roman"/>
          <w:bCs/>
          <w:szCs w:val="24"/>
        </w:rPr>
        <w:t>) treatment acceptability rating</w:t>
      </w:r>
      <w:r>
        <w:rPr>
          <w:rFonts w:eastAsia="Times New Roman" w:cs="Times New Roman"/>
          <w:bCs/>
          <w:szCs w:val="24"/>
        </w:rPr>
        <w:t xml:space="preserve"> </w:t>
      </w:r>
      <w:r w:rsidR="00590675">
        <w:rPr>
          <w:rFonts w:eastAsia="Times New Roman" w:cs="Times New Roman"/>
          <w:bCs/>
          <w:szCs w:val="24"/>
        </w:rPr>
        <w:t>among</w:t>
      </w:r>
      <w:r>
        <w:rPr>
          <w:rFonts w:eastAsia="Times New Roman" w:cs="Times New Roman"/>
          <w:bCs/>
          <w:szCs w:val="24"/>
        </w:rPr>
        <w:t xml:space="preserve"> </w:t>
      </w:r>
      <w:r w:rsidR="0081789E">
        <w:rPr>
          <w:rFonts w:eastAsia="Times New Roman" w:cs="Times New Roman"/>
          <w:bCs/>
          <w:szCs w:val="24"/>
        </w:rPr>
        <w:t>AEBT</w:t>
      </w:r>
      <w:r w:rsidR="00F64697">
        <w:rPr>
          <w:rFonts w:eastAsia="Times New Roman" w:cs="Times New Roman"/>
          <w:bCs/>
          <w:szCs w:val="24"/>
        </w:rPr>
        <w:t>-TTM</w:t>
      </w:r>
      <w:r w:rsidR="0081789E">
        <w:rPr>
          <w:rFonts w:eastAsia="Times New Roman" w:cs="Times New Roman"/>
          <w:bCs/>
          <w:szCs w:val="24"/>
        </w:rPr>
        <w:t xml:space="preserve"> </w:t>
      </w:r>
      <w:r w:rsidR="001B4C54">
        <w:rPr>
          <w:rFonts w:eastAsia="Times New Roman" w:cs="Times New Roman"/>
          <w:bCs/>
          <w:szCs w:val="24"/>
        </w:rPr>
        <w:t>and PST participants</w:t>
      </w:r>
      <w:r w:rsidR="0081789E">
        <w:rPr>
          <w:rFonts w:eastAsia="Times New Roman" w:cs="Times New Roman"/>
          <w:bCs/>
          <w:szCs w:val="24"/>
        </w:rPr>
        <w:t xml:space="preserve"> was </w:t>
      </w:r>
      <w:r w:rsidR="0005001E">
        <w:rPr>
          <w:rFonts w:eastAsia="Times New Roman" w:cs="Times New Roman"/>
          <w:bCs/>
          <w:szCs w:val="24"/>
        </w:rPr>
        <w:t>30.2</w:t>
      </w:r>
      <w:r w:rsidR="001B4C54">
        <w:rPr>
          <w:rFonts w:eastAsia="Times New Roman" w:cs="Times New Roman"/>
          <w:bCs/>
          <w:szCs w:val="24"/>
        </w:rPr>
        <w:t xml:space="preserve"> (</w:t>
      </w:r>
      <w:r w:rsidR="0005001E">
        <w:rPr>
          <w:rFonts w:eastAsia="Times New Roman" w:cs="Times New Roman"/>
          <w:bCs/>
          <w:szCs w:val="24"/>
        </w:rPr>
        <w:t>3.60</w:t>
      </w:r>
      <w:r w:rsidR="00590675">
        <w:rPr>
          <w:rFonts w:eastAsia="Times New Roman" w:cs="Times New Roman"/>
          <w:bCs/>
          <w:szCs w:val="24"/>
        </w:rPr>
        <w:t xml:space="preserve">) and </w:t>
      </w:r>
      <w:r w:rsidR="0005001E">
        <w:rPr>
          <w:rFonts w:eastAsia="Times New Roman" w:cs="Times New Roman"/>
          <w:bCs/>
          <w:szCs w:val="24"/>
        </w:rPr>
        <w:t>26.8</w:t>
      </w:r>
      <w:r w:rsidR="00590675">
        <w:rPr>
          <w:rFonts w:eastAsia="Times New Roman" w:cs="Times New Roman"/>
          <w:bCs/>
          <w:szCs w:val="24"/>
        </w:rPr>
        <w:t xml:space="preserve"> (</w:t>
      </w:r>
      <w:r w:rsidR="0005001E">
        <w:rPr>
          <w:rFonts w:eastAsia="Times New Roman" w:cs="Times New Roman"/>
          <w:bCs/>
          <w:szCs w:val="24"/>
        </w:rPr>
        <w:t>3.91</w:t>
      </w:r>
      <w:r w:rsidR="00F64697">
        <w:rPr>
          <w:rFonts w:eastAsia="Times New Roman" w:cs="Times New Roman"/>
          <w:bCs/>
          <w:szCs w:val="24"/>
        </w:rPr>
        <w:t>), respectively.</w:t>
      </w:r>
    </w:p>
    <w:p w14:paraId="152D839E" w14:textId="77777777" w:rsidR="008E766F" w:rsidRPr="008E766F" w:rsidRDefault="008E766F" w:rsidP="00CF2EEA">
      <w:pPr>
        <w:pStyle w:val="Heading1"/>
        <w:keepNext w:val="0"/>
        <w:keepLines w:val="0"/>
        <w:widowControl w:val="0"/>
        <w:spacing w:line="480" w:lineRule="auto"/>
      </w:pPr>
      <w:r w:rsidRPr="008E766F">
        <w:t>Discussion</w:t>
      </w:r>
    </w:p>
    <w:p w14:paraId="5A481CF5" w14:textId="213F9B6D" w:rsidR="00FB1E29" w:rsidRDefault="00050F11" w:rsidP="00CF2EEA">
      <w:pPr>
        <w:widowControl w:val="0"/>
        <w:spacing w:line="480" w:lineRule="auto"/>
        <w:ind w:firstLine="720"/>
        <w:rPr>
          <w:rFonts w:eastAsia="Times New Roman" w:cs="Times New Roman"/>
          <w:szCs w:val="24"/>
        </w:rPr>
      </w:pPr>
      <w:r>
        <w:rPr>
          <w:rFonts w:eastAsia="Times New Roman" w:cs="Times New Roman"/>
          <w:szCs w:val="24"/>
        </w:rPr>
        <w:t>R</w:t>
      </w:r>
      <w:r w:rsidR="00364A9F">
        <w:rPr>
          <w:rFonts w:eastAsia="Times New Roman" w:cs="Times New Roman"/>
          <w:szCs w:val="24"/>
        </w:rPr>
        <w:t>eviews have suggested behavior therapy, consisting of HRT+SC</w:t>
      </w:r>
      <w:r>
        <w:rPr>
          <w:rFonts w:eastAsia="Times New Roman" w:cs="Times New Roman"/>
          <w:szCs w:val="24"/>
        </w:rPr>
        <w:t>,</w:t>
      </w:r>
      <w:r w:rsidR="00364A9F">
        <w:rPr>
          <w:rFonts w:eastAsia="Times New Roman" w:cs="Times New Roman"/>
          <w:szCs w:val="24"/>
        </w:rPr>
        <w:t xml:space="preserve"> is effective in treating adults with TTM</w:t>
      </w:r>
      <w:r w:rsidR="00A1284D">
        <w:rPr>
          <w:rFonts w:eastAsia="Times New Roman" w:cs="Times New Roman"/>
          <w:szCs w:val="24"/>
        </w:rPr>
        <w:t xml:space="preserve"> </w:t>
      </w:r>
      <w:r w:rsidR="00670165">
        <w:rPr>
          <w:rFonts w:eastAsia="Times New Roman" w:cs="Times New Roman"/>
          <w:szCs w:val="24"/>
        </w:rPr>
        <w:fldChar w:fldCharType="begin" w:fldLock="1"/>
      </w:r>
      <w:r w:rsidR="00C064BE">
        <w:rPr>
          <w:rFonts w:eastAsia="Times New Roman" w:cs="Times New Roman"/>
          <w:szCs w:val="24"/>
        </w:rPr>
        <w:instrText>ADDIN CSL_CITATION {"citationItems":[{"id":"ITEM-1","itemData":{"DOI":"10.1016/j.jpsychires.2014.07.015","ISBN":"2156623929","ISSN":"18791379","PMID":"25108618","abstract":"Few randomized controlled trials (RCTs) exist examining the efficacy of behavior therapy (BT) or serotonin reuptake inhibitors (SRIs) for the treatment of trichotillomania (TTM), with no examination of treatment moderators. The present meta-analysis synthesized the treatment effect sizes (ES) of BT and SRI relative to comparison conditions, and examined moderators of treatment. A comprehensive literature search identified 11 RCTs that met inclusion criteria. Clinical characteristics (e.g., age, comorbidity, therapeutic contact hours), outcome measures, treatment subtypes (e.g., SRI subtype, BT subtype), and ES data were extracted. The standardized mean difference of change in hair pulling severity was the outcome measure. A random effects meta-analysis found a large pooled ES for BT (ES=1.41, p&lt;0.001). BT trials with greater therapeutic contact hours exhibited larger ES (p=0.009). Additionally, BT trials that used mood enhanced therapeutic techniques exhibited greater ES relative to trials including only traditional BT components (p=0.004). For SRI trials, a random effects meta-analysis identified a moderate pooled ES (ES=0.41, p=0.02). Although clomipramine exhibited larger ES relative to selective serotonin reuptake inhibitors, the difference was not statistically significant. Publication bias was not identified for either treatment. BT yields large treatment effects for TTM, with further examination needed to disentangle confounded treatment moderators. SRI trials exhibited a moderate pooled ES, with no treatment moderators identified. Sensitivity analyses highlighted the need for further RCTs of SRIs, especially among youth with TTM.","author":[{"dropping-particle":"","family":"McGuire","given":"Joseph F.","non-dropping-particle":"","parse-names":false,"suffix":""},{"dropping-particle":"","family":"Ung","given":"Danielle","non-dropping-particle":"","parse-names":false,"suffix":""},{"dropping-particle":"","family":"Selles","given":"Robert R.","non-dropping-particle":"","parse-names":false,"suffix":""},{"dropping-particle":"","family":"Rahman","given":"Omar","non-dropping-particle":"","parse-names":false,"suffix":""},{"dropping-particle":"","family":"Lewin","given":"Adam B.","non-dropping-particle":"","parse-names":false,"suffix":""},{"dropping-particle":"","family":"Murphy","given":"Tanya K.","non-dropping-particle":"","parse-names":false,"suffix":""},{"dropping-particle":"","family":"Storch","given":"Eric A.","non-dropping-particle":"","parse-names":false,"suffix":""}],"container-title":"Journal of Psychiatric Research","id":"ITEM-1","issued":{"date-parts":[["2014"]]},"page":"76-83","title":"Treating trichotillomania: A meta-analysis of treatment effects and moderators for behavior therapy and serotonin reuptake inhibitors","type":"article-journal","volume":"58"},"uris":["http://www.mendeley.com/documents/?uuid=fcc7c8b7-8ded-4dbf-951d-0c8303c05a1a"]},{"id":"ITEM-2","itemData":{"DOI":"10.1111/cp.12074","ISSN":"17429552","abstract":"© 2015 The Australian Psychological Society. Background: Trichotillomania (hair-pulling disorder) is a debilitating and distressing disorder associated with great secrecy and shame. A lack of understanding regarding interventions for Trichotillomania contributes to poor routine outcomes for the disorder. Method: This systematic review and meta-analysis assessed the efficacy of behaviourally based psychological interventions and pharmacological interventions for trichotillomania compared to a range of control groups. Participants were adults who have been diagnosed with trichotillomania. A systematic search was conducted of the Cochrane library, EBSCOhost, MEDLINE before 1966, and Google Scholar for relevant randomised controlled trials. Results: Of the total 462 records identified, 12 studies were included in the quantitative synthesis, and nine studies were included in meta-analyses. Conclusions: Analyses revealed that-from medication approaches-fluoxetine was not found to be efficacious. However, N-acetyl cysteine, clomipramine, and olanzapine showed potential for the treatment of trichotillomania. Regarding psychotherapy, behaviour therapy showed superior efficacy when compared to a passive control group. However, when behaviour therapy was compared to an active control group (progressive muscle relaxation, supportive therapy), both conditions showed similar efficacy in treating trichotillomania. It was concluded that the psychological mechanisms in trichotillomania may be more complex than the behavioural model indicates. Implications and limitations are discussed.","author":[{"dropping-particle":"","family":"Slikboer","given":"Reneta","non-dropping-particle":"","parse-names":false,"suffix":""},{"dropping-particle":"","family":"Nedeljkovic","given":"Maja","non-dropping-particle":"","parse-names":false,"suffix":""},{"dropping-particle":"","family":"Bowe","given":"Steven J.","non-dropping-particle":"","parse-names":false,"suffix":""},{"dropping-particle":"","family":"Moulding","given":"Richard","non-dropping-particle":"","parse-names":false,"suffix":""}],"container-title":"Clinical Psychologist","id":"ITEM-2","issued":{"date-parts":[["2017"]]},"page":"20-32","title":"A systematic review and meta-analysis of behaviourally based psychological interventions and pharmacological interventions for trichotillomania","type":"article-journal","volume":"21"},"uris":["http://www.mendeley.com/documents/?uuid=d64534c3-d7b4-4ed8-b3af-4707898afeb6"]},{"id":"ITEM-3","itemData":{"DOI":"10.1016/j.biopsych.2007.05.019","ISBN":"0006-3223","ISSN":"00063223","PMID":"17727824","abstract":"Trichotillomania is a psychiatric condition characterized by compulsive hair pulling. Three interventions have been studied in the treatment of trichotillomania: habit-reversal therapy (HRT) and pharmacotherapy with either selective-serotonin reuptake inhibitors (SSRI) or clomipramine. This systematic review compared the efficacy of these interventions in blinded, randomized clinical trials. The electronic databases of Medline, Premedline, PsychINFO, Embase, and the Cochrane Central Register of Controlled Trials were searched for relevant trials using the search terms \"trichotillomania\" or \"hair pulling.\" Trials were eligible for inclusion if they compared habit-reversal therapy, SSRI pharmacotherapy, or clomipramine pharmacotherapy to each other or placebo and employed randomization and blinded assessment of outcome. Our primary outcome measure was mean change in trichotillomania severity. The summary statistic was standardized mean difference. Seven studies were eligible for inclusion in this review. Overall, meta-analysis demonstrated that habit-reversal therapy (effect size [ES] = -1.14, 95% confidence interval [CI] = -1.89, -.38) was superior to pharmacotherapy with clomipramine (ES = -.68, 95% CI = -1.28, -.07) or SSRI (ES = .02, 95% CI = -.32, .35). Clomipramine was more efficacious than placebo, while there was no evidence to demonstrate that SSRI are more efficacious than placebo in the treatment of trichotillomania. Future studies on trichotillomania should seek to determine if HRT can demonstrate efficacy against more rigorous control conditions that account for non-specific effects of therapy and determine if HRT can be an effective intervention for trichotillomania beyond the few sites where it is currently practiced in research studies. Future therapy and pharmacotherapy studies in trichotillomania should employ larger sample sizes and intention-to-treat analysis and seek to validate clinical rating scales of trichotillomania severity. © 2007 Society of Biological Psychiatry.","author":[{"dropping-particle":"","family":"Bloch","given":"Michael H.","non-dropping-particle":"","parse-names":false,"suffix":""},{"dropping-particle":"","family":"Landeros-Weisenberger","given":"Angeli","non-dropping-particle":"","parse-names":false,"suffix":""},{"dropping-particle":"","family":"Dombrowski","given":"Philip","non-dropping-particle":"","parse-names":false,"suffix":""},{"dropping-particle":"","family":"Kelmendi","given":"Ben","non-dropping-particle":"","parse-names":false,"suffix":""},{"dropping-particle":"","family":"Wegner","given":"Ryan","non-dropping-particle":"","parse-names":false,"suffix":""},{"dropping-particle":"","family":"Nudel","given":"Jake","non-dropping-particle":"","parse-names":false,"suffix":""},{"dropping-particle":"","family":"Pittenger","given":"Christopher","non-dropping-particle":"","parse-names":false,"suffix":""},{"dropping-particle":"","family":"Leckman","given":"James F.","non-dropping-particle":"","parse-names":false,"suffix":""},{"dropping-particle":"","family":"Coric","given":"Vladimir","non-dropping-particle":"","parse-names":false,"suffix":""}],"container-title":"Biological Psychiatry","id":"ITEM-3","issue":"8","issued":{"date-parts":[["2007"]]},"page":"839-846","title":"Systematic review: Pharmacological and behavioral treatment for trichotillomania","type":"article-journal","volume":"62"},"uris":["http://www.mendeley.com/documents/?uuid=8db7460f-cb2c-403f-b619-952c3fa21a93"]}],"mendeley":{"formattedCitation":"(Bloch et al., 2007; McGuire et al., 2014; Slikboer et al., 2017)","plainTextFormattedCitation":"(Bloch et al., 2007; McGuire et al., 2014; Slikboer et al., 2017)","previouslyFormattedCitation":"(Bloch et al., 2007; McGuire et al., 2014; Slikboer et al., 2017)"},"properties":{"noteIndex":0},"schema":"https://github.com/citation-style-language/schema/raw/master/csl-citation.json"}</w:instrText>
      </w:r>
      <w:r w:rsidR="00670165">
        <w:rPr>
          <w:rFonts w:eastAsia="Times New Roman" w:cs="Times New Roman"/>
          <w:szCs w:val="24"/>
        </w:rPr>
        <w:fldChar w:fldCharType="separate"/>
      </w:r>
      <w:r w:rsidR="00C064BE" w:rsidRPr="00C064BE">
        <w:rPr>
          <w:rFonts w:eastAsia="Times New Roman" w:cs="Times New Roman"/>
          <w:noProof/>
          <w:szCs w:val="24"/>
        </w:rPr>
        <w:t>(Bloch et al., 2007; McGuire et al., 2014; Slikboer et al., 2017)</w:t>
      </w:r>
      <w:r w:rsidR="00670165">
        <w:rPr>
          <w:rFonts w:eastAsia="Times New Roman" w:cs="Times New Roman"/>
          <w:szCs w:val="24"/>
        </w:rPr>
        <w:fldChar w:fldCharType="end"/>
      </w:r>
      <w:r w:rsidR="00A1284D">
        <w:rPr>
          <w:rFonts w:eastAsia="Times New Roman" w:cs="Times New Roman"/>
          <w:szCs w:val="24"/>
        </w:rPr>
        <w:t>.</w:t>
      </w:r>
      <w:r w:rsidR="00364A9F">
        <w:rPr>
          <w:rFonts w:eastAsia="Times New Roman" w:cs="Times New Roman"/>
          <w:szCs w:val="24"/>
        </w:rPr>
        <w:t xml:space="preserve"> </w:t>
      </w:r>
      <w:r>
        <w:rPr>
          <w:rFonts w:eastAsia="Times New Roman" w:cs="Times New Roman"/>
          <w:szCs w:val="24"/>
        </w:rPr>
        <w:t>Based on the understanding that hair pulling may serve a maladaptive emotion</w:t>
      </w:r>
      <w:r w:rsidR="00925F8D">
        <w:rPr>
          <w:rFonts w:eastAsia="Times New Roman" w:cs="Times New Roman"/>
          <w:szCs w:val="24"/>
        </w:rPr>
        <w:t xml:space="preserve"> </w:t>
      </w:r>
      <w:r>
        <w:rPr>
          <w:rFonts w:eastAsia="Times New Roman" w:cs="Times New Roman"/>
          <w:szCs w:val="24"/>
        </w:rPr>
        <w:t>regulation function</w:t>
      </w:r>
      <w:r w:rsidR="00DD2DF3">
        <w:rPr>
          <w:rFonts w:eastAsia="Times New Roman" w:cs="Times New Roman"/>
          <w:szCs w:val="24"/>
        </w:rPr>
        <w:t xml:space="preserve"> </w:t>
      </w:r>
      <w:r w:rsidR="007C27DC">
        <w:rPr>
          <w:rFonts w:eastAsia="Times New Roman" w:cs="Times New Roman"/>
          <w:szCs w:val="24"/>
        </w:rPr>
        <w:fldChar w:fldCharType="begin" w:fldLock="1"/>
      </w:r>
      <w:r w:rsidR="00C064BE">
        <w:rPr>
          <w:rFonts w:eastAsia="Times New Roman" w:cs="Times New Roman"/>
          <w:szCs w:val="24"/>
        </w:rPr>
        <w:instrText>ADDIN CSL_CITATION {"citationItems":[{"id":"ITEM-1","itemData":{"DOI":"10.1016/j.brat.2005.05.006","author":[{"dropping-particle":"","family":"Woods","given":"Douglas W.","non-dropping-particle":"","parse-names":false,"suffix":""},{"dropping-particle":"","family":"Wetterneck","given":"Chad T.","non-dropping-particle":"","parse-names":false,"suffix":""},{"dropping-particle":"","family":"Flessner","given":"Christopher A.","non-dropping-particle":"","parse-names":false,"suffix":""}],"container-title":"Behaviour Research and Therapy","id":"ITEM-1","issue":"5","issued":{"date-parts":[["2006"]]},"page":"639-656","title":"A controlled evaluation of acceptance and commitment therapy plus habit reversal for trichotillomania","type":"article-journal","volume":"44"},"uris":["http://www.mendeley.com/documents/?uuid=b02e60de-296e-4066-9019-963f8673a18c"]},{"id":"ITEM-2","itemData":{"DOI":"10.1556/JBA.1.2012.003","ISSN":"2062-5871","PMID":"26165460","abstract":"Background and aims Limited treatment options are available for trichotillomania (TTM) and most have modest outcomes. Suboptimal treatment results may be due to the failure of existing approaches to address all TTM styles. Methods Thirty-eight DSM-IV TTM participants were randomly assigned across two study sites to Dialectical Behavior Therapy (DBT) -enhanced cognitive-behavioral treatment (consisting of an 11-week acute treatment and 3-month maintenance treatment) or a minimal attention control (MAC) condition. MAC participants had active treatment after the 11-week control condition. Follow-up study assessments were conducted three and six months after the maintenance period. Results Open trial treatment resulted in significant improvement in TTM severity, emotion regulation (ER) capacity, experiential avoidance, anxiety and depression with changes generally maintained over time. In the randomized controlled trial, those with active treatment had greater improvement than those in the MAC condition for both TTM severity and ER capacity. Correlations between changes in TTM severity and ER capacity were not reported at post-treatment but did occur in maintenance and follow-up indicating reduced TTM severity with improved ER capacity. Conclusions DBT-enhanced cognitive-behavioral treatment is a promising treatment for TTM. Future studies should compare this approach to other credible treatment interventions and investigate the efficacy of this approach in more naturalistic samples with greater comorbidity.","author":[{"dropping-particle":"","family":"Keuthen","given":"Nancy J.","non-dropping-particle":"","parse-names":false,"suffix":""},{"dropping-particle":"","family":"Rothbaum","given":"Barbara O.","non-dropping-particle":"","parse-names":false,"suffix":""},{"dropping-particle":"","family":"Fama","given":"Jeanne","non-dropping-particle":"","parse-names":false,"suffix":""},{"dropping-particle":"","family":"Altenburger","given":"Erin","non-dropping-particle":"","parse-names":false,"suffix":""},{"dropping-particle":"","family":"Falkenstein","given":"Martha J.","non-dropping-particle":"","parse-names":false,"suffix":""},{"dropping-particle":"","family":"Sprich","given":"Susan E.","non-dropping-particle":"","parse-names":false,"suffix":""},{"dropping-particle":"","family":"Kearns","given":"Megan","non-dropping-particle":"","parse-names":false,"suffix":""},{"dropping-particle":"","family":"Meunier","given":"Suzanne","non-dropping-particle":"","parse-names":false,"suffix":""},{"dropping-particle":"","family":"Jenike","given":"Michael A.","non-dropping-particle":"","parse-names":false,"suffix":""},{"dropping-particle":"","family":"Welch","given":"Stacy S.","non-dropping-particle":"","parse-names":false,"suffix":""}],"container-title":"Journal of Behavioral Addictions","id":"ITEM-2","issue":"3","issued":{"date-parts":[["2012"]]},"page":"106-114","title":"DBT-enhanced cognitive-behavioral treatment for trichotillomania: A randomized controlled trial","type":"article-journal","volume":"1"},"uris":["http://www.mendeley.com/documents/?uuid=2e3d8c94-f9d8-4eea-9bb1-bbfcf052bf36"]}],"mendeley":{"formattedCitation":"(Keuthen et al., 2012; Woods, Wetterneck, et al., 2006)","plainTextFormattedCitation":"(Keuthen et al., 2012; Woods, Wetterneck, et al., 2006)","previouslyFormattedCitation":"(Keuthen et al., 2012; Woods, Wetterneck, et al., 2006)"},"properties":{"noteIndex":0},"schema":"https://github.com/citation-style-language/schema/raw/master/csl-citation.json"}</w:instrText>
      </w:r>
      <w:r w:rsidR="007C27DC">
        <w:rPr>
          <w:rFonts w:eastAsia="Times New Roman" w:cs="Times New Roman"/>
          <w:szCs w:val="24"/>
        </w:rPr>
        <w:fldChar w:fldCharType="separate"/>
      </w:r>
      <w:r w:rsidR="00C064BE" w:rsidRPr="00C064BE">
        <w:rPr>
          <w:rFonts w:eastAsia="Times New Roman" w:cs="Times New Roman"/>
          <w:noProof/>
          <w:szCs w:val="24"/>
        </w:rPr>
        <w:t>(Keuthen et al., 2012; Woods, Wetterneck, et al., 2006)</w:t>
      </w:r>
      <w:r w:rsidR="007C27DC">
        <w:rPr>
          <w:rFonts w:eastAsia="Times New Roman" w:cs="Times New Roman"/>
          <w:szCs w:val="24"/>
        </w:rPr>
        <w:fldChar w:fldCharType="end"/>
      </w:r>
      <w:r w:rsidR="00A1284D">
        <w:rPr>
          <w:rFonts w:eastAsia="Times New Roman" w:cs="Times New Roman"/>
          <w:szCs w:val="24"/>
        </w:rPr>
        <w:t>,</w:t>
      </w:r>
      <w:r w:rsidR="007C27DC">
        <w:rPr>
          <w:rFonts w:eastAsia="Times New Roman" w:cs="Times New Roman"/>
          <w:szCs w:val="24"/>
        </w:rPr>
        <w:t xml:space="preserve"> </w:t>
      </w:r>
      <w:r>
        <w:rPr>
          <w:rFonts w:eastAsia="Times New Roman" w:cs="Times New Roman"/>
          <w:szCs w:val="24"/>
        </w:rPr>
        <w:t xml:space="preserve">HRT+SC </w:t>
      </w:r>
      <w:r w:rsidR="00364A9F">
        <w:rPr>
          <w:rFonts w:eastAsia="Times New Roman" w:cs="Times New Roman"/>
          <w:szCs w:val="24"/>
        </w:rPr>
        <w:t>ha</w:t>
      </w:r>
      <w:r w:rsidR="00B01DFC">
        <w:rPr>
          <w:rFonts w:eastAsia="Times New Roman" w:cs="Times New Roman"/>
          <w:szCs w:val="24"/>
        </w:rPr>
        <w:t>s</w:t>
      </w:r>
      <w:r w:rsidR="00364A9F">
        <w:rPr>
          <w:rFonts w:eastAsia="Times New Roman" w:cs="Times New Roman"/>
          <w:szCs w:val="24"/>
        </w:rPr>
        <w:t xml:space="preserve"> been augmented with treatment components focusing on improving emotion regulation skills</w:t>
      </w:r>
      <w:r w:rsidR="00E626CE">
        <w:rPr>
          <w:rFonts w:eastAsia="Times New Roman" w:cs="Times New Roman"/>
          <w:szCs w:val="24"/>
        </w:rPr>
        <w:t xml:space="preserve"> </w:t>
      </w:r>
      <w:r w:rsidR="00E626CE" w:rsidRPr="006674C6">
        <w:rPr>
          <w:rFonts w:eastAsia="Times New Roman" w:cs="Times New Roman"/>
          <w:szCs w:val="24"/>
        </w:rPr>
        <w:t>(e.g., acceptance or mindfulness-based therapies)</w:t>
      </w:r>
      <w:r>
        <w:rPr>
          <w:rFonts w:eastAsia="Times New Roman" w:cs="Times New Roman"/>
          <w:szCs w:val="24"/>
        </w:rPr>
        <w:t>.</w:t>
      </w:r>
      <w:r w:rsidR="00364A9F">
        <w:rPr>
          <w:rFonts w:eastAsia="Times New Roman" w:cs="Times New Roman"/>
          <w:szCs w:val="24"/>
        </w:rPr>
        <w:t xml:space="preserve"> </w:t>
      </w:r>
      <w:r w:rsidR="00DF4372">
        <w:rPr>
          <w:rFonts w:eastAsia="Times New Roman" w:cs="Times New Roman"/>
          <w:szCs w:val="24"/>
        </w:rPr>
        <w:t>However</w:t>
      </w:r>
      <w:r w:rsidR="00364A9F">
        <w:rPr>
          <w:rFonts w:eastAsia="Times New Roman" w:cs="Times New Roman"/>
          <w:szCs w:val="24"/>
        </w:rPr>
        <w:t xml:space="preserve">, neither HRT+SC </w:t>
      </w:r>
      <w:r w:rsidR="00E44710">
        <w:rPr>
          <w:rFonts w:eastAsia="Times New Roman" w:cs="Times New Roman"/>
          <w:szCs w:val="24"/>
        </w:rPr>
        <w:t>alone</w:t>
      </w:r>
      <w:r w:rsidR="00EB5CE0">
        <w:rPr>
          <w:rFonts w:eastAsia="Times New Roman" w:cs="Times New Roman"/>
          <w:szCs w:val="24"/>
        </w:rPr>
        <w:t>,</w:t>
      </w:r>
      <w:r w:rsidR="00E44710">
        <w:rPr>
          <w:rFonts w:eastAsia="Times New Roman" w:cs="Times New Roman"/>
          <w:szCs w:val="24"/>
        </w:rPr>
        <w:t xml:space="preserve"> </w:t>
      </w:r>
      <w:r w:rsidR="00364A9F">
        <w:rPr>
          <w:rFonts w:eastAsia="Times New Roman" w:cs="Times New Roman"/>
          <w:szCs w:val="24"/>
        </w:rPr>
        <w:t>nor its augmented forms have</w:t>
      </w:r>
      <w:r w:rsidR="00FB1E29">
        <w:rPr>
          <w:rFonts w:eastAsia="Times New Roman" w:cs="Times New Roman"/>
          <w:szCs w:val="24"/>
        </w:rPr>
        <w:t xml:space="preserve"> been</w:t>
      </w:r>
      <w:r w:rsidR="00364A9F">
        <w:rPr>
          <w:rFonts w:eastAsia="Times New Roman" w:cs="Times New Roman"/>
          <w:szCs w:val="24"/>
        </w:rPr>
        <w:t xml:space="preserve"> tested in large </w:t>
      </w:r>
      <w:r>
        <w:rPr>
          <w:rFonts w:eastAsia="Times New Roman" w:cs="Times New Roman"/>
          <w:szCs w:val="24"/>
        </w:rPr>
        <w:t>RCTs</w:t>
      </w:r>
      <w:r w:rsidR="00A1284D">
        <w:rPr>
          <w:rFonts w:eastAsia="Times New Roman" w:cs="Times New Roman"/>
          <w:szCs w:val="24"/>
        </w:rPr>
        <w:t xml:space="preserve"> </w:t>
      </w:r>
      <w:r w:rsidR="00FB1E29">
        <w:rPr>
          <w:rFonts w:eastAsia="Times New Roman" w:cs="Times New Roman"/>
          <w:szCs w:val="24"/>
        </w:rPr>
        <w:fldChar w:fldCharType="begin" w:fldLock="1"/>
      </w:r>
      <w:r w:rsidR="00C064BE">
        <w:rPr>
          <w:rFonts w:eastAsia="Times New Roman" w:cs="Times New Roman"/>
          <w:szCs w:val="24"/>
        </w:rPr>
        <w:instrText>ADDIN CSL_CITATION {"citationItems":[{"id":"ITEM-1","itemData":{"DOI":"10.1016/j.jpsychires.2014.07.015","ISBN":"2156623929","ISSN":"18791379","PMID":"25108618","abstract":"Few randomized controlled trials (RCTs) exist examining the efficacy of behavior therapy (BT) or serotonin reuptake inhibitors (SRIs) for the treatment of trichotillomania (TTM), with no examination of treatment moderators. The present meta-analysis synthesized the treatment effect sizes (ES) of BT and SRI relative to comparison conditions, and examined moderators of treatment. A comprehensive literature search identified 11 RCTs that met inclusion criteria. Clinical characteristics (e.g., age, comorbidity, therapeutic contact hours), outcome measures, treatment subtypes (e.g., SRI subtype, BT subtype), and ES data were extracted. The standardized mean difference of change in hair pulling severity was the outcome measure. A random effects meta-analysis found a large pooled ES for BT (ES=1.41, p&lt;0.001). BT trials with greater therapeutic contact hours exhibited larger ES (p=0.009). Additionally, BT trials that used mood enhanced therapeutic techniques exhibited greater ES relative to trials including only traditional BT components (p=0.004). For SRI trials, a random effects meta-analysis identified a moderate pooled ES (ES=0.41, p=0.02). Although clomipramine exhibited larger ES relative to selective serotonin reuptake inhibitors, the difference was not statistically significant. Publication bias was not identified for either treatment. BT yields large treatment effects for TTM, with further examination needed to disentangle confounded treatment moderators. SRI trials exhibited a moderate pooled ES, with no treatment moderators identified. Sensitivity analyses highlighted the need for further RCTs of SRIs, especially among youth with TTM.","author":[{"dropping-particle":"","family":"McGuire","given":"Joseph F.","non-dropping-particle":"","parse-names":false,"suffix":""},{"dropping-particle":"","family":"Ung","given":"Danielle","non-dropping-particle":"","parse-names":false,"suffix":""},{"dropping-particle":"","family":"Selles","given":"Robert R.","non-dropping-particle":"","parse-names":false,"suffix":""},{"dropping-particle":"","family":"Rahman","given":"Omar","non-dropping-particle":"","parse-names":false,"suffix":""},{"dropping-particle":"","family":"Lewin","given":"Adam B.","non-dropping-particle":"","parse-names":false,"suffix":""},{"dropping-particle":"","family":"Murphy","given":"Tanya K.","non-dropping-particle":"","parse-names":false,"suffix":""},{"dropping-particle":"","family":"Storch","given":"Eric A.","non-dropping-particle":"","parse-names":false,"suffix":""}],"container-title":"Journal of Psychiatric Research","id":"ITEM-1","issued":{"date-parts":[["2014"]]},"page":"76-83","title":"Treating trichotillomania: A meta-analysis of treatment effects and moderators for behavior therapy and serotonin reuptake inhibitors","type":"article-journal","volume":"58"},"uris":["http://www.mendeley.com/documents/?uuid=fcc7c8b7-8ded-4dbf-951d-0c8303c05a1a"]},{"id":"ITEM-2","itemData":{"DOI":"10.1111/cp.12074","ISSN":"17429552","abstract":"© 2015 The Australian Psychological Society. Background: Trichotillomania (hair-pulling disorder) is a debilitating and distressing disorder associated with great secrecy and shame. A lack of understanding regarding interventions for Trichotillomania contributes to poor routine outcomes for the disorder. Method: This systematic review and meta-analysis assessed the efficacy of behaviourally based psychological interventions and pharmacological interventions for trichotillomania compared to a range of control groups. Participants were adults who have been diagnosed with trichotillomania. A systematic search was conducted of the Cochrane library, EBSCOhost, MEDLINE before 1966, and Google Scholar for relevant randomised controlled trials. Results: Of the total 462 records identified, 12 studies were included in the quantitative synthesis, and nine studies were included in meta-analyses. Conclusions: Analyses revealed that-from medication approaches-fluoxetine was not found to be efficacious. However, N-acetyl cysteine, clomipramine, and olanzapine showed potential for the treatment of trichotillomania. Regarding psychotherapy, behaviour therapy showed superior efficacy when compared to a passive control group. However, when behaviour therapy was compared to an active control group (progressive muscle relaxation, supportive therapy), both conditions showed similar efficacy in treating trichotillomania. It was concluded that the psychological mechanisms in trichotillomania may be more complex than the behavioural model indicates. Implications and limitations are discussed.","author":[{"dropping-particle":"","family":"Slikboer","given":"Reneta","non-dropping-particle":"","parse-names":false,"suffix":""},{"dropping-particle":"","family":"Nedeljkovic","given":"Maja","non-dropping-particle":"","parse-names":false,"suffix":""},{"dropping-particle":"","family":"Bowe","given":"Steven J.","non-dropping-particle":"","parse-names":false,"suffix":""},{"dropping-particle":"","family":"Moulding","given":"Richard","non-dropping-particle":"","parse-names":false,"suffix":""}],"container-title":"Clinical Psychologist","id":"ITEM-2","issued":{"date-parts":[["2017"]]},"page":"20-32","title":"A systematic review and meta-analysis of behaviourally based psychological interventions and pharmacological interventions for trichotillomania","type":"article-journal","volume":"21"},"uris":["http://www.mendeley.com/documents/?uuid=d64534c3-d7b4-4ed8-b3af-4707898afeb6"]},{"id":"ITEM-3","itemData":{"DOI":"10.1016/j.biopsych.2007.05.019","ISBN":"0006-3223","ISSN":"00063223","PMID":"17727824","abstract":"Trichotillomania is a psychiatric condition characterized by compulsive hair pulling. Three interventions have been studied in the treatment of trichotillomania: habit-reversal therapy (HRT) and pharmacotherapy with either selective-serotonin reuptake inhibitors (SSRI) or clomipramine. This systematic review compared the efficacy of these interventions in blinded, randomized clinical trials. The electronic databases of Medline, Premedline, PsychINFO, Embase, and the Cochrane Central Register of Controlled Trials were searched for relevant trials using the search terms \"trichotillomania\" or \"hair pulling.\" Trials were eligible for inclusion if they compared habit-reversal therapy, SSRI pharmacotherapy, or clomipramine pharmacotherapy to each other or placebo and employed randomization and blinded assessment of outcome. Our primary outcome measure was mean change in trichotillomania severity. The summary statistic was standardized mean difference. Seven studies were eligible for inclusion in this review. Overall, meta-analysis demonstrated that habit-reversal therapy (effect size [ES] = -1.14, 95% confidence interval [CI] = -1.89, -.38) was superior to pharmacotherapy with clomipramine (ES = -.68, 95% CI = -1.28, -.07) or SSRI (ES = .02, 95% CI = -.32, .35). Clomipramine was more efficacious than placebo, while there was no evidence to demonstrate that SSRI are more efficacious than placebo in the treatment of trichotillomania. Future studies on trichotillomania should seek to determine if HRT can demonstrate efficacy against more rigorous control conditions that account for non-specific effects of therapy and determine if HRT can be an effective intervention for trichotillomania beyond the few sites where it is currently practiced in research studies. Future therapy and pharmacotherapy studies in trichotillomania should employ larger sample sizes and intention-to-treat analysis and seek to validate clinical rating scales of trichotillomania severity. © 2007 Society of Biological Psychiatry.","author":[{"dropping-particle":"","family":"Bloch","given":"Michael H.","non-dropping-particle":"","parse-names":false,"suffix":""},{"dropping-particle":"","family":"Landeros-Weisenberger","given":"Angeli","non-dropping-particle":"","parse-names":false,"suffix":""},{"dropping-particle":"","family":"Dombrowski","given":"Philip","non-dropping-particle":"","parse-names":false,"suffix":""},{"dropping-particle":"","family":"Kelmendi","given":"Ben","non-dropping-particle":"","parse-names":false,"suffix":""},{"dropping-particle":"","family":"Wegner","given":"Ryan","non-dropping-particle":"","parse-names":false,"suffix":""},{"dropping-particle":"","family":"Nudel","given":"Jake","non-dropping-particle":"","parse-names":false,"suffix":""},{"dropping-particle":"","family":"Pittenger","given":"Christopher","non-dropping-particle":"","parse-names":false,"suffix":""},{"dropping-particle":"","family":"Leckman","given":"James F.","non-dropping-particle":"","parse-names":false,"suffix":""},{"dropping-particle":"","family":"Coric","given":"Vladimir","non-dropping-particle":"","parse-names":false,"suffix":""}],"container-title":"Biological Psychiatry","id":"ITEM-3","issue":"8","issued":{"date-parts":[["2007"]]},"page":"839-846","title":"Systematic review: Pharmacological and behavioral treatment for trichotillomania","type":"article-journal","volume":"62"},"uris":["http://www.mendeley.com/documents/?uuid=8db7460f-cb2c-403f-b619-952c3fa21a93"]}],"mendeley":{"formattedCitation":"(Bloch et al., 2007; McGuire et al., 2014; Slikboer et al., 2017)","plainTextFormattedCitation":"(Bloch et al., 2007; McGuire et al., 2014; Slikboer et al., 2017)","previouslyFormattedCitation":"(Bloch et al., 2007; McGuire et al., 2014; Slikboer et al., 2017)"},"properties":{"noteIndex":0},"schema":"https://github.com/citation-style-language/schema/raw/master/csl-citation.json"}</w:instrText>
      </w:r>
      <w:r w:rsidR="00FB1E29">
        <w:rPr>
          <w:rFonts w:eastAsia="Times New Roman" w:cs="Times New Roman"/>
          <w:szCs w:val="24"/>
        </w:rPr>
        <w:fldChar w:fldCharType="separate"/>
      </w:r>
      <w:r w:rsidR="00C064BE" w:rsidRPr="00C064BE">
        <w:rPr>
          <w:rFonts w:eastAsia="Times New Roman" w:cs="Times New Roman"/>
          <w:noProof/>
          <w:szCs w:val="24"/>
        </w:rPr>
        <w:t>(Bloch et al., 2007; McGuire et al., 2014; Slikboer et al., 2017)</w:t>
      </w:r>
      <w:r w:rsidR="00FB1E29">
        <w:rPr>
          <w:rFonts w:eastAsia="Times New Roman" w:cs="Times New Roman"/>
          <w:szCs w:val="24"/>
        </w:rPr>
        <w:fldChar w:fldCharType="end"/>
      </w:r>
      <w:r w:rsidR="00A1284D">
        <w:rPr>
          <w:rFonts w:eastAsia="Times New Roman" w:cs="Times New Roman"/>
          <w:szCs w:val="24"/>
        </w:rPr>
        <w:t>.</w:t>
      </w:r>
      <w:r w:rsidR="00221C34">
        <w:rPr>
          <w:rFonts w:eastAsia="Times New Roman" w:cs="Times New Roman"/>
          <w:szCs w:val="24"/>
        </w:rPr>
        <w:t xml:space="preserve"> </w:t>
      </w:r>
      <w:r w:rsidR="00E31DF6">
        <w:rPr>
          <w:rFonts w:eastAsia="Times New Roman" w:cs="Times New Roman"/>
          <w:szCs w:val="24"/>
        </w:rPr>
        <w:t>Further</w:t>
      </w:r>
      <w:r w:rsidR="00E626CE">
        <w:rPr>
          <w:rFonts w:eastAsia="Times New Roman" w:cs="Times New Roman"/>
          <w:szCs w:val="24"/>
        </w:rPr>
        <w:t>,</w:t>
      </w:r>
      <w:r w:rsidR="00221C34">
        <w:rPr>
          <w:rFonts w:eastAsia="Times New Roman" w:cs="Times New Roman"/>
          <w:szCs w:val="24"/>
        </w:rPr>
        <w:t xml:space="preserve"> </w:t>
      </w:r>
      <w:r w:rsidR="00364A9F">
        <w:rPr>
          <w:rFonts w:eastAsia="Times New Roman" w:cs="Times New Roman"/>
          <w:szCs w:val="24"/>
        </w:rPr>
        <w:t xml:space="preserve">previous studies </w:t>
      </w:r>
      <w:r w:rsidR="00FB1E29">
        <w:rPr>
          <w:rFonts w:eastAsia="Times New Roman" w:cs="Times New Roman"/>
          <w:szCs w:val="24"/>
        </w:rPr>
        <w:t xml:space="preserve">have not </w:t>
      </w:r>
      <w:r w:rsidR="002D6E31">
        <w:rPr>
          <w:rFonts w:eastAsia="Times New Roman" w:cs="Times New Roman"/>
          <w:szCs w:val="24"/>
        </w:rPr>
        <w:t>investigated</w:t>
      </w:r>
      <w:r w:rsidR="00364A9F" w:rsidRPr="00FB1E29">
        <w:rPr>
          <w:rFonts w:eastAsia="Times New Roman" w:cs="Times New Roman"/>
          <w:szCs w:val="24"/>
        </w:rPr>
        <w:t xml:space="preserve"> </w:t>
      </w:r>
      <w:r w:rsidR="002D6E31">
        <w:rPr>
          <w:rFonts w:eastAsia="Times New Roman" w:cs="Times New Roman"/>
          <w:szCs w:val="24"/>
        </w:rPr>
        <w:t xml:space="preserve">whether </w:t>
      </w:r>
      <w:r w:rsidR="00364A9F" w:rsidRPr="00FB1E29">
        <w:rPr>
          <w:rFonts w:eastAsia="Times New Roman" w:cs="Times New Roman"/>
          <w:szCs w:val="24"/>
        </w:rPr>
        <w:t>behavior therapy</w:t>
      </w:r>
      <w:r w:rsidR="00BA46F5">
        <w:rPr>
          <w:rFonts w:eastAsia="Times New Roman" w:cs="Times New Roman"/>
          <w:szCs w:val="24"/>
        </w:rPr>
        <w:t xml:space="preserve"> is</w:t>
      </w:r>
      <w:r w:rsidR="003F2879">
        <w:rPr>
          <w:rFonts w:eastAsia="Times New Roman" w:cs="Times New Roman"/>
          <w:szCs w:val="24"/>
        </w:rPr>
        <w:t xml:space="preserve"> </w:t>
      </w:r>
      <w:r w:rsidR="00491AED">
        <w:rPr>
          <w:rFonts w:eastAsia="Times New Roman" w:cs="Times New Roman"/>
          <w:szCs w:val="24"/>
        </w:rPr>
        <w:t xml:space="preserve">more </w:t>
      </w:r>
      <w:r w:rsidR="003F2879">
        <w:rPr>
          <w:rFonts w:eastAsia="Times New Roman" w:cs="Times New Roman"/>
          <w:szCs w:val="24"/>
        </w:rPr>
        <w:t xml:space="preserve">effective </w:t>
      </w:r>
      <w:r w:rsidR="00491AED">
        <w:rPr>
          <w:rFonts w:eastAsia="Times New Roman" w:cs="Times New Roman"/>
          <w:szCs w:val="24"/>
        </w:rPr>
        <w:t xml:space="preserve">than </w:t>
      </w:r>
      <w:r w:rsidR="003F2879">
        <w:rPr>
          <w:rFonts w:eastAsia="Times New Roman" w:cs="Times New Roman"/>
          <w:szCs w:val="24"/>
        </w:rPr>
        <w:t>non-specialized</w:t>
      </w:r>
      <w:r w:rsidR="00364A9F" w:rsidRPr="00FB1E29">
        <w:rPr>
          <w:rFonts w:eastAsia="Times New Roman" w:cs="Times New Roman"/>
          <w:szCs w:val="24"/>
        </w:rPr>
        <w:t xml:space="preserve"> </w:t>
      </w:r>
      <w:r w:rsidR="0005588A">
        <w:rPr>
          <w:rFonts w:eastAsia="Times New Roman" w:cs="Times New Roman"/>
          <w:szCs w:val="24"/>
        </w:rPr>
        <w:t>PST</w:t>
      </w:r>
      <w:r w:rsidR="00A1284D">
        <w:rPr>
          <w:rFonts w:eastAsia="Times New Roman" w:cs="Times New Roman"/>
          <w:szCs w:val="24"/>
        </w:rPr>
        <w:t xml:space="preserve"> </w:t>
      </w:r>
      <w:r w:rsidR="00B42D65" w:rsidRPr="00FB1E29">
        <w:rPr>
          <w:rFonts w:eastAsia="Times New Roman" w:cs="Times New Roman"/>
          <w:szCs w:val="24"/>
        </w:rPr>
        <w:fldChar w:fldCharType="begin" w:fldLock="1"/>
      </w:r>
      <w:r w:rsidR="00C064BE">
        <w:rPr>
          <w:rFonts w:eastAsia="Times New Roman" w:cs="Times New Roman"/>
          <w:szCs w:val="24"/>
        </w:rPr>
        <w:instrText>ADDIN CSL_CITATION {"citationItems":[{"id":"ITEM-1","itemData":{"DOI":"10.1016/j.jpsychires.2014.07.015","ISBN":"2156623929","ISSN":"18791379","PMID":"25108618","abstract":"Few randomized controlled trials (RCTs) exist examining the efficacy of behavior therapy (BT) or serotonin reuptake inhibitors (SRIs) for the treatment of trichotillomania (TTM), with no examination of treatment moderators. The present meta-analysis synthesized the treatment effect sizes (ES) of BT and SRI relative to comparison conditions, and examined moderators of treatment. A comprehensive literature search identified 11 RCTs that met inclusion criteria. Clinical characteristics (e.g., age, comorbidity, therapeutic contact hours), outcome measures, treatment subtypes (e.g., SRI subtype, BT subtype), and ES data were extracted. The standardized mean difference of change in hair pulling severity was the outcome measure. A random effects meta-analysis found a large pooled ES for BT (ES=1.41, p&lt;0.001). BT trials with greater therapeutic contact hours exhibited larger ES (p=0.009). Additionally, BT trials that used mood enhanced therapeutic techniques exhibited greater ES relative to trials including only traditional BT components (p=0.004). For SRI trials, a random effects meta-analysis identified a moderate pooled ES (ES=0.41, p=0.02). Although clomipramine exhibited larger ES relative to selective serotonin reuptake inhibitors, the difference was not statistically significant. Publication bias was not identified for either treatment. BT yields large treatment effects for TTM, with further examination needed to disentangle confounded treatment moderators. SRI trials exhibited a moderate pooled ES, with no treatment moderators identified. Sensitivity analyses highlighted the need for further RCTs of SRIs, especially among youth with TTM.","author":[{"dropping-particle":"","family":"McGuire","given":"Joseph F.","non-dropping-particle":"","parse-names":false,"suffix":""},{"dropping-particle":"","family":"Ung","given":"Danielle","non-dropping-particle":"","parse-names":false,"suffix":""},{"dropping-particle":"","family":"Selles","given":"Robert R.","non-dropping-particle":"","parse-names":false,"suffix":""},{"dropping-particle":"","family":"Rahman","given":"Omar","non-dropping-particle":"","parse-names":false,"suffix":""},{"dropping-particle":"","family":"Lewin","given":"Adam B.","non-dropping-particle":"","parse-names":false,"suffix":""},{"dropping-particle":"","family":"Murphy","given":"Tanya K.","non-dropping-particle":"","parse-names":false,"suffix":""},{"dropping-particle":"","family":"Storch","given":"Eric A.","non-dropping-particle":"","parse-names":false,"suffix":""}],"container-title":"Journal of Psychiatric Research","id":"ITEM-1","issued":{"date-parts":[["2014"]]},"page":"76-83","title":"Treating trichotillomania: A meta-analysis of treatment effects and moderators for behavior therapy and serotonin reuptake inhibitors","type":"article-journal","volume":"58"},"uris":["http://www.mendeley.com/documents/?uuid=fcc7c8b7-8ded-4dbf-951d-0c8303c05a1a"]},{"id":"ITEM-2","itemData":{"DOI":"10.1111/cp.12074","ISSN":"17429552","abstract":"© 2015 The Australian Psychological Society. Background: Trichotillomania (hair-pulling disorder) is a debilitating and distressing disorder associated with great secrecy and shame. A lack of understanding regarding interventions for Trichotillomania contributes to poor routine outcomes for the disorder. Method: This systematic review and meta-analysis assessed the efficacy of behaviourally based psychological interventions and pharmacological interventions for trichotillomania compared to a range of control groups. Participants were adults who have been diagnosed with trichotillomania. A systematic search was conducted of the Cochrane library, EBSCOhost, MEDLINE before 1966, and Google Scholar for relevant randomised controlled trials. Results: Of the total 462 records identified, 12 studies were included in the quantitative synthesis, and nine studies were included in meta-analyses. Conclusions: Analyses revealed that-from medication approaches-fluoxetine was not found to be efficacious. However, N-acetyl cysteine, clomipramine, and olanzapine showed potential for the treatment of trichotillomania. Regarding psychotherapy, behaviour therapy showed superior efficacy when compared to a passive control group. However, when behaviour therapy was compared to an active control group (progressive muscle relaxation, supportive therapy), both conditions showed similar efficacy in treating trichotillomania. It was concluded that the psychological mechanisms in trichotillomania may be more complex than the behavioural model indicates. Implications and limitations are discussed.","author":[{"dropping-particle":"","family":"Slikboer","given":"Reneta","non-dropping-particle":"","parse-names":false,"suffix":""},{"dropping-particle":"","family":"Nedeljkovic","given":"Maja","non-dropping-particle":"","parse-names":false,"suffix":""},{"dropping-particle":"","family":"Bowe","given":"Steven J.","non-dropping-particle":"","parse-names":false,"suffix":""},{"dropping-particle":"","family":"Moulding","given":"Richard","non-dropping-particle":"","parse-names":false,"suffix":""}],"container-title":"Clinical Psychologist","id":"ITEM-2","issued":{"date-parts":[["2017"]]},"page":"20-32","title":"A systematic review and meta-analysis of behaviourally based psychological interventions and pharmacological interventions for trichotillomania","type":"article-journal","volume":"21"},"uris":["http://www.mendeley.com/documents/?uuid=d64534c3-d7b4-4ed8-b3af-4707898afeb6"]},{"id":"ITEM-3","itemData":{"DOI":"10.1016/j.biopsych.2007.05.019","ISBN":"0006-3223","ISSN":"00063223","PMID":"17727824","abstract":"Trichotillomania is a psychiatric condition characterized by compulsive hair pulling. Three interventions have been studied in the treatment of trichotillomania: habit-reversal therapy (HRT) and pharmacotherapy with either selective-serotonin reuptake inhibitors (SSRI) or clomipramine. This systematic review compared the efficacy of these interventions in blinded, randomized clinical trials. The electronic databases of Medline, Premedline, PsychINFO, Embase, and the Cochrane Central Register of Controlled Trials were searched for relevant trials using the search terms \"trichotillomania\" or \"hair pulling.\" Trials were eligible for inclusion if they compared habit-reversal therapy, SSRI pharmacotherapy, or clomipramine pharmacotherapy to each other or placebo and employed randomization and blinded assessment of outcome. Our primary outcome measure was mean change in trichotillomania severity. The summary statistic was standardized mean difference. Seven studies were eligible for inclusion in this review. Overall, meta-analysis demonstrated that habit-reversal therapy (effect size [ES] = -1.14, 95% confidence interval [CI] = -1.89, -.38) was superior to pharmacotherapy with clomipramine (ES = -.68, 95% CI = -1.28, -.07) or SSRI (ES = .02, 95% CI = -.32, .35). Clomipramine was more efficacious than placebo, while there was no evidence to demonstrate that SSRI are more efficacious than placebo in the treatment of trichotillomania. Future studies on trichotillomania should seek to determine if HRT can demonstrate efficacy against more rigorous control conditions that account for non-specific effects of therapy and determine if HRT can be an effective intervention for trichotillomania beyond the few sites where it is currently practiced in research studies. Future therapy and pharmacotherapy studies in trichotillomania should employ larger sample sizes and intention-to-treat analysis and seek to validate clinical rating scales of trichotillomania severity. © 2007 Society of Biological Psychiatry.","author":[{"dropping-particle":"","family":"Bloch","given":"Michael H.","non-dropping-particle":"","parse-names":false,"suffix":""},{"dropping-particle":"","family":"Landeros-Weisenberger","given":"Angeli","non-dropping-particle":"","parse-names":false,"suffix":""},{"dropping-particle":"","family":"Dombrowski","given":"Philip","non-dropping-particle":"","parse-names":false,"suffix":""},{"dropping-particle":"","family":"Kelmendi","given":"Ben","non-dropping-particle":"","parse-names":false,"suffix":""},{"dropping-particle":"","family":"Wegner","given":"Ryan","non-dropping-particle":"","parse-names":false,"suffix":""},{"dropping-particle":"","family":"Nudel","given":"Jake","non-dropping-particle":"","parse-names":false,"suffix":""},{"dropping-particle":"","family":"Pittenger","given":"Christopher","non-dropping-particle":"","parse-names":false,"suffix":""},{"dropping-particle":"","family":"Leckman","given":"James F.","non-dropping-particle":"","parse-names":false,"suffix":""},{"dropping-particle":"","family":"Coric","given":"Vladimir","non-dropping-particle":"","parse-names":false,"suffix":""}],"container-title":"Biological Psychiatry","id":"ITEM-3","issue":"8","issued":{"date-parts":[["2007"]]},"page":"839-846","title":"Systematic review: Pharmacological and behavioral treatment for trichotillomania","type":"article-journal","volume":"62"},"uris":["http://www.mendeley.com/documents/?uuid=8db7460f-cb2c-403f-b619-952c3fa21a93"]}],"mendeley":{"formattedCitation":"(Bloch et al., 2007; McGuire et al., 2014; Slikboer et al., 2017)","plainTextFormattedCitation":"(Bloch et al., 2007; McGuire et al., 2014; Slikboer et al., 2017)","previouslyFormattedCitation":"(Bloch et al., 2007; McGuire et al., 2014; Slikboer et al., 2017)"},"properties":{"noteIndex":0},"schema":"https://github.com/citation-style-language/schema/raw/master/csl-citation.json"}</w:instrText>
      </w:r>
      <w:r w:rsidR="00B42D65" w:rsidRPr="00FB1E29">
        <w:rPr>
          <w:rFonts w:eastAsia="Times New Roman" w:cs="Times New Roman"/>
          <w:szCs w:val="24"/>
        </w:rPr>
        <w:fldChar w:fldCharType="separate"/>
      </w:r>
      <w:r w:rsidR="00C064BE" w:rsidRPr="00C064BE">
        <w:rPr>
          <w:rFonts w:eastAsia="Times New Roman" w:cs="Times New Roman"/>
          <w:noProof/>
          <w:szCs w:val="24"/>
        </w:rPr>
        <w:t>(Bloch et al., 2007; McGuire et al., 2014; Slikboer et al., 2017)</w:t>
      </w:r>
      <w:r w:rsidR="00B42D65" w:rsidRPr="00FB1E29">
        <w:rPr>
          <w:rFonts w:eastAsia="Times New Roman" w:cs="Times New Roman"/>
          <w:szCs w:val="24"/>
        </w:rPr>
        <w:fldChar w:fldCharType="end"/>
      </w:r>
      <w:r w:rsidR="00A1284D">
        <w:rPr>
          <w:rFonts w:eastAsia="Times New Roman" w:cs="Times New Roman"/>
          <w:szCs w:val="24"/>
        </w:rPr>
        <w:t>.</w:t>
      </w:r>
      <w:r w:rsidR="00B42D65" w:rsidRPr="00FB1E29">
        <w:rPr>
          <w:rFonts w:eastAsia="Times New Roman" w:cs="Times New Roman"/>
          <w:szCs w:val="24"/>
        </w:rPr>
        <w:t xml:space="preserve"> </w:t>
      </w:r>
      <w:r w:rsidR="00364A9F" w:rsidRPr="00FB1E29">
        <w:rPr>
          <w:rFonts w:eastAsia="Times New Roman" w:cs="Times New Roman"/>
          <w:szCs w:val="24"/>
        </w:rPr>
        <w:t xml:space="preserve">Such </w:t>
      </w:r>
      <w:r w:rsidR="00FB1E29" w:rsidRPr="00FB1E29">
        <w:rPr>
          <w:rFonts w:eastAsia="Times New Roman" w:cs="Times New Roman"/>
          <w:szCs w:val="24"/>
        </w:rPr>
        <w:t>examinations</w:t>
      </w:r>
      <w:r w:rsidR="00364A9F" w:rsidRPr="00FB1E29">
        <w:rPr>
          <w:rFonts w:eastAsia="Times New Roman" w:cs="Times New Roman"/>
          <w:szCs w:val="24"/>
        </w:rPr>
        <w:t xml:space="preserve"> are essential in </w:t>
      </w:r>
      <w:r w:rsidR="00364A9F">
        <w:rPr>
          <w:rFonts w:eastAsia="Times New Roman" w:cs="Times New Roman"/>
          <w:szCs w:val="24"/>
        </w:rPr>
        <w:t xml:space="preserve">(a) understanding the efficacy of behavior therapy for TTM, (b) determining potential mechanisms through which TTM may be changed, and (c) identifying </w:t>
      </w:r>
      <w:r w:rsidR="00E44710">
        <w:rPr>
          <w:rFonts w:eastAsia="Times New Roman" w:cs="Times New Roman"/>
          <w:szCs w:val="24"/>
        </w:rPr>
        <w:t xml:space="preserve">treatment </w:t>
      </w:r>
      <w:r w:rsidR="00E44710">
        <w:rPr>
          <w:rFonts w:eastAsia="Times New Roman" w:cs="Times New Roman"/>
          <w:szCs w:val="24"/>
        </w:rPr>
        <w:lastRenderedPageBreak/>
        <w:t>dissemination</w:t>
      </w:r>
      <w:r w:rsidR="001B351D">
        <w:rPr>
          <w:rFonts w:eastAsia="Times New Roman" w:cs="Times New Roman"/>
          <w:szCs w:val="24"/>
        </w:rPr>
        <w:t xml:space="preserve"> goals</w:t>
      </w:r>
      <w:r w:rsidR="0076208C">
        <w:rPr>
          <w:rFonts w:eastAsia="Times New Roman" w:cs="Times New Roman"/>
          <w:szCs w:val="24"/>
        </w:rPr>
        <w:t xml:space="preserve"> and strategies</w:t>
      </w:r>
      <w:r w:rsidR="00364A9F">
        <w:rPr>
          <w:rFonts w:eastAsia="Times New Roman" w:cs="Times New Roman"/>
          <w:szCs w:val="24"/>
        </w:rPr>
        <w:t>.</w:t>
      </w:r>
    </w:p>
    <w:p w14:paraId="216A03E8" w14:textId="4B68222D" w:rsidR="00015956" w:rsidRDefault="001B351D" w:rsidP="00015956">
      <w:pPr>
        <w:widowControl w:val="0"/>
        <w:spacing w:line="480" w:lineRule="auto"/>
        <w:ind w:firstLine="720"/>
        <w:rPr>
          <w:rFonts w:eastAsia="Times New Roman" w:cs="Times New Roman"/>
          <w:szCs w:val="24"/>
        </w:rPr>
      </w:pPr>
      <w:r>
        <w:rPr>
          <w:rFonts w:eastAsia="Times New Roman" w:cs="Times New Roman"/>
          <w:szCs w:val="24"/>
        </w:rPr>
        <w:t xml:space="preserve">Results of the current study showed that AEBT-TTM </w:t>
      </w:r>
      <w:r w:rsidR="00DC504C">
        <w:rPr>
          <w:rFonts w:eastAsia="Times New Roman" w:cs="Times New Roman"/>
          <w:szCs w:val="24"/>
        </w:rPr>
        <w:t xml:space="preserve">was superior to </w:t>
      </w:r>
      <w:r>
        <w:rPr>
          <w:rFonts w:eastAsia="Times New Roman" w:cs="Times New Roman"/>
          <w:szCs w:val="24"/>
        </w:rPr>
        <w:t>PST</w:t>
      </w:r>
      <w:r w:rsidR="00DC504C">
        <w:rPr>
          <w:rFonts w:eastAsia="Times New Roman" w:cs="Times New Roman"/>
          <w:szCs w:val="24"/>
        </w:rPr>
        <w:t>, as it</w:t>
      </w:r>
      <w:r>
        <w:rPr>
          <w:rFonts w:eastAsia="Times New Roman" w:cs="Times New Roman"/>
          <w:szCs w:val="24"/>
        </w:rPr>
        <w:t xml:space="preserve"> yielded </w:t>
      </w:r>
      <w:r w:rsidR="00DC504C">
        <w:rPr>
          <w:rFonts w:eastAsia="Times New Roman" w:cs="Times New Roman"/>
          <w:szCs w:val="24"/>
        </w:rPr>
        <w:t>greater</w:t>
      </w:r>
      <w:r>
        <w:rPr>
          <w:rFonts w:eastAsia="Times New Roman" w:cs="Times New Roman"/>
          <w:szCs w:val="24"/>
        </w:rPr>
        <w:t xml:space="preserve"> reductions in self-</w:t>
      </w:r>
      <w:r w:rsidR="00114272">
        <w:rPr>
          <w:rFonts w:eastAsia="Times New Roman" w:cs="Times New Roman"/>
          <w:szCs w:val="24"/>
        </w:rPr>
        <w:t xml:space="preserve"> and IE-</w:t>
      </w:r>
      <w:r>
        <w:rPr>
          <w:rFonts w:eastAsia="Times New Roman" w:cs="Times New Roman"/>
          <w:szCs w:val="24"/>
        </w:rPr>
        <w:t>reported pulling severity</w:t>
      </w:r>
      <w:r w:rsidR="00114272">
        <w:rPr>
          <w:rFonts w:eastAsia="Times New Roman" w:cs="Times New Roman"/>
          <w:szCs w:val="24"/>
        </w:rPr>
        <w:t>. Likewise,</w:t>
      </w:r>
      <w:r w:rsidR="00C242C2">
        <w:rPr>
          <w:rFonts w:eastAsia="Times New Roman" w:cs="Times New Roman"/>
          <w:szCs w:val="24"/>
        </w:rPr>
        <w:t xml:space="preserve"> </w:t>
      </w:r>
      <w:r>
        <w:rPr>
          <w:rFonts w:eastAsia="Times New Roman" w:cs="Times New Roman"/>
          <w:szCs w:val="24"/>
        </w:rPr>
        <w:t>AEBT-TTM yielded greater treatment response rates.</w:t>
      </w:r>
      <w:r w:rsidR="00A35B7E">
        <w:rPr>
          <w:rFonts w:eastAsia="Times New Roman" w:cs="Times New Roman"/>
          <w:szCs w:val="24"/>
        </w:rPr>
        <w:t xml:space="preserve"> </w:t>
      </w:r>
      <w:r w:rsidR="001F72F5">
        <w:rPr>
          <w:rFonts w:eastAsia="Times New Roman" w:cs="Times New Roman"/>
          <w:szCs w:val="24"/>
        </w:rPr>
        <w:t>These data are the first to show the superiority of behavior therapy for TTM over a credible supportive therapy control condition</w:t>
      </w:r>
      <w:r w:rsidR="00271D79">
        <w:rPr>
          <w:rFonts w:eastAsia="Times New Roman" w:cs="Times New Roman"/>
          <w:szCs w:val="24"/>
        </w:rPr>
        <w:t xml:space="preserve"> in a large randomized </w:t>
      </w:r>
      <w:r w:rsidR="00896C12">
        <w:rPr>
          <w:rFonts w:eastAsia="Times New Roman" w:cs="Times New Roman"/>
          <w:szCs w:val="24"/>
        </w:rPr>
        <w:t>controlled</w:t>
      </w:r>
      <w:r w:rsidR="00271D79">
        <w:rPr>
          <w:rFonts w:eastAsia="Times New Roman" w:cs="Times New Roman"/>
          <w:szCs w:val="24"/>
        </w:rPr>
        <w:t xml:space="preserve"> trial</w:t>
      </w:r>
      <w:r w:rsidR="0047594F">
        <w:rPr>
          <w:rFonts w:eastAsia="Times New Roman" w:cs="Times New Roman"/>
          <w:szCs w:val="24"/>
        </w:rPr>
        <w:t xml:space="preserve">. </w:t>
      </w:r>
      <w:r w:rsidR="00271D79">
        <w:rPr>
          <w:rFonts w:eastAsia="Times New Roman" w:cs="Times New Roman"/>
          <w:szCs w:val="24"/>
        </w:rPr>
        <w:t>Resul</w:t>
      </w:r>
      <w:r w:rsidR="00DD194D">
        <w:rPr>
          <w:rFonts w:eastAsia="Times New Roman" w:cs="Times New Roman"/>
          <w:szCs w:val="24"/>
        </w:rPr>
        <w:t xml:space="preserve">ts suggest that improvement </w:t>
      </w:r>
      <w:r w:rsidR="0040348D">
        <w:rPr>
          <w:rFonts w:eastAsia="Times New Roman" w:cs="Times New Roman"/>
          <w:szCs w:val="24"/>
        </w:rPr>
        <w:t xml:space="preserve">reported in the AEBT-TTM condition </w:t>
      </w:r>
      <w:r w:rsidR="00DD194D">
        <w:rPr>
          <w:rFonts w:eastAsia="Times New Roman" w:cs="Times New Roman"/>
          <w:szCs w:val="24"/>
        </w:rPr>
        <w:t xml:space="preserve">is unlikely to be due to </w:t>
      </w:r>
      <w:r w:rsidR="001E2547">
        <w:rPr>
          <w:rFonts w:eastAsia="Times New Roman" w:cs="Times New Roman"/>
          <w:szCs w:val="24"/>
        </w:rPr>
        <w:t>nonspecific effects of therap</w:t>
      </w:r>
      <w:r w:rsidR="0040348D">
        <w:rPr>
          <w:rFonts w:eastAsia="Times New Roman" w:cs="Times New Roman"/>
          <w:szCs w:val="24"/>
        </w:rPr>
        <w:t>y</w:t>
      </w:r>
      <w:r>
        <w:rPr>
          <w:rFonts w:eastAsia="Times New Roman" w:cs="Times New Roman"/>
          <w:szCs w:val="24"/>
        </w:rPr>
        <w:t xml:space="preserve"> and </w:t>
      </w:r>
      <w:r w:rsidR="0040348D">
        <w:rPr>
          <w:rFonts w:eastAsia="Times New Roman" w:cs="Times New Roman"/>
          <w:szCs w:val="24"/>
        </w:rPr>
        <w:t xml:space="preserve">that </w:t>
      </w:r>
      <w:r w:rsidR="00795ACE">
        <w:rPr>
          <w:rFonts w:eastAsia="Times New Roman" w:cs="Times New Roman"/>
          <w:szCs w:val="24"/>
        </w:rPr>
        <w:t>the mechanism of action may be</w:t>
      </w:r>
      <w:r w:rsidR="00C67FF0">
        <w:rPr>
          <w:rFonts w:eastAsia="Times New Roman" w:cs="Times New Roman"/>
          <w:szCs w:val="24"/>
        </w:rPr>
        <w:t xml:space="preserve"> directly related to </w:t>
      </w:r>
      <w:r w:rsidR="00795ACE">
        <w:rPr>
          <w:rFonts w:eastAsia="Times New Roman" w:cs="Times New Roman"/>
          <w:szCs w:val="24"/>
        </w:rPr>
        <w:t>the behavior therapy protocol</w:t>
      </w:r>
      <w:r w:rsidR="001E2547">
        <w:rPr>
          <w:rFonts w:eastAsia="Times New Roman" w:cs="Times New Roman"/>
          <w:szCs w:val="24"/>
        </w:rPr>
        <w:t>.</w:t>
      </w:r>
    </w:p>
    <w:p w14:paraId="6E435925" w14:textId="2A0F03DC" w:rsidR="001B351D" w:rsidRDefault="00015956" w:rsidP="001B351D">
      <w:pPr>
        <w:widowControl w:val="0"/>
        <w:spacing w:line="480" w:lineRule="auto"/>
        <w:ind w:firstLine="720"/>
        <w:rPr>
          <w:rFonts w:eastAsia="Times New Roman" w:cs="Times New Roman"/>
          <w:szCs w:val="24"/>
        </w:rPr>
      </w:pPr>
      <w:r>
        <w:rPr>
          <w:rFonts w:eastAsia="Times New Roman" w:cs="Times New Roman"/>
          <w:szCs w:val="24"/>
        </w:rPr>
        <w:t>The study also evaluated the impact of AEBT-T vs. PST on automatic and focused</w:t>
      </w:r>
      <w:r w:rsidR="001B351D">
        <w:rPr>
          <w:rFonts w:eastAsia="Times New Roman" w:cs="Times New Roman"/>
          <w:szCs w:val="24"/>
        </w:rPr>
        <w:t xml:space="preserve"> pulling </w:t>
      </w:r>
      <w:r>
        <w:rPr>
          <w:rFonts w:eastAsia="Times New Roman" w:cs="Times New Roman"/>
          <w:szCs w:val="24"/>
        </w:rPr>
        <w:t>styles of the MIST-</w:t>
      </w:r>
      <w:r w:rsidR="0047594F">
        <w:rPr>
          <w:rFonts w:eastAsia="Times New Roman" w:cs="Times New Roman"/>
          <w:szCs w:val="24"/>
        </w:rPr>
        <w:t xml:space="preserve">A. </w:t>
      </w:r>
      <w:r>
        <w:rPr>
          <w:rFonts w:eastAsia="Times New Roman" w:cs="Times New Roman"/>
          <w:szCs w:val="24"/>
        </w:rPr>
        <w:t xml:space="preserve">Interestingly, results did not show a differential impact of treatment on either the automatic or focused pulling styles. Various explanations for this may be relevant. First, the MIST-A was not designed as an </w:t>
      </w:r>
      <w:r w:rsidR="00C242C2">
        <w:rPr>
          <w:rFonts w:eastAsia="Times New Roman" w:cs="Times New Roman"/>
          <w:szCs w:val="24"/>
        </w:rPr>
        <w:t xml:space="preserve">outcome </w:t>
      </w:r>
      <w:r>
        <w:rPr>
          <w:rFonts w:eastAsia="Times New Roman" w:cs="Times New Roman"/>
          <w:szCs w:val="24"/>
        </w:rPr>
        <w:t>measure, and as such, may be insensitive to change</w:t>
      </w:r>
      <w:r w:rsidR="0047594F">
        <w:rPr>
          <w:rFonts w:eastAsia="Times New Roman" w:cs="Times New Roman"/>
          <w:szCs w:val="24"/>
        </w:rPr>
        <w:t xml:space="preserve">. </w:t>
      </w:r>
      <w:r>
        <w:rPr>
          <w:rFonts w:eastAsia="Times New Roman" w:cs="Times New Roman"/>
          <w:szCs w:val="24"/>
        </w:rPr>
        <w:t>Second, more recent research has called into question the adequacy of the automatic-focused conceptualization of TTM subtypes (</w:t>
      </w:r>
      <w:r w:rsidR="00795ACE">
        <w:rPr>
          <w:rFonts w:eastAsia="Times New Roman" w:cs="Times New Roman"/>
          <w:szCs w:val="24"/>
        </w:rPr>
        <w:t>Grant et al., 2021</w:t>
      </w:r>
      <w:r>
        <w:rPr>
          <w:rFonts w:eastAsia="Times New Roman" w:cs="Times New Roman"/>
          <w:szCs w:val="24"/>
        </w:rPr>
        <w:t>)</w:t>
      </w:r>
      <w:r w:rsidR="0047594F">
        <w:rPr>
          <w:rFonts w:eastAsia="Times New Roman" w:cs="Times New Roman"/>
          <w:szCs w:val="24"/>
        </w:rPr>
        <w:t xml:space="preserve">. </w:t>
      </w:r>
      <w:r>
        <w:rPr>
          <w:rFonts w:eastAsia="Times New Roman" w:cs="Times New Roman"/>
          <w:szCs w:val="24"/>
        </w:rPr>
        <w:t xml:space="preserve">These more recent data suggest that TTM may be better conceptualized as having three primary subtypes, including (a) sensory-sensitive, (b) low-awareness, and (c) impulsive-perfectionistic. It would be interesting to determine if AEBT-TTM and PST effects separated </w:t>
      </w:r>
      <w:r w:rsidR="00C67FF0">
        <w:rPr>
          <w:rFonts w:eastAsia="Times New Roman" w:cs="Times New Roman"/>
          <w:szCs w:val="24"/>
        </w:rPr>
        <w:t xml:space="preserve">on </w:t>
      </w:r>
      <w:r>
        <w:rPr>
          <w:rFonts w:eastAsia="Times New Roman" w:cs="Times New Roman"/>
          <w:szCs w:val="24"/>
        </w:rPr>
        <w:t>one or more of these subtypes.</w:t>
      </w:r>
    </w:p>
    <w:p w14:paraId="4DB3AD23" w14:textId="6399F0BF" w:rsidR="007018D7" w:rsidRDefault="009F70F8" w:rsidP="00757BC1">
      <w:pPr>
        <w:widowControl w:val="0"/>
        <w:spacing w:line="480" w:lineRule="auto"/>
        <w:ind w:firstLine="720"/>
        <w:rPr>
          <w:rFonts w:eastAsia="Times New Roman" w:cs="Times New Roman"/>
          <w:szCs w:val="24"/>
        </w:rPr>
      </w:pPr>
      <w:r>
        <w:rPr>
          <w:rFonts w:eastAsia="Times New Roman" w:cs="Times New Roman"/>
          <w:szCs w:val="24"/>
        </w:rPr>
        <w:t>In this regard</w:t>
      </w:r>
      <w:r w:rsidR="00561DD9" w:rsidRPr="009F70F8">
        <w:rPr>
          <w:rFonts w:eastAsia="Times New Roman" w:cs="Times New Roman"/>
          <w:szCs w:val="24"/>
        </w:rPr>
        <w:t xml:space="preserve">, </w:t>
      </w:r>
      <w:r w:rsidR="00795ACE">
        <w:rPr>
          <w:rFonts w:eastAsia="Times New Roman" w:cs="Times New Roman"/>
          <w:szCs w:val="24"/>
        </w:rPr>
        <w:t>various</w:t>
      </w:r>
      <w:r w:rsidR="00561DD9">
        <w:rPr>
          <w:rFonts w:eastAsia="Times New Roman" w:cs="Times New Roman"/>
          <w:szCs w:val="24"/>
        </w:rPr>
        <w:t xml:space="preserve"> avenues exist for future research. </w:t>
      </w:r>
      <w:r w:rsidR="007560B9">
        <w:rPr>
          <w:rFonts w:eastAsia="Times New Roman" w:cs="Times New Roman"/>
          <w:szCs w:val="24"/>
        </w:rPr>
        <w:t>First, research should seek to determine</w:t>
      </w:r>
      <w:r w:rsidR="00C242C2">
        <w:rPr>
          <w:rFonts w:eastAsia="Times New Roman" w:cs="Times New Roman"/>
          <w:szCs w:val="24"/>
        </w:rPr>
        <w:t xml:space="preserve"> for whom and under what conditions AEBT-TTM is most effective. </w:t>
      </w:r>
      <w:r w:rsidR="00775E75">
        <w:rPr>
          <w:rFonts w:eastAsia="Times New Roman" w:cs="Times New Roman"/>
          <w:szCs w:val="24"/>
        </w:rPr>
        <w:t>Y</w:t>
      </w:r>
      <w:r w:rsidR="00C242C2">
        <w:rPr>
          <w:rFonts w:eastAsia="Times New Roman" w:cs="Times New Roman"/>
          <w:szCs w:val="24"/>
        </w:rPr>
        <w:t xml:space="preserve">et another is to </w:t>
      </w:r>
      <w:r w:rsidR="00561DD9">
        <w:rPr>
          <w:rFonts w:eastAsia="Times New Roman" w:cs="Times New Roman"/>
          <w:szCs w:val="24"/>
        </w:rPr>
        <w:t xml:space="preserve">explore mechanisms of </w:t>
      </w:r>
      <w:r w:rsidR="00561DD9" w:rsidRPr="00627E2A">
        <w:rPr>
          <w:rFonts w:eastAsia="Times New Roman" w:cs="Times New Roman"/>
          <w:szCs w:val="24"/>
        </w:rPr>
        <w:t>therapeutic change that may isolate</w:t>
      </w:r>
      <w:r w:rsidR="008C16B1" w:rsidRPr="00627E2A">
        <w:rPr>
          <w:rFonts w:eastAsia="Times New Roman" w:cs="Times New Roman"/>
          <w:szCs w:val="24"/>
        </w:rPr>
        <w:t xml:space="preserve"> </w:t>
      </w:r>
      <w:r w:rsidR="00561DD9" w:rsidRPr="00627E2A">
        <w:rPr>
          <w:rFonts w:eastAsia="Times New Roman" w:cs="Times New Roman"/>
          <w:szCs w:val="24"/>
        </w:rPr>
        <w:t>and enhance factors responsible for treatment response. One of the mec</w:t>
      </w:r>
      <w:r w:rsidR="00515C8A" w:rsidRPr="00627E2A">
        <w:rPr>
          <w:rFonts w:eastAsia="Times New Roman" w:cs="Times New Roman"/>
          <w:szCs w:val="24"/>
        </w:rPr>
        <w:t xml:space="preserve">hanisms frequently discussed as responsible for </w:t>
      </w:r>
      <w:r w:rsidR="00561DD9" w:rsidRPr="00627E2A">
        <w:rPr>
          <w:rFonts w:eastAsia="Times New Roman" w:cs="Times New Roman"/>
          <w:szCs w:val="24"/>
        </w:rPr>
        <w:t>the relationship b</w:t>
      </w:r>
      <w:r w:rsidR="00757BC1" w:rsidRPr="00627E2A">
        <w:rPr>
          <w:rFonts w:eastAsia="Times New Roman" w:cs="Times New Roman"/>
          <w:szCs w:val="24"/>
        </w:rPr>
        <w:t>etween negative emotion and TTM</w:t>
      </w:r>
      <w:r w:rsidR="00561DD9" w:rsidRPr="00627E2A">
        <w:rPr>
          <w:rFonts w:eastAsia="Times New Roman" w:cs="Times New Roman"/>
          <w:szCs w:val="24"/>
        </w:rPr>
        <w:t xml:space="preserve"> is psychological flexibility</w:t>
      </w:r>
      <w:r w:rsidR="00331F63">
        <w:rPr>
          <w:rFonts w:eastAsia="Times New Roman" w:cs="Times New Roman"/>
          <w:szCs w:val="24"/>
        </w:rPr>
        <w:t xml:space="preserve"> (i.e., the willingness </w:t>
      </w:r>
      <w:r w:rsidR="00331F63">
        <w:rPr>
          <w:rFonts w:eastAsia="Times New Roman" w:cs="Times New Roman"/>
          <w:szCs w:val="24"/>
        </w:rPr>
        <w:lastRenderedPageBreak/>
        <w:t>to have internal experiences without attempting to change them</w:t>
      </w:r>
      <w:r w:rsidR="00A1284D">
        <w:rPr>
          <w:rFonts w:eastAsia="Times New Roman" w:cs="Times New Roman"/>
          <w:szCs w:val="24"/>
        </w:rPr>
        <w:t xml:space="preserve"> </w:t>
      </w:r>
      <w:r w:rsidR="007018D7" w:rsidRPr="00627E2A">
        <w:rPr>
          <w:rFonts w:eastAsia="Times New Roman" w:cs="Times New Roman"/>
          <w:szCs w:val="24"/>
        </w:rPr>
        <w:fldChar w:fldCharType="begin" w:fldLock="1"/>
      </w:r>
      <w:r w:rsidR="00C064BE">
        <w:rPr>
          <w:rFonts w:eastAsia="Times New Roman" w:cs="Times New Roman"/>
          <w:szCs w:val="24"/>
        </w:rPr>
        <w:instrText>ADDIN CSL_CITATION {"citationItems":[{"id":"ITEM-1","itemData":{"DOI":"10.1016/j.psychres.2014.08.003","ISBN":"0165-1781(Print)","ISSN":"18727123","PMID":"25155941","abstract":"Psychological Inflexibility (PI) is a construct that has gained recent attention as a critical theoretical component of Acceptance and Commitment Therapy (ACT). PI is typically measured by the Acceptance and Action Questionnaire-II (AAQ-II). However, the AAQ-II has shown questionable reliability in clinical populations with specific diagnoses, leading to the creation of content-specific versions of the AAQ-II that show stronger psychometric properties in their target populations. A growing body of the literature suggests that PI processes may contribute to hair pulling, and the current study sought to examine the psychometric properties and utility of a Trichotillomania-specific version of the AAQ-II, the AAQ-TTM. A referred sample of 90 individuals completed a battery of assessments as part of a randomized clinical trial of Acceptance-Enhanced Behavior Therapy for Trichotillomania. Results showed that the AAQ-TTM has two intercorrelated factors, adequate reliability, concurrent validity, and incremental validity over the AAQ-II. Furthermore, mediational analysis between emotional variables and hair pulling outcomes provides support for using the AAQ-TTM to measure the therapeutic process. Implications for the use of this measure will be discussed, including the need to further investigate the role of PI processes in Trichotillomania.","author":[{"dropping-particle":"","family":"Houghton","given":"David C.","non-dropping-particle":"","parse-names":false,"suffix":""},{"dropping-particle":"","family":"Compton","given":"Scott N.","non-dropping-particle":"","parse-names":false,"suffix":""},{"dropping-particle":"","family":"Twohig","given":"Michael P.","non-dropping-particle":"","parse-names":false,"suffix":""},{"dropping-particle":"","family":"Saunders","given":"Stephen M.","non-dropping-particle":"","parse-names":false,"suffix":""},{"dropping-particle":"","family":"Franklin","given":"Martin E.","non-dropping-particle":"","parse-names":false,"suffix":""},{"dropping-particle":"","family":"Neal-Barnett","given":"Angela M.","non-dropping-particle":"","parse-names":false,"suffix":""},{"dropping-particle":"","family":"Ely","given":"Laura","non-dropping-particle":"","parse-names":false,"suffix":""},{"dropping-particle":"","family":"Capriotti","given":"Matthew R.","non-dropping-particle":"","parse-names":false,"suffix":""},{"dropping-particle":"","family":"Woods","given":"Douglas W.","non-dropping-particle":"","parse-names":false,"suffix":""}],"container-title":"Psychiatry Research","id":"ITEM-1","issue":"1","issued":{"date-parts":[["2014"]]},"page":"356-361","title":"Measuring the role of psychological inflexibility in trichotillomania","type":"article-journal","volume":"220"},"uris":["http://www.mendeley.com/documents/?uuid=7134c85e-e131-4030-821d-a694a507aad2"]}],"mendeley":{"formattedCitation":"(Houghton et al., 2014)","plainTextFormattedCitation":"(Houghton et al., 2014)","previouslyFormattedCitation":"(Houghton et al., 2014)"},"properties":{"noteIndex":0},"schema":"https://github.com/citation-style-language/schema/raw/master/csl-citation.json"}</w:instrText>
      </w:r>
      <w:r w:rsidR="007018D7" w:rsidRPr="00627E2A">
        <w:rPr>
          <w:rFonts w:eastAsia="Times New Roman" w:cs="Times New Roman"/>
          <w:szCs w:val="24"/>
        </w:rPr>
        <w:fldChar w:fldCharType="separate"/>
      </w:r>
      <w:r w:rsidR="00C064BE" w:rsidRPr="00C064BE">
        <w:rPr>
          <w:rFonts w:eastAsia="Times New Roman" w:cs="Times New Roman"/>
          <w:noProof/>
          <w:szCs w:val="24"/>
        </w:rPr>
        <w:t>(Houghton et al., 2014)</w:t>
      </w:r>
      <w:r w:rsidR="007018D7" w:rsidRPr="00627E2A">
        <w:rPr>
          <w:rFonts w:eastAsia="Times New Roman" w:cs="Times New Roman"/>
          <w:szCs w:val="24"/>
        </w:rPr>
        <w:fldChar w:fldCharType="end"/>
      </w:r>
      <w:r w:rsidR="00A1284D">
        <w:rPr>
          <w:rFonts w:eastAsia="Times New Roman" w:cs="Times New Roman"/>
          <w:szCs w:val="24"/>
        </w:rPr>
        <w:t>.</w:t>
      </w:r>
      <w:r w:rsidR="00515C8A" w:rsidRPr="00627E2A">
        <w:rPr>
          <w:rFonts w:eastAsia="Times New Roman" w:cs="Times New Roman"/>
          <w:szCs w:val="24"/>
        </w:rPr>
        <w:t xml:space="preserve"> Confirmation that </w:t>
      </w:r>
      <w:r w:rsidR="00EB5CE0">
        <w:rPr>
          <w:rFonts w:eastAsia="Times New Roman" w:cs="Times New Roman"/>
          <w:szCs w:val="24"/>
        </w:rPr>
        <w:t>changes in this</w:t>
      </w:r>
      <w:r w:rsidR="00561DD9" w:rsidRPr="00627E2A">
        <w:rPr>
          <w:rFonts w:eastAsia="Times New Roman" w:cs="Times New Roman"/>
          <w:szCs w:val="24"/>
        </w:rPr>
        <w:t xml:space="preserve"> and other mechanisms are responsible for therapeutic change will</w:t>
      </w:r>
      <w:r w:rsidR="00757BC1" w:rsidRPr="00627E2A">
        <w:rPr>
          <w:rFonts w:eastAsia="Times New Roman" w:cs="Times New Roman"/>
          <w:szCs w:val="24"/>
        </w:rPr>
        <w:t xml:space="preserve"> </w:t>
      </w:r>
      <w:r>
        <w:rPr>
          <w:rFonts w:eastAsia="Times New Roman" w:cs="Times New Roman"/>
          <w:szCs w:val="24"/>
        </w:rPr>
        <w:t>facilitate</w:t>
      </w:r>
      <w:r w:rsidR="00757BC1">
        <w:rPr>
          <w:rFonts w:eastAsia="Times New Roman" w:cs="Times New Roman"/>
          <w:szCs w:val="24"/>
        </w:rPr>
        <w:t xml:space="preserve"> refine</w:t>
      </w:r>
      <w:r>
        <w:rPr>
          <w:rFonts w:eastAsia="Times New Roman" w:cs="Times New Roman"/>
          <w:szCs w:val="24"/>
        </w:rPr>
        <w:t>ment of</w:t>
      </w:r>
      <w:r w:rsidR="00757BC1">
        <w:rPr>
          <w:rFonts w:eastAsia="Times New Roman" w:cs="Times New Roman"/>
          <w:szCs w:val="24"/>
        </w:rPr>
        <w:t xml:space="preserve"> existing</w:t>
      </w:r>
      <w:r w:rsidR="00C67FF0">
        <w:rPr>
          <w:rFonts w:eastAsia="Times New Roman" w:cs="Times New Roman"/>
          <w:szCs w:val="24"/>
        </w:rPr>
        <w:t>,</w:t>
      </w:r>
      <w:r>
        <w:rPr>
          <w:rFonts w:eastAsia="Times New Roman" w:cs="Times New Roman"/>
          <w:szCs w:val="24"/>
        </w:rPr>
        <w:t xml:space="preserve"> </w:t>
      </w:r>
      <w:r w:rsidR="00757BC1">
        <w:rPr>
          <w:rFonts w:eastAsia="Times New Roman" w:cs="Times New Roman"/>
          <w:szCs w:val="24"/>
        </w:rPr>
        <w:t>and develop</w:t>
      </w:r>
      <w:r>
        <w:rPr>
          <w:rFonts w:eastAsia="Times New Roman" w:cs="Times New Roman"/>
          <w:szCs w:val="24"/>
        </w:rPr>
        <w:t>ment of</w:t>
      </w:r>
      <w:r w:rsidR="00757BC1">
        <w:rPr>
          <w:rFonts w:eastAsia="Times New Roman" w:cs="Times New Roman"/>
          <w:szCs w:val="24"/>
        </w:rPr>
        <w:t xml:space="preserve"> new</w:t>
      </w:r>
      <w:r w:rsidR="00561DD9">
        <w:rPr>
          <w:rFonts w:eastAsia="Times New Roman" w:cs="Times New Roman"/>
          <w:szCs w:val="24"/>
        </w:rPr>
        <w:t xml:space="preserve"> treatment techniques t</w:t>
      </w:r>
      <w:r>
        <w:rPr>
          <w:rFonts w:eastAsia="Times New Roman" w:cs="Times New Roman"/>
          <w:szCs w:val="24"/>
        </w:rPr>
        <w:t>hat</w:t>
      </w:r>
      <w:r w:rsidR="00561DD9">
        <w:rPr>
          <w:rFonts w:eastAsia="Times New Roman" w:cs="Times New Roman"/>
          <w:szCs w:val="24"/>
        </w:rPr>
        <w:t xml:space="preserve"> more effectively alter these mechanisms. </w:t>
      </w:r>
      <w:r w:rsidR="003D6ED2">
        <w:rPr>
          <w:rFonts w:eastAsia="Times New Roman" w:cs="Times New Roman"/>
          <w:szCs w:val="24"/>
        </w:rPr>
        <w:t>Finally</w:t>
      </w:r>
      <w:r w:rsidR="00561DD9">
        <w:rPr>
          <w:rFonts w:eastAsia="Times New Roman" w:cs="Times New Roman"/>
          <w:szCs w:val="24"/>
        </w:rPr>
        <w:t>, r</w:t>
      </w:r>
      <w:r w:rsidR="00561DD9" w:rsidRPr="007B5AB1">
        <w:rPr>
          <w:rFonts w:eastAsia="Times New Roman" w:cs="Times New Roman"/>
          <w:szCs w:val="24"/>
        </w:rPr>
        <w:t>e</w:t>
      </w:r>
      <w:r w:rsidR="00561DD9">
        <w:rPr>
          <w:rFonts w:eastAsia="Times New Roman" w:cs="Times New Roman"/>
          <w:szCs w:val="24"/>
        </w:rPr>
        <w:t>search should continue to identify</w:t>
      </w:r>
      <w:r w:rsidR="00757BC1">
        <w:rPr>
          <w:rFonts w:eastAsia="Times New Roman" w:cs="Times New Roman"/>
          <w:szCs w:val="24"/>
        </w:rPr>
        <w:t xml:space="preserve"> possible neural and</w:t>
      </w:r>
      <w:r w:rsidR="00561DD9">
        <w:rPr>
          <w:rFonts w:eastAsia="Times New Roman" w:cs="Times New Roman"/>
          <w:szCs w:val="24"/>
        </w:rPr>
        <w:t xml:space="preserve"> neuropsychological mechanisms </w:t>
      </w:r>
      <w:r w:rsidR="00CE2E00">
        <w:rPr>
          <w:rFonts w:eastAsia="Times New Roman" w:cs="Times New Roman"/>
          <w:szCs w:val="24"/>
        </w:rPr>
        <w:t>underlying</w:t>
      </w:r>
      <w:r w:rsidR="00561DD9">
        <w:rPr>
          <w:rFonts w:eastAsia="Times New Roman" w:cs="Times New Roman"/>
          <w:szCs w:val="24"/>
        </w:rPr>
        <w:t xml:space="preserve"> TTM so that existing treatments can be further refined to address additional relevant processes. </w:t>
      </w:r>
      <w:r w:rsidR="008C16B1">
        <w:rPr>
          <w:rFonts w:eastAsia="Times New Roman" w:cs="Times New Roman"/>
          <w:szCs w:val="24"/>
        </w:rPr>
        <w:t xml:space="preserve">Such processes </w:t>
      </w:r>
      <w:r w:rsidR="00561DD9">
        <w:rPr>
          <w:rFonts w:eastAsia="Times New Roman" w:cs="Times New Roman"/>
          <w:szCs w:val="24"/>
        </w:rPr>
        <w:t>may include response inhibition</w:t>
      </w:r>
      <w:r w:rsidR="00A1284D">
        <w:rPr>
          <w:rFonts w:eastAsia="Times New Roman" w:cs="Times New Roman"/>
          <w:szCs w:val="24"/>
        </w:rPr>
        <w:t xml:space="preserve"> </w:t>
      </w:r>
      <w:r w:rsidR="00561DD9">
        <w:rPr>
          <w:rFonts w:eastAsia="Times New Roman" w:cs="Times New Roman"/>
          <w:szCs w:val="24"/>
        </w:rPr>
        <w:fldChar w:fldCharType="begin" w:fldLock="1"/>
      </w:r>
      <w:r w:rsidR="00C064BE">
        <w:rPr>
          <w:rFonts w:eastAsia="Times New Roman" w:cs="Times New Roman"/>
          <w:szCs w:val="24"/>
        </w:rPr>
        <w:instrText>ADDIN CSL_CITATION {"citationItems":[{"id":"ITEM-1","itemData":{"DOI":"10.1176/appi.ajp.163.7.1282","ISBN":"0002-953X (Print)","ISSN":"0002953X","PMID":"16816237","abstract":"OBJECTIVE: Problems with inhibiting certain pathological behaviors are integral to obsessive-compulsive disorder (OCD), trichotillomania, and other putative obsessive-compulsive spectrum disorders. The authors assessed and compared motor inhibition and cognitive flexibility in OCD and trichotillomania for the first time, to their knowledge. METHOD: The Stop-Signal Task and the Intradimensiona/Extradimensional Shift Task were administered to 20 patients with OCD, 17 patients with trichotillomania, and 20 healthy comparison subjects. RESULTS: Both OCD and trichotillomania showed impaired inhibition of motor responses. For trichotillomania, the deficit was worse than for OCD, and the degree of the deficit correlated significantly with symptom severity. Only patients with OCD showed deficits in cognitive flexibility. CONCLUSIONS: Impaired inhibition of motor responses (impulsivity) was found in OCD and trichotillomania, whereas cognitive inflexibility (thought to contribute to compulsivity) was limited to OCD. This assessment will advance the characterization and classification of obsessive-compulsive spectrum disorders and aid the development of novel treatments.","author":[{"dropping-particle":"","family":"Chamberlain","given":"Samuel R.","non-dropping-particle":"","parse-names":false,"suffix":""},{"dropping-particle":"","family":"Fineberg","given":"Naomi A.","non-dropping-particle":"","parse-names":false,"suffix":""},{"dropping-particle":"","family":"Blackwell","given":"Andrew D.","non-dropping-particle":"","parse-names":false,"suffix":""},{"dropping-particle":"","family":"Robbins","given":"Trevor W.","non-dropping-particle":"","parse-names":false,"suffix":""},{"dropping-particle":"","family":"Sahakian","given":"Barbara J.","non-dropping-particle":"","parse-names":false,"suffix":""}],"container-title":"American Journal of Psychiatry","id":"ITEM-1","issue":"7","issued":{"date-parts":[["2006"]]},"page":"1282-1284","title":"Motor inhibition and cognitive flexibility in obsessive-compulsive disorder and trichotillomania","type":"article-journal","volume":"163"},"uris":["http://www.mendeley.com/documents/?uuid=7fd44d10-63bb-4d28-b43c-7b639a8aa06d"]}],"mendeley":{"formattedCitation":"(Chamberlain et al., 2006)","plainTextFormattedCitation":"(Chamberlain et al., 2006)","previouslyFormattedCitation":"(Chamberlain et al., 2006)"},"properties":{"noteIndex":0},"schema":"https://github.com/citation-style-language/schema/raw/master/csl-citation.json"}</w:instrText>
      </w:r>
      <w:r w:rsidR="00561DD9">
        <w:rPr>
          <w:rFonts w:eastAsia="Times New Roman" w:cs="Times New Roman"/>
          <w:szCs w:val="24"/>
        </w:rPr>
        <w:fldChar w:fldCharType="separate"/>
      </w:r>
      <w:r w:rsidR="00C064BE" w:rsidRPr="00C064BE">
        <w:rPr>
          <w:rFonts w:eastAsia="Times New Roman" w:cs="Times New Roman"/>
          <w:noProof/>
          <w:szCs w:val="24"/>
        </w:rPr>
        <w:t>(Chamberlain et al., 2006)</w:t>
      </w:r>
      <w:r w:rsidR="00561DD9">
        <w:rPr>
          <w:rFonts w:eastAsia="Times New Roman" w:cs="Times New Roman"/>
          <w:szCs w:val="24"/>
        </w:rPr>
        <w:fldChar w:fldCharType="end"/>
      </w:r>
      <w:r w:rsidR="00A1284D">
        <w:rPr>
          <w:rFonts w:eastAsia="Times New Roman" w:cs="Times New Roman"/>
          <w:szCs w:val="24"/>
        </w:rPr>
        <w:t>,</w:t>
      </w:r>
      <w:r w:rsidR="00561DD9">
        <w:rPr>
          <w:rFonts w:eastAsia="Times New Roman" w:cs="Times New Roman"/>
          <w:szCs w:val="24"/>
        </w:rPr>
        <w:t xml:space="preserve"> reward processing</w:t>
      </w:r>
      <w:r w:rsidR="00A1284D">
        <w:rPr>
          <w:rFonts w:eastAsia="Times New Roman" w:cs="Times New Roman"/>
          <w:szCs w:val="24"/>
        </w:rPr>
        <w:t xml:space="preserve"> </w:t>
      </w:r>
      <w:r w:rsidR="00561DD9">
        <w:rPr>
          <w:rFonts w:eastAsia="Times New Roman" w:cs="Times New Roman"/>
          <w:szCs w:val="24"/>
        </w:rPr>
        <w:fldChar w:fldCharType="begin" w:fldLock="1"/>
      </w:r>
      <w:r w:rsidR="00C064BE">
        <w:rPr>
          <w:rFonts w:eastAsia="Times New Roman" w:cs="Times New Roman"/>
          <w:szCs w:val="24"/>
        </w:rPr>
        <w:instrText>ADDIN CSL_CITATION {"citationItems":[{"id":"ITEM-1","itemData":{"DOI":"10.1016/j.jpsychires.2013.05.014","ISBN":"0022-3956","ISSN":"18791379","PMID":"23777938","abstract":"Background: The neurobiology of Trichotillomania is poorly understood, although there is increasing evidence to suggest that TTM may involve alterations of reward processing. The current study represents the first exploration of reward processing in TTM and the first resting state fMRI study in TTM. We incorporate both event-related fMRI using a monetary incentive delay (MID) task, and resting state fMRI, using two complementary resting state analysis methodologies (functional connectivity to the nucleus accumbens and dual regression within a reward network) in a pilot study to investigate differences in reward processing between TTM and healthy controls (HC). Methods: 21 unmedicated subjects with TTM and 14 HC subjects underwent resting state fMRI scans. A subset (13 TTM and 12 HC) also performed the MID task. Results: For the MID task, TTM subjects showed relatively decreased nucleus accumbens (NAcc) activation to reward anticipation, but relative over-activity of the NAcc to both gain and loss outcomes. Resting state functional connectivity analysis showed decreased connectivity of the dorsal anterior cingulate (dACC) to the NAcc in TTM. Dual regression analysis of a reward network identified through independent component analysis (ICA) also showed decreased dACC connectivity and more prominently decreased basolateral amygdala connectivity within the reward network in TTM. Conclusions: Disordered reward processing at the level of NAcc, also involving decreased modulatory input from the dACC and the basolateral amygdala may play a role in the pathophysiology of TTM. © 2013 Elsevier Ltd.","author":[{"dropping-particle":"","family":"White","given":"Matthew P.","non-dropping-particle":"","parse-names":false,"suffix":""},{"dropping-particle":"","family":"Shirer","given":"William R.","non-dropping-particle":"","parse-names":false,"suffix":""},{"dropping-particle":"","family":"Molfino","given":"Maria J.","non-dropping-particle":"","parse-names":false,"suffix":""},{"dropping-particle":"","family":"Tenison","given":"Caitlin","non-dropping-particle":"","parse-names":false,"suffix":""},{"dropping-particle":"","family":"Damoiseaux","given":"Jessica S.","non-dropping-particle":"","parse-names":false,"suffix":""},{"dropping-particle":"","family":"Greicius","given":"Michael D.","non-dropping-particle":"","parse-names":false,"suffix":""}],"container-title":"Journal of Psychiatric Research","id":"ITEM-1","issue":"9","issued":{"date-parts":[["2013"]]},"page":"1264-1272","title":"Disordered reward processing and functional connectivity in trichotillomania: A pilot study","type":"article-journal","volume":"47"},"uris":["http://www.mendeley.com/documents/?uuid=b8a198ed-334d-4566-a08f-46898ca9893e"]}],"mendeley":{"formattedCitation":"(White et al., 2013)","plainTextFormattedCitation":"(White et al., 2013)","previouslyFormattedCitation":"(White et al., 2013)"},"properties":{"noteIndex":0},"schema":"https://github.com/citation-style-language/schema/raw/master/csl-citation.json"}</w:instrText>
      </w:r>
      <w:r w:rsidR="00561DD9">
        <w:rPr>
          <w:rFonts w:eastAsia="Times New Roman" w:cs="Times New Roman"/>
          <w:szCs w:val="24"/>
        </w:rPr>
        <w:fldChar w:fldCharType="separate"/>
      </w:r>
      <w:r w:rsidR="00C064BE" w:rsidRPr="00C064BE">
        <w:rPr>
          <w:rFonts w:eastAsia="Times New Roman" w:cs="Times New Roman"/>
          <w:noProof/>
          <w:szCs w:val="24"/>
        </w:rPr>
        <w:t>(White et al., 2013)</w:t>
      </w:r>
      <w:r w:rsidR="00561DD9">
        <w:rPr>
          <w:rFonts w:eastAsia="Times New Roman" w:cs="Times New Roman"/>
          <w:szCs w:val="24"/>
        </w:rPr>
        <w:fldChar w:fldCharType="end"/>
      </w:r>
      <w:r w:rsidR="00A1284D">
        <w:rPr>
          <w:rFonts w:eastAsia="Times New Roman" w:cs="Times New Roman"/>
          <w:szCs w:val="24"/>
        </w:rPr>
        <w:t xml:space="preserve">, </w:t>
      </w:r>
      <w:r w:rsidR="00561DD9">
        <w:rPr>
          <w:rFonts w:eastAsia="Times New Roman" w:cs="Times New Roman"/>
          <w:szCs w:val="24"/>
        </w:rPr>
        <w:t>and sensorimotor functioning</w:t>
      </w:r>
      <w:r w:rsidR="00A1284D">
        <w:rPr>
          <w:rFonts w:eastAsia="Times New Roman" w:cs="Times New Roman"/>
          <w:szCs w:val="24"/>
        </w:rPr>
        <w:t xml:space="preserve"> </w:t>
      </w:r>
      <w:r w:rsidR="00561DD9">
        <w:rPr>
          <w:rFonts w:eastAsia="Times New Roman" w:cs="Times New Roman"/>
          <w:szCs w:val="24"/>
        </w:rPr>
        <w:fldChar w:fldCharType="begin" w:fldLock="1"/>
      </w:r>
      <w:r w:rsidR="00C064BE">
        <w:rPr>
          <w:rFonts w:eastAsia="Times New Roman" w:cs="Times New Roman"/>
          <w:szCs w:val="24"/>
        </w:rPr>
        <w:instrText>ADDIN CSL_CITATION {"citationItems":[{"id":"ITEM-1","itemData":{"DOI":"10.1016/j.biopsych.2006.06.013","ISBN":"0006-3223 (Print)\\r0006-3223 (Linking)","ISSN":"00063223","PMID":"16945351","abstract":"Background: Limited knowledge exists regarding the neurobiology of trichotillomania (TTM). Cerebellum (CBM) volumes were explored, given its role in complex, coordinated motor sequences. Methods: Morphometric magnetic resonance imaging (MRI) scans were obtained for 14 female subjects with DSM-IV diagnoses of TTM and 12 age-, education-, and gender-matched normal control (NC) participants. Parcellation was performed utilizing a recently developed methodology to measure subterritory volumes of the CBM. Regions were defined based on knowledge of the structural and functional subunits of the CBM. Results: As predicted, significant group differences were reported for CBM raw cortical volumes (p = .008) that survived correction for total brain volume (TBV; p = .037) and head circumference (HC; p = .011). A priori and post hoc group raw volume comparisons for CBM subterritories and functional clusters revealed many significant differences. However, most differences failed to withstand correction for total CBM volumes (TCV). Smaller volumes were consistently reported for the TTM versus NC cohorts. Total Massachusetts General Hospital Hair Pulling Scale (MGHHPS) scores were significantly inversely correlated with left primary sensorimotor cluster volumes (p = .008), with smaller volumes associated with more severe TTM symptoms. Conclusions: These findings implicate the CBM in the neurobiology of TTM, with reduced subterritory volumes reported for the TTM versus NC groups. © 2007 Society of Biological Psychiatry.","author":[{"dropping-particle":"","family":"Keuthen","given":"Nancy J.","non-dropping-particle":"","parse-names":false,"suffix":""},{"dropping-particle":"","family":"Makris","given":"Nikos","non-dropping-particle":"","parse-names":false,"suffix":""},{"dropping-particle":"","family":"Schlerf","given":"John E.","non-dropping-particle":"","parse-names":false,"suffix":""},{"dropping-particle":"","family":"Martis","given":"Brian","non-dropping-particle":"","parse-names":false,"suffix":""},{"dropping-particle":"","family":"Savage","given":"Cary R.","non-dropping-particle":"","parse-names":false,"suffix":""},{"dropping-particle":"","family":"McMullin","given":"Katherine","non-dropping-particle":"","parse-names":false,"suffix":""},{"dropping-particle":"","family":"Seidman","given":"Larry J.","non-dropping-particle":"","parse-names":false,"suffix":""},{"dropping-particle":"","family":"Schmahmann","given":"Jeremy D.","non-dropping-particle":"","parse-names":false,"suffix":""},{"dropping-particle":"","family":"Kennedy","given":"David N.","non-dropping-particle":"","parse-names":false,"suffix":""},{"dropping-particle":"","family":"Hodge","given":"Steven M.","non-dropping-particle":"","parse-names":false,"suffix":""},{"dropping-particle":"","family":"Rauch","given":"Scott L.","non-dropping-particle":"","parse-names":false,"suffix":""}],"container-title":"Biological Psychiatry","id":"ITEM-1","issue":"3","issued":{"date-parts":[["2007"]]},"page":"374-381","title":"Evidence for reduced cerebellar volumes in trichotillomania","type":"article-journal","volume":"61"},"uris":["http://www.mendeley.com/documents/?uuid=e0f9533a-e3e8-4268-b9f7-825ee0ff5401"]}],"mendeley":{"formattedCitation":"(Keuthen et al., 2007)","plainTextFormattedCitation":"(Keuthen et al., 2007)","previouslyFormattedCitation":"(Keuthen et al., 2007)"},"properties":{"noteIndex":0},"schema":"https://github.com/citation-style-language/schema/raw/master/csl-citation.json"}</w:instrText>
      </w:r>
      <w:r w:rsidR="00561DD9">
        <w:rPr>
          <w:rFonts w:eastAsia="Times New Roman" w:cs="Times New Roman"/>
          <w:szCs w:val="24"/>
        </w:rPr>
        <w:fldChar w:fldCharType="separate"/>
      </w:r>
      <w:r w:rsidR="00C064BE" w:rsidRPr="00C064BE">
        <w:rPr>
          <w:rFonts w:eastAsia="Times New Roman" w:cs="Times New Roman"/>
          <w:noProof/>
          <w:szCs w:val="24"/>
        </w:rPr>
        <w:t>(Keuthen et al., 2007)</w:t>
      </w:r>
      <w:r w:rsidR="00561DD9">
        <w:rPr>
          <w:rFonts w:eastAsia="Times New Roman" w:cs="Times New Roman"/>
          <w:szCs w:val="24"/>
        </w:rPr>
        <w:fldChar w:fldCharType="end"/>
      </w:r>
      <w:r w:rsidR="00A1284D">
        <w:rPr>
          <w:rFonts w:eastAsia="Times New Roman" w:cs="Times New Roman"/>
          <w:szCs w:val="24"/>
        </w:rPr>
        <w:t>.</w:t>
      </w:r>
    </w:p>
    <w:p w14:paraId="1C9441C7" w14:textId="530BA1B3" w:rsidR="008D5D9C" w:rsidRDefault="009F70F8" w:rsidP="008D5D9C">
      <w:pPr>
        <w:widowControl w:val="0"/>
        <w:spacing w:line="480" w:lineRule="auto"/>
        <w:ind w:firstLine="720"/>
        <w:rPr>
          <w:rFonts w:eastAsia="Times New Roman" w:cs="Times New Roman"/>
          <w:szCs w:val="24"/>
        </w:rPr>
      </w:pPr>
      <w:r>
        <w:rPr>
          <w:rFonts w:eastAsia="Times New Roman" w:cs="Times New Roman"/>
          <w:szCs w:val="24"/>
        </w:rPr>
        <w:t xml:space="preserve">As this was the first study to show the superiority of behavior therapy over supportive therapy for TTM, </w:t>
      </w:r>
      <w:r w:rsidR="00C67FF0">
        <w:rPr>
          <w:rFonts w:eastAsia="Times New Roman" w:cs="Times New Roman"/>
          <w:szCs w:val="24"/>
        </w:rPr>
        <w:t>future</w:t>
      </w:r>
      <w:r>
        <w:rPr>
          <w:rFonts w:eastAsia="Times New Roman" w:cs="Times New Roman"/>
          <w:szCs w:val="24"/>
        </w:rPr>
        <w:t xml:space="preserve"> work should </w:t>
      </w:r>
      <w:r w:rsidR="00C67FF0">
        <w:rPr>
          <w:rFonts w:eastAsia="Times New Roman" w:cs="Times New Roman"/>
          <w:szCs w:val="24"/>
        </w:rPr>
        <w:t>seek to replicate the findings. Likewise,</w:t>
      </w:r>
      <w:r>
        <w:rPr>
          <w:rFonts w:eastAsia="Times New Roman" w:cs="Times New Roman"/>
          <w:szCs w:val="24"/>
        </w:rPr>
        <w:t xml:space="preserve"> attempts to study effective dissemination strategies for AEBT-TTM should begin. With the goal of making effective treatment broadly available, it may be that acceptance-based procedures do not add incremental value beyond the traditional behavior therapy protocols. </w:t>
      </w:r>
      <w:r w:rsidR="001F3D5A">
        <w:rPr>
          <w:rFonts w:eastAsia="Times New Roman" w:cs="Times New Roman"/>
          <w:szCs w:val="24"/>
        </w:rPr>
        <w:t>As</w:t>
      </w:r>
      <w:r>
        <w:rPr>
          <w:rFonts w:eastAsia="Times New Roman" w:cs="Times New Roman"/>
          <w:szCs w:val="24"/>
        </w:rPr>
        <w:t xml:space="preserve"> the uptake of simpler procedures will likely be greater</w:t>
      </w:r>
      <w:r w:rsidR="001F3D5A">
        <w:rPr>
          <w:rFonts w:eastAsia="Times New Roman" w:cs="Times New Roman"/>
          <w:szCs w:val="24"/>
        </w:rPr>
        <w:t>, f</w:t>
      </w:r>
      <w:r>
        <w:rPr>
          <w:rFonts w:eastAsia="Times New Roman" w:cs="Times New Roman"/>
          <w:szCs w:val="24"/>
        </w:rPr>
        <w:t xml:space="preserve">uture research should also attempt to determine the additive impact of the acceptance-based procedures beyond the traditional HRT+SC procedures. </w:t>
      </w:r>
    </w:p>
    <w:p w14:paraId="57B57AA3" w14:textId="1B0429FF" w:rsidR="002769CC" w:rsidRDefault="008D5D9C" w:rsidP="008D5D9C">
      <w:pPr>
        <w:widowControl w:val="0"/>
        <w:spacing w:line="480" w:lineRule="auto"/>
        <w:ind w:firstLine="720"/>
        <w:rPr>
          <w:rFonts w:eastAsia="Times New Roman" w:cs="Times New Roman"/>
          <w:szCs w:val="24"/>
        </w:rPr>
      </w:pPr>
      <w:r>
        <w:rPr>
          <w:rFonts w:eastAsia="Times New Roman" w:cs="Times New Roman"/>
          <w:szCs w:val="24"/>
        </w:rPr>
        <w:t xml:space="preserve">This study has some limitations worth noting. </w:t>
      </w:r>
      <w:r w:rsidR="00E321B9">
        <w:rPr>
          <w:rFonts w:eastAsia="Times New Roman" w:cs="Times New Roman"/>
          <w:szCs w:val="24"/>
        </w:rPr>
        <w:t>First</w:t>
      </w:r>
      <w:r>
        <w:rPr>
          <w:rFonts w:eastAsia="Times New Roman" w:cs="Times New Roman"/>
          <w:szCs w:val="24"/>
        </w:rPr>
        <w:t xml:space="preserve">, </w:t>
      </w:r>
      <w:r w:rsidR="001043A9">
        <w:rPr>
          <w:rFonts w:eastAsia="Times New Roman" w:cs="Times New Roman"/>
          <w:szCs w:val="24"/>
        </w:rPr>
        <w:t>this was a single-</w:t>
      </w:r>
      <w:r w:rsidR="00FC5D52">
        <w:rPr>
          <w:rFonts w:eastAsia="Times New Roman" w:cs="Times New Roman"/>
          <w:szCs w:val="24"/>
        </w:rPr>
        <w:t>site study</w:t>
      </w:r>
      <w:r w:rsidR="00F50336">
        <w:rPr>
          <w:rFonts w:eastAsia="Times New Roman" w:cs="Times New Roman"/>
          <w:szCs w:val="24"/>
        </w:rPr>
        <w:t xml:space="preserve">, which </w:t>
      </w:r>
      <w:r w:rsidR="001043A9">
        <w:rPr>
          <w:rFonts w:eastAsia="Times New Roman" w:cs="Times New Roman"/>
          <w:szCs w:val="24"/>
        </w:rPr>
        <w:t xml:space="preserve">inherently </w:t>
      </w:r>
      <w:r w:rsidR="00F50336">
        <w:rPr>
          <w:rFonts w:eastAsia="Times New Roman" w:cs="Times New Roman"/>
          <w:szCs w:val="24"/>
        </w:rPr>
        <w:t>suggests th</w:t>
      </w:r>
      <w:r w:rsidR="001043A9">
        <w:rPr>
          <w:rFonts w:eastAsia="Times New Roman" w:cs="Times New Roman"/>
          <w:szCs w:val="24"/>
        </w:rPr>
        <w:t>at the</w:t>
      </w:r>
      <w:r w:rsidR="00F50336">
        <w:rPr>
          <w:rFonts w:eastAsia="Times New Roman" w:cs="Times New Roman"/>
          <w:szCs w:val="24"/>
        </w:rPr>
        <w:t xml:space="preserve"> generalizability of the present study’s results</w:t>
      </w:r>
      <w:r w:rsidR="001043A9">
        <w:rPr>
          <w:rFonts w:eastAsia="Times New Roman" w:cs="Times New Roman"/>
          <w:szCs w:val="24"/>
        </w:rPr>
        <w:t xml:space="preserve"> may be limited</w:t>
      </w:r>
      <w:r w:rsidR="00FC5D52">
        <w:rPr>
          <w:rFonts w:eastAsia="Times New Roman" w:cs="Times New Roman"/>
          <w:szCs w:val="24"/>
        </w:rPr>
        <w:t xml:space="preserve">. </w:t>
      </w:r>
      <w:r w:rsidR="00F50336">
        <w:rPr>
          <w:rFonts w:eastAsia="Times New Roman" w:cs="Times New Roman"/>
          <w:szCs w:val="24"/>
        </w:rPr>
        <w:t>Another limitation of this study was that</w:t>
      </w:r>
      <w:r w:rsidR="00FC5D52">
        <w:rPr>
          <w:rFonts w:eastAsia="Times New Roman" w:cs="Times New Roman"/>
          <w:szCs w:val="24"/>
        </w:rPr>
        <w:t xml:space="preserve"> interrater reliability was not determined.</w:t>
      </w:r>
      <w:r w:rsidR="005E58EB">
        <w:rPr>
          <w:rFonts w:eastAsia="Times New Roman" w:cs="Times New Roman"/>
          <w:szCs w:val="24"/>
        </w:rPr>
        <w:t xml:space="preserve"> </w:t>
      </w:r>
      <w:r w:rsidR="00F50336">
        <w:rPr>
          <w:rFonts w:eastAsia="Times New Roman" w:cs="Times New Roman"/>
          <w:szCs w:val="24"/>
        </w:rPr>
        <w:t xml:space="preserve">However, the independent evaluators in this study received advanced </w:t>
      </w:r>
      <w:r w:rsidR="001043A9">
        <w:rPr>
          <w:rFonts w:eastAsia="Times New Roman" w:cs="Times New Roman"/>
          <w:szCs w:val="24"/>
        </w:rPr>
        <w:t xml:space="preserve">assessment </w:t>
      </w:r>
      <w:r w:rsidR="00F50336">
        <w:rPr>
          <w:rFonts w:eastAsia="Times New Roman" w:cs="Times New Roman"/>
          <w:szCs w:val="24"/>
        </w:rPr>
        <w:t xml:space="preserve">training </w:t>
      </w:r>
      <w:r w:rsidR="001043A9">
        <w:rPr>
          <w:rFonts w:eastAsia="Times New Roman" w:cs="Times New Roman"/>
          <w:szCs w:val="24"/>
        </w:rPr>
        <w:t>prior to</w:t>
      </w:r>
      <w:r w:rsidR="00F50336">
        <w:rPr>
          <w:rFonts w:eastAsia="Times New Roman" w:cs="Times New Roman"/>
          <w:szCs w:val="24"/>
        </w:rPr>
        <w:t xml:space="preserve"> administering measures for this study. </w:t>
      </w:r>
      <w:r w:rsidR="001043A9">
        <w:rPr>
          <w:rFonts w:eastAsia="Times New Roman" w:cs="Times New Roman"/>
          <w:szCs w:val="24"/>
        </w:rPr>
        <w:t>F</w:t>
      </w:r>
      <w:r w:rsidR="005E58EB">
        <w:rPr>
          <w:rFonts w:eastAsia="Times New Roman" w:cs="Times New Roman"/>
          <w:szCs w:val="24"/>
        </w:rPr>
        <w:t xml:space="preserve">uture research </w:t>
      </w:r>
      <w:r w:rsidR="001043A9">
        <w:rPr>
          <w:rFonts w:eastAsia="Times New Roman" w:cs="Times New Roman"/>
          <w:szCs w:val="24"/>
        </w:rPr>
        <w:t>should work to</w:t>
      </w:r>
      <w:r w:rsidR="005E58EB">
        <w:rPr>
          <w:rFonts w:eastAsia="Times New Roman" w:cs="Times New Roman"/>
          <w:szCs w:val="24"/>
        </w:rPr>
        <w:t xml:space="preserve"> improve upon these limitations.</w:t>
      </w:r>
    </w:p>
    <w:p w14:paraId="75859958" w14:textId="77777777" w:rsidR="002769CC" w:rsidRDefault="002769CC">
      <w:pPr>
        <w:spacing w:after="200" w:line="276" w:lineRule="auto"/>
        <w:rPr>
          <w:rFonts w:eastAsia="Times New Roman" w:cs="Times New Roman"/>
          <w:szCs w:val="24"/>
        </w:rPr>
      </w:pPr>
      <w:r>
        <w:rPr>
          <w:rFonts w:eastAsia="Times New Roman" w:cs="Times New Roman"/>
          <w:szCs w:val="24"/>
        </w:rPr>
        <w:br w:type="page"/>
      </w:r>
    </w:p>
    <w:p w14:paraId="5DCBFDD7" w14:textId="77777777" w:rsidR="002769CC" w:rsidRDefault="002769CC" w:rsidP="002769CC">
      <w:pPr>
        <w:pStyle w:val="Heading1"/>
        <w:spacing w:line="480" w:lineRule="auto"/>
      </w:pPr>
      <w:r>
        <w:lastRenderedPageBreak/>
        <w:t>Acknowledgements</w:t>
      </w:r>
    </w:p>
    <w:p w14:paraId="0E2C3EFB" w14:textId="77777777" w:rsidR="002769CC" w:rsidRDefault="002769CC" w:rsidP="002769CC">
      <w:pPr>
        <w:widowControl w:val="0"/>
        <w:spacing w:line="480" w:lineRule="auto"/>
        <w:ind w:firstLine="720"/>
        <w:rPr>
          <w:rFonts w:eastAsia="Times New Roman" w:cs="Times New Roman"/>
          <w:szCs w:val="24"/>
        </w:rPr>
      </w:pPr>
      <w:r w:rsidRPr="00C12522">
        <w:rPr>
          <w:rFonts w:eastAsia="Times New Roman" w:cs="Times New Roman"/>
          <w:szCs w:val="24"/>
        </w:rPr>
        <w:t xml:space="preserve">Research reported in this publication was supported by </w:t>
      </w:r>
      <w:r>
        <w:rPr>
          <w:rFonts w:eastAsia="Times New Roman" w:cs="Times New Roman"/>
          <w:szCs w:val="24"/>
        </w:rPr>
        <w:t>the National Institute of Mental Health</w:t>
      </w:r>
      <w:r w:rsidRPr="00C12522">
        <w:rPr>
          <w:rFonts w:eastAsia="Times New Roman" w:cs="Times New Roman"/>
          <w:szCs w:val="24"/>
        </w:rPr>
        <w:t xml:space="preserve"> of the National Institutes of Health under award number </w:t>
      </w:r>
      <w:r w:rsidRPr="00E43C40">
        <w:rPr>
          <w:rFonts w:eastAsia="Times New Roman" w:cs="Times New Roman"/>
          <w:szCs w:val="24"/>
        </w:rPr>
        <w:t>R01MH080966</w:t>
      </w:r>
      <w:r>
        <w:rPr>
          <w:rFonts w:eastAsia="Times New Roman" w:cs="Times New Roman"/>
          <w:szCs w:val="24"/>
        </w:rPr>
        <w:t xml:space="preserve">. </w:t>
      </w:r>
      <w:r w:rsidRPr="00C12522">
        <w:rPr>
          <w:rFonts w:eastAsia="Times New Roman" w:cs="Times New Roman"/>
          <w:szCs w:val="24"/>
        </w:rPr>
        <w:t>The content is solely the responsibility of the authors and does not necessarily represent the official views of the National Institutes of Health.</w:t>
      </w:r>
    </w:p>
    <w:p w14:paraId="62A87C26" w14:textId="2F814B23" w:rsidR="002769CC" w:rsidRDefault="002769CC" w:rsidP="002769CC">
      <w:pPr>
        <w:widowControl w:val="0"/>
        <w:spacing w:line="480" w:lineRule="auto"/>
        <w:ind w:firstLine="720"/>
        <w:rPr>
          <w:rFonts w:eastAsia="Times New Roman" w:cs="Times New Roman"/>
          <w:szCs w:val="24"/>
        </w:rPr>
      </w:pPr>
      <w:r w:rsidRPr="004A3349">
        <w:rPr>
          <w:rFonts w:eastAsia="Times New Roman" w:cs="Times New Roman"/>
          <w:szCs w:val="24"/>
        </w:rPr>
        <w:t xml:space="preserve">The authors would like to thank Drs. Matthew R. Capriotti, Christine A. Conelea, Emily J. Ricketts, </w:t>
      </w:r>
      <w:r>
        <w:rPr>
          <w:rFonts w:eastAsia="Times New Roman" w:cs="Times New Roman"/>
          <w:szCs w:val="24"/>
        </w:rPr>
        <w:t xml:space="preserve">and Jordan Robinson, </w:t>
      </w:r>
      <w:r w:rsidRPr="004A3349">
        <w:rPr>
          <w:rFonts w:eastAsia="Times New Roman" w:cs="Times New Roman"/>
          <w:szCs w:val="24"/>
        </w:rPr>
        <w:t>as well as Bryan C. Brandt</w:t>
      </w:r>
      <w:r>
        <w:rPr>
          <w:rFonts w:eastAsia="Times New Roman" w:cs="Times New Roman"/>
          <w:szCs w:val="24"/>
        </w:rPr>
        <w:t xml:space="preserve">, </w:t>
      </w:r>
      <w:r w:rsidRPr="004A3349">
        <w:rPr>
          <w:rFonts w:eastAsia="Times New Roman" w:cs="Times New Roman"/>
          <w:szCs w:val="24"/>
        </w:rPr>
        <w:t>for their assistance with collecting the research reported in this manuscript.</w:t>
      </w:r>
      <w:r w:rsidRPr="008C767B">
        <w:rPr>
          <w:rFonts w:eastAsia="Times New Roman" w:cs="Times New Roman"/>
          <w:szCs w:val="24"/>
        </w:rPr>
        <w:t xml:space="preserve"> </w:t>
      </w:r>
    </w:p>
    <w:p w14:paraId="79DD0838" w14:textId="77777777" w:rsidR="002769CC" w:rsidRDefault="002769CC" w:rsidP="008D5D9C">
      <w:pPr>
        <w:widowControl w:val="0"/>
        <w:spacing w:line="480" w:lineRule="auto"/>
        <w:ind w:firstLine="720"/>
        <w:rPr>
          <w:rFonts w:eastAsia="Times New Roman" w:cs="Times New Roman"/>
          <w:szCs w:val="24"/>
        </w:rPr>
      </w:pPr>
    </w:p>
    <w:p w14:paraId="60D1C750" w14:textId="77777777" w:rsidR="002769CC" w:rsidRDefault="002769CC" w:rsidP="008D5D9C">
      <w:pPr>
        <w:widowControl w:val="0"/>
        <w:spacing w:line="480" w:lineRule="auto"/>
        <w:ind w:firstLine="720"/>
        <w:rPr>
          <w:rFonts w:eastAsia="Times New Roman" w:cs="Times New Roman"/>
          <w:szCs w:val="24"/>
        </w:rPr>
      </w:pPr>
    </w:p>
    <w:p w14:paraId="048A5F33" w14:textId="77777777" w:rsidR="002769CC" w:rsidRDefault="002769CC" w:rsidP="008D5D9C">
      <w:pPr>
        <w:widowControl w:val="0"/>
        <w:spacing w:line="480" w:lineRule="auto"/>
        <w:ind w:firstLine="720"/>
        <w:rPr>
          <w:rFonts w:eastAsia="Times New Roman" w:cs="Times New Roman"/>
          <w:szCs w:val="24"/>
        </w:rPr>
      </w:pPr>
    </w:p>
    <w:p w14:paraId="11EC3428" w14:textId="77777777" w:rsidR="002769CC" w:rsidRDefault="002769CC" w:rsidP="008D5D9C">
      <w:pPr>
        <w:widowControl w:val="0"/>
        <w:spacing w:line="480" w:lineRule="auto"/>
        <w:ind w:firstLine="720"/>
        <w:rPr>
          <w:rFonts w:eastAsia="Times New Roman" w:cs="Times New Roman"/>
          <w:szCs w:val="24"/>
        </w:rPr>
      </w:pPr>
    </w:p>
    <w:p w14:paraId="230C73F6" w14:textId="4B72E5F1" w:rsidR="00377750" w:rsidRDefault="00377750" w:rsidP="008D5D9C">
      <w:pPr>
        <w:widowControl w:val="0"/>
        <w:spacing w:line="480" w:lineRule="auto"/>
        <w:ind w:firstLine="720"/>
        <w:rPr>
          <w:rFonts w:eastAsia="Times New Roman" w:cs="Times New Roman"/>
          <w:szCs w:val="24"/>
        </w:rPr>
      </w:pPr>
      <w:r>
        <w:rPr>
          <w:rFonts w:eastAsia="Times New Roman" w:cs="Times New Roman"/>
          <w:szCs w:val="24"/>
        </w:rPr>
        <w:br w:type="page"/>
      </w:r>
    </w:p>
    <w:p w14:paraId="40D94D5B" w14:textId="0C2F1C2F" w:rsidR="004F2402" w:rsidRPr="00232E6F" w:rsidRDefault="00377750" w:rsidP="00CF2EEA">
      <w:pPr>
        <w:pStyle w:val="Heading1"/>
        <w:keepNext w:val="0"/>
        <w:keepLines w:val="0"/>
        <w:widowControl w:val="0"/>
        <w:spacing w:line="480" w:lineRule="auto"/>
        <w:rPr>
          <w:b w:val="0"/>
        </w:rPr>
      </w:pPr>
      <w:r w:rsidRPr="00232E6F">
        <w:rPr>
          <w:b w:val="0"/>
        </w:rPr>
        <w:lastRenderedPageBreak/>
        <w:t>References</w:t>
      </w:r>
    </w:p>
    <w:p w14:paraId="21C1EA24" w14:textId="57698FA4" w:rsidR="007222B6" w:rsidRPr="007222B6" w:rsidRDefault="00EA042B" w:rsidP="007222B6">
      <w:pPr>
        <w:widowControl w:val="0"/>
        <w:autoSpaceDE w:val="0"/>
        <w:autoSpaceDN w:val="0"/>
        <w:adjustRightInd w:val="0"/>
        <w:spacing w:line="480" w:lineRule="auto"/>
        <w:ind w:left="480" w:hanging="480"/>
        <w:rPr>
          <w:rFonts w:cs="Times New Roman"/>
          <w:noProof/>
        </w:rPr>
      </w:pPr>
      <w:r>
        <w:rPr>
          <w:rFonts w:eastAsia="Times New Roman" w:cs="Times New Roman"/>
          <w:b/>
          <w:szCs w:val="24"/>
        </w:rPr>
        <w:fldChar w:fldCharType="begin" w:fldLock="1"/>
      </w:r>
      <w:r>
        <w:rPr>
          <w:rFonts w:eastAsia="Times New Roman" w:cs="Times New Roman"/>
          <w:b/>
          <w:szCs w:val="24"/>
        </w:rPr>
        <w:instrText xml:space="preserve">ADDIN Mendeley Bibliography CSL_BIBLIOGRAPHY </w:instrText>
      </w:r>
      <w:r>
        <w:rPr>
          <w:rFonts w:eastAsia="Times New Roman" w:cs="Times New Roman"/>
          <w:b/>
          <w:szCs w:val="24"/>
        </w:rPr>
        <w:fldChar w:fldCharType="separate"/>
      </w:r>
      <w:r w:rsidR="007222B6" w:rsidRPr="007222B6">
        <w:rPr>
          <w:rFonts w:cs="Times New Roman"/>
          <w:noProof/>
        </w:rPr>
        <w:t xml:space="preserve">Alexander, J. R., Houghton, D. C., Twohig, M. P., Franklin, M. E., Saunders, S. M., Neal-Barnett, A. M., Compton, S. N., &amp; Woods, D. W. (2016). Factor analysis of the Milwaukee Inventory for Subtypes of Trichotillomania-Adult Version. </w:t>
      </w:r>
      <w:r w:rsidR="007222B6" w:rsidRPr="007222B6">
        <w:rPr>
          <w:rFonts w:cs="Times New Roman"/>
          <w:i/>
          <w:iCs/>
          <w:noProof/>
        </w:rPr>
        <w:t>Journal of Obsessive-Compulsive and Related Disorders</w:t>
      </w:r>
      <w:r w:rsidR="007222B6" w:rsidRPr="007222B6">
        <w:rPr>
          <w:rFonts w:cs="Times New Roman"/>
          <w:noProof/>
        </w:rPr>
        <w:t xml:space="preserve">, </w:t>
      </w:r>
      <w:r w:rsidR="007222B6" w:rsidRPr="007222B6">
        <w:rPr>
          <w:rFonts w:cs="Times New Roman"/>
          <w:i/>
          <w:iCs/>
          <w:noProof/>
        </w:rPr>
        <w:t>11</w:t>
      </w:r>
      <w:r w:rsidR="007222B6" w:rsidRPr="007222B6">
        <w:rPr>
          <w:rFonts w:cs="Times New Roman"/>
          <w:noProof/>
        </w:rPr>
        <w:t>, 31–38. https://doi.org/10.1016/j.jocrd.2016.08.001</w:t>
      </w:r>
    </w:p>
    <w:p w14:paraId="27402E56" w14:textId="06D0DB89" w:rsidR="007222B6" w:rsidRPr="007222B6" w:rsidRDefault="007222B6" w:rsidP="007222B6">
      <w:pPr>
        <w:widowControl w:val="0"/>
        <w:autoSpaceDE w:val="0"/>
        <w:autoSpaceDN w:val="0"/>
        <w:adjustRightInd w:val="0"/>
        <w:spacing w:line="480" w:lineRule="auto"/>
        <w:ind w:left="480" w:hanging="480"/>
        <w:rPr>
          <w:rFonts w:cs="Times New Roman"/>
          <w:noProof/>
        </w:rPr>
      </w:pPr>
      <w:r w:rsidRPr="007222B6">
        <w:rPr>
          <w:rFonts w:cs="Times New Roman"/>
          <w:noProof/>
        </w:rPr>
        <w:t xml:space="preserve">American Psychiatric Association. (2000). </w:t>
      </w:r>
      <w:r w:rsidRPr="007222B6">
        <w:rPr>
          <w:rFonts w:cs="Times New Roman"/>
          <w:i/>
          <w:iCs/>
          <w:noProof/>
        </w:rPr>
        <w:t>Diagnostic and Statistical Manual</w:t>
      </w:r>
      <w:r w:rsidRPr="007222B6">
        <w:rPr>
          <w:rFonts w:cs="Times New Roman"/>
          <w:noProof/>
        </w:rPr>
        <w:t xml:space="preserve"> (4th ed., t</w:t>
      </w:r>
      <w:r w:rsidR="005D21B4">
        <w:rPr>
          <w:rFonts w:cs="Times New Roman"/>
          <w:noProof/>
        </w:rPr>
        <w:t>ext rev.</w:t>
      </w:r>
      <w:r w:rsidRPr="007222B6">
        <w:rPr>
          <w:rFonts w:cs="Times New Roman"/>
          <w:noProof/>
        </w:rPr>
        <w:t>). Author.</w:t>
      </w:r>
    </w:p>
    <w:p w14:paraId="643E691D" w14:textId="77777777" w:rsidR="007222B6" w:rsidRPr="007222B6" w:rsidRDefault="007222B6" w:rsidP="007222B6">
      <w:pPr>
        <w:widowControl w:val="0"/>
        <w:autoSpaceDE w:val="0"/>
        <w:autoSpaceDN w:val="0"/>
        <w:adjustRightInd w:val="0"/>
        <w:spacing w:line="480" w:lineRule="auto"/>
        <w:ind w:left="480" w:hanging="480"/>
        <w:rPr>
          <w:rFonts w:cs="Times New Roman"/>
          <w:noProof/>
        </w:rPr>
      </w:pPr>
      <w:r w:rsidRPr="007222B6">
        <w:rPr>
          <w:rFonts w:cs="Times New Roman"/>
          <w:noProof/>
        </w:rPr>
        <w:t xml:space="preserve">American Psychiatric Association. (2013). </w:t>
      </w:r>
      <w:r w:rsidRPr="007222B6">
        <w:rPr>
          <w:rFonts w:cs="Times New Roman"/>
          <w:i/>
          <w:iCs/>
          <w:noProof/>
        </w:rPr>
        <w:t>Diagnostic and statistical manual of mental disorders</w:t>
      </w:r>
      <w:r w:rsidRPr="007222B6">
        <w:rPr>
          <w:rFonts w:cs="Times New Roman"/>
          <w:noProof/>
        </w:rPr>
        <w:t xml:space="preserve"> (5th ed.). Author.</w:t>
      </w:r>
    </w:p>
    <w:p w14:paraId="49536F80" w14:textId="77777777" w:rsidR="007222B6" w:rsidRPr="007222B6" w:rsidRDefault="007222B6" w:rsidP="007222B6">
      <w:pPr>
        <w:widowControl w:val="0"/>
        <w:autoSpaceDE w:val="0"/>
        <w:autoSpaceDN w:val="0"/>
        <w:adjustRightInd w:val="0"/>
        <w:spacing w:line="480" w:lineRule="auto"/>
        <w:ind w:left="480" w:hanging="480"/>
        <w:rPr>
          <w:rFonts w:cs="Times New Roman"/>
          <w:noProof/>
        </w:rPr>
      </w:pPr>
      <w:r w:rsidRPr="007222B6">
        <w:rPr>
          <w:rFonts w:cs="Times New Roman"/>
          <w:noProof/>
        </w:rPr>
        <w:t xml:space="preserve">Bach, P., &amp; Hayes, S. C. (2002). The use of acceptance and commitment therapy to prevent the rehospitalization of psychotic patients: A randomized controlled trial. </w:t>
      </w:r>
      <w:r w:rsidRPr="007222B6">
        <w:rPr>
          <w:rFonts w:cs="Times New Roman"/>
          <w:i/>
          <w:iCs/>
          <w:noProof/>
        </w:rPr>
        <w:t>Journal of Consulting and Clinical Psychology</w:t>
      </w:r>
      <w:r w:rsidRPr="007222B6">
        <w:rPr>
          <w:rFonts w:cs="Times New Roman"/>
          <w:noProof/>
        </w:rPr>
        <w:t xml:space="preserve">, </w:t>
      </w:r>
      <w:r w:rsidRPr="007222B6">
        <w:rPr>
          <w:rFonts w:cs="Times New Roman"/>
          <w:i/>
          <w:iCs/>
          <w:noProof/>
        </w:rPr>
        <w:t>70</w:t>
      </w:r>
      <w:r w:rsidRPr="007222B6">
        <w:rPr>
          <w:rFonts w:cs="Times New Roman"/>
          <w:noProof/>
        </w:rPr>
        <w:t>(5), 1129–1139. https://doi.org/10.1037/0022-006X.70.5.1129</w:t>
      </w:r>
    </w:p>
    <w:p w14:paraId="20E965E8" w14:textId="77777777" w:rsidR="007222B6" w:rsidRPr="007222B6" w:rsidRDefault="007222B6" w:rsidP="007222B6">
      <w:pPr>
        <w:widowControl w:val="0"/>
        <w:autoSpaceDE w:val="0"/>
        <w:autoSpaceDN w:val="0"/>
        <w:adjustRightInd w:val="0"/>
        <w:spacing w:line="480" w:lineRule="auto"/>
        <w:ind w:left="480" w:hanging="480"/>
        <w:rPr>
          <w:rFonts w:cs="Times New Roman"/>
          <w:noProof/>
        </w:rPr>
      </w:pPr>
      <w:r w:rsidRPr="007222B6">
        <w:rPr>
          <w:rFonts w:cs="Times New Roman"/>
          <w:noProof/>
        </w:rPr>
        <w:t xml:space="preserve">Berk, M., Ng, F., Dodd, S., Callaly, T., Campbell, S., Bernardo, M., &amp; Trauer, T. (2008). The validity of the CGI severity and improvement scales as measures of clinical effectiveness suitable for routine clinical use. </w:t>
      </w:r>
      <w:r w:rsidRPr="007222B6">
        <w:rPr>
          <w:rFonts w:cs="Times New Roman"/>
          <w:i/>
          <w:iCs/>
          <w:noProof/>
        </w:rPr>
        <w:t>Journal of Evaluation in Clinical Practice</w:t>
      </w:r>
      <w:r w:rsidRPr="007222B6">
        <w:rPr>
          <w:rFonts w:cs="Times New Roman"/>
          <w:noProof/>
        </w:rPr>
        <w:t xml:space="preserve">, </w:t>
      </w:r>
      <w:r w:rsidRPr="007222B6">
        <w:rPr>
          <w:rFonts w:cs="Times New Roman"/>
          <w:i/>
          <w:iCs/>
          <w:noProof/>
        </w:rPr>
        <w:t>14</w:t>
      </w:r>
      <w:r w:rsidRPr="007222B6">
        <w:rPr>
          <w:rFonts w:cs="Times New Roman"/>
          <w:noProof/>
        </w:rPr>
        <w:t>(6), 979–983. https://doi.org/10.1111/j.1365-2753.2007.00921.x</w:t>
      </w:r>
    </w:p>
    <w:p w14:paraId="34F7380B" w14:textId="77777777" w:rsidR="007222B6" w:rsidRPr="007222B6" w:rsidRDefault="007222B6" w:rsidP="007222B6">
      <w:pPr>
        <w:widowControl w:val="0"/>
        <w:autoSpaceDE w:val="0"/>
        <w:autoSpaceDN w:val="0"/>
        <w:adjustRightInd w:val="0"/>
        <w:spacing w:line="480" w:lineRule="auto"/>
        <w:ind w:left="480" w:hanging="480"/>
        <w:rPr>
          <w:rFonts w:cs="Times New Roman"/>
          <w:noProof/>
        </w:rPr>
      </w:pPr>
      <w:r w:rsidRPr="007222B6">
        <w:rPr>
          <w:rFonts w:cs="Times New Roman"/>
          <w:noProof/>
        </w:rPr>
        <w:t xml:space="preserve">Bloch, M. H., Landeros-Weisenberger, A., Dombrowski, P., Kelmendi, B., Wegner, R., Nudel, J., Pittenger, C., Leckman, J. F., &amp; Coric, V. (2007). Systematic review: Pharmacological and behavioral treatment for trichotillomania. </w:t>
      </w:r>
      <w:r w:rsidRPr="007222B6">
        <w:rPr>
          <w:rFonts w:cs="Times New Roman"/>
          <w:i/>
          <w:iCs/>
          <w:noProof/>
        </w:rPr>
        <w:t>Biological Psychiatry</w:t>
      </w:r>
      <w:r w:rsidRPr="007222B6">
        <w:rPr>
          <w:rFonts w:cs="Times New Roman"/>
          <w:noProof/>
        </w:rPr>
        <w:t xml:space="preserve">, </w:t>
      </w:r>
      <w:r w:rsidRPr="007222B6">
        <w:rPr>
          <w:rFonts w:cs="Times New Roman"/>
          <w:i/>
          <w:iCs/>
          <w:noProof/>
        </w:rPr>
        <w:t>62</w:t>
      </w:r>
      <w:r w:rsidRPr="007222B6">
        <w:rPr>
          <w:rFonts w:cs="Times New Roman"/>
          <w:noProof/>
        </w:rPr>
        <w:t>(8), 839–846. https://doi.org/10.1016/j.biopsych.2007.05.019</w:t>
      </w:r>
    </w:p>
    <w:p w14:paraId="0B2DD1C5" w14:textId="77777777" w:rsidR="007222B6" w:rsidRPr="007222B6" w:rsidRDefault="007222B6" w:rsidP="007222B6">
      <w:pPr>
        <w:widowControl w:val="0"/>
        <w:autoSpaceDE w:val="0"/>
        <w:autoSpaceDN w:val="0"/>
        <w:adjustRightInd w:val="0"/>
        <w:spacing w:line="480" w:lineRule="auto"/>
        <w:ind w:left="480" w:hanging="480"/>
        <w:rPr>
          <w:rFonts w:cs="Times New Roman"/>
          <w:noProof/>
        </w:rPr>
      </w:pPr>
      <w:r w:rsidRPr="007222B6">
        <w:rPr>
          <w:rFonts w:cs="Times New Roman"/>
          <w:noProof/>
        </w:rPr>
        <w:t xml:space="preserve">Chamberlain, S. R., Fineberg, N. A., Blackwell, A. D., Robbins, T. W., &amp; Sahakian, B. J. (2006). Motor inhibition and cognitive flexibility in obsessive-compulsive disorder and trichotillomania. </w:t>
      </w:r>
      <w:r w:rsidRPr="007222B6">
        <w:rPr>
          <w:rFonts w:cs="Times New Roman"/>
          <w:i/>
          <w:iCs/>
          <w:noProof/>
        </w:rPr>
        <w:t>American Journal of Psychiatry</w:t>
      </w:r>
      <w:r w:rsidRPr="007222B6">
        <w:rPr>
          <w:rFonts w:cs="Times New Roman"/>
          <w:noProof/>
        </w:rPr>
        <w:t xml:space="preserve">, </w:t>
      </w:r>
      <w:r w:rsidRPr="007222B6">
        <w:rPr>
          <w:rFonts w:cs="Times New Roman"/>
          <w:i/>
          <w:iCs/>
          <w:noProof/>
        </w:rPr>
        <w:t>163</w:t>
      </w:r>
      <w:r w:rsidRPr="007222B6">
        <w:rPr>
          <w:rFonts w:cs="Times New Roman"/>
          <w:noProof/>
        </w:rPr>
        <w:t xml:space="preserve">(7), 1282–1284. </w:t>
      </w:r>
      <w:r w:rsidRPr="007222B6">
        <w:rPr>
          <w:rFonts w:cs="Times New Roman"/>
          <w:noProof/>
        </w:rPr>
        <w:lastRenderedPageBreak/>
        <w:t>https://doi.org/10.1176/appi.ajp.163.7.1282</w:t>
      </w:r>
    </w:p>
    <w:p w14:paraId="77D528E3" w14:textId="77777777" w:rsidR="007222B6" w:rsidRPr="007222B6" w:rsidRDefault="007222B6" w:rsidP="007222B6">
      <w:pPr>
        <w:widowControl w:val="0"/>
        <w:autoSpaceDE w:val="0"/>
        <w:autoSpaceDN w:val="0"/>
        <w:adjustRightInd w:val="0"/>
        <w:spacing w:line="480" w:lineRule="auto"/>
        <w:ind w:left="480" w:hanging="480"/>
        <w:rPr>
          <w:rFonts w:cs="Times New Roman"/>
          <w:noProof/>
        </w:rPr>
      </w:pPr>
      <w:r w:rsidRPr="007222B6">
        <w:rPr>
          <w:rFonts w:cs="Times New Roman"/>
          <w:noProof/>
        </w:rPr>
        <w:t xml:space="preserve">Cohen, J. (1988). </w:t>
      </w:r>
      <w:r w:rsidRPr="007222B6">
        <w:rPr>
          <w:rFonts w:cs="Times New Roman"/>
          <w:i/>
          <w:iCs/>
          <w:noProof/>
        </w:rPr>
        <w:t>Statistical power analysis for the behavioral sciences.</w:t>
      </w:r>
      <w:r w:rsidRPr="007222B6">
        <w:rPr>
          <w:rFonts w:cs="Times New Roman"/>
          <w:noProof/>
        </w:rPr>
        <w:t xml:space="preserve"> (2nd ed.). Lawrence Earlbaum Associates. https://doi.org/10.1234/12345678</w:t>
      </w:r>
    </w:p>
    <w:p w14:paraId="478E80C1" w14:textId="77777777" w:rsidR="007222B6" w:rsidRPr="007222B6" w:rsidRDefault="007222B6" w:rsidP="007222B6">
      <w:pPr>
        <w:widowControl w:val="0"/>
        <w:autoSpaceDE w:val="0"/>
        <w:autoSpaceDN w:val="0"/>
        <w:adjustRightInd w:val="0"/>
        <w:spacing w:line="480" w:lineRule="auto"/>
        <w:ind w:left="480" w:hanging="480"/>
        <w:rPr>
          <w:rFonts w:cs="Times New Roman"/>
          <w:noProof/>
        </w:rPr>
      </w:pPr>
      <w:r w:rsidRPr="007222B6">
        <w:rPr>
          <w:rFonts w:cs="Times New Roman"/>
          <w:noProof/>
        </w:rPr>
        <w:t xml:space="preserve">Diefenbach, G. J., Tolin, D. F., Crocetto, J., Maltby, N., &amp; Hannan, S. (2005). Assessment of trichotillomania: A psychometric evaluation of hair-pulling scales. </w:t>
      </w:r>
      <w:r w:rsidRPr="007222B6">
        <w:rPr>
          <w:rFonts w:cs="Times New Roman"/>
          <w:i/>
          <w:iCs/>
          <w:noProof/>
        </w:rPr>
        <w:t>Journal of Psychopathology and Behavioral Assessment</w:t>
      </w:r>
      <w:r w:rsidRPr="007222B6">
        <w:rPr>
          <w:rFonts w:cs="Times New Roman"/>
          <w:noProof/>
        </w:rPr>
        <w:t xml:space="preserve">, </w:t>
      </w:r>
      <w:r w:rsidRPr="007222B6">
        <w:rPr>
          <w:rFonts w:cs="Times New Roman"/>
          <w:i/>
          <w:iCs/>
          <w:noProof/>
        </w:rPr>
        <w:t>27</w:t>
      </w:r>
      <w:r w:rsidRPr="007222B6">
        <w:rPr>
          <w:rFonts w:cs="Times New Roman"/>
          <w:noProof/>
        </w:rPr>
        <w:t>(3), 169–178. https://doi.org/10.1007/s10862-005-0633-7</w:t>
      </w:r>
    </w:p>
    <w:p w14:paraId="40EE425B" w14:textId="77777777" w:rsidR="007222B6" w:rsidRPr="007222B6" w:rsidRDefault="007222B6" w:rsidP="007222B6">
      <w:pPr>
        <w:widowControl w:val="0"/>
        <w:autoSpaceDE w:val="0"/>
        <w:autoSpaceDN w:val="0"/>
        <w:adjustRightInd w:val="0"/>
        <w:spacing w:line="480" w:lineRule="auto"/>
        <w:ind w:left="480" w:hanging="480"/>
        <w:rPr>
          <w:rFonts w:cs="Times New Roman"/>
          <w:noProof/>
        </w:rPr>
      </w:pPr>
      <w:r w:rsidRPr="007222B6">
        <w:rPr>
          <w:rFonts w:cs="Times New Roman"/>
          <w:noProof/>
        </w:rPr>
        <w:t xml:space="preserve">Duke, D. C., Keeley, M. L., Geffken, G. R., &amp; Storch, E. A. (2010). Trichotillomania: A current review. </w:t>
      </w:r>
      <w:r w:rsidRPr="007222B6">
        <w:rPr>
          <w:rFonts w:cs="Times New Roman"/>
          <w:i/>
          <w:iCs/>
          <w:noProof/>
        </w:rPr>
        <w:t>Clinical Psychology Review</w:t>
      </w:r>
      <w:r w:rsidRPr="007222B6">
        <w:rPr>
          <w:rFonts w:cs="Times New Roman"/>
          <w:noProof/>
        </w:rPr>
        <w:t xml:space="preserve">, </w:t>
      </w:r>
      <w:r w:rsidRPr="007222B6">
        <w:rPr>
          <w:rFonts w:cs="Times New Roman"/>
          <w:i/>
          <w:iCs/>
          <w:noProof/>
        </w:rPr>
        <w:t>30</w:t>
      </w:r>
      <w:r w:rsidRPr="007222B6">
        <w:rPr>
          <w:rFonts w:cs="Times New Roman"/>
          <w:noProof/>
        </w:rPr>
        <w:t>(2), 181–193. https://doi.org/10.1016/j.cpr.2009.10.008</w:t>
      </w:r>
    </w:p>
    <w:p w14:paraId="0F747986" w14:textId="77777777" w:rsidR="007222B6" w:rsidRPr="007222B6" w:rsidRDefault="007222B6" w:rsidP="007222B6">
      <w:pPr>
        <w:widowControl w:val="0"/>
        <w:autoSpaceDE w:val="0"/>
        <w:autoSpaceDN w:val="0"/>
        <w:adjustRightInd w:val="0"/>
        <w:spacing w:line="480" w:lineRule="auto"/>
        <w:ind w:left="480" w:hanging="480"/>
        <w:rPr>
          <w:rFonts w:cs="Times New Roman"/>
          <w:noProof/>
        </w:rPr>
      </w:pPr>
      <w:r w:rsidRPr="007222B6">
        <w:rPr>
          <w:rFonts w:cs="Times New Roman"/>
          <w:noProof/>
        </w:rPr>
        <w:t xml:space="preserve">Farhat, L. C., Olfson, E., Li, F., Telang, S., &amp; Bloch, M. H. (2019). Identifying standardized definitions of treatment response in trichotillomania: A meta-analysis. </w:t>
      </w:r>
      <w:r w:rsidRPr="007222B6">
        <w:rPr>
          <w:rFonts w:cs="Times New Roman"/>
          <w:i/>
          <w:iCs/>
          <w:noProof/>
        </w:rPr>
        <w:t>Progress in Neuro-Psychopharmacology and Biological Psychiatry</w:t>
      </w:r>
      <w:r w:rsidRPr="007222B6">
        <w:rPr>
          <w:rFonts w:cs="Times New Roman"/>
          <w:noProof/>
        </w:rPr>
        <w:t xml:space="preserve">, </w:t>
      </w:r>
      <w:r w:rsidRPr="007222B6">
        <w:rPr>
          <w:rFonts w:cs="Times New Roman"/>
          <w:i/>
          <w:iCs/>
          <w:noProof/>
        </w:rPr>
        <w:t>89</w:t>
      </w:r>
      <w:r w:rsidRPr="007222B6">
        <w:rPr>
          <w:rFonts w:cs="Times New Roman"/>
          <w:noProof/>
        </w:rPr>
        <w:t>(8), 446–455. https://doi.org/10.1016/j.pnpbp.2018.10.009</w:t>
      </w:r>
    </w:p>
    <w:p w14:paraId="0266C2B4" w14:textId="77777777" w:rsidR="007222B6" w:rsidRPr="007222B6" w:rsidRDefault="007222B6" w:rsidP="007222B6">
      <w:pPr>
        <w:widowControl w:val="0"/>
        <w:autoSpaceDE w:val="0"/>
        <w:autoSpaceDN w:val="0"/>
        <w:adjustRightInd w:val="0"/>
        <w:spacing w:line="480" w:lineRule="auto"/>
        <w:ind w:left="480" w:hanging="480"/>
        <w:rPr>
          <w:rFonts w:cs="Times New Roman"/>
          <w:noProof/>
        </w:rPr>
      </w:pPr>
      <w:r w:rsidRPr="007222B6">
        <w:rPr>
          <w:rFonts w:cs="Times New Roman"/>
          <w:noProof/>
        </w:rPr>
        <w:t xml:space="preserve">Fine, K. M., Walther, M. R., Joseph, J. M., Robinson, J., Ricketts, E. J., Bowe, W. E., &amp; Woods, D. W. (2012). Acceptance-Enhanced Behavior Therapy for Trichotillomania in adolescents. </w:t>
      </w:r>
      <w:r w:rsidRPr="007222B6">
        <w:rPr>
          <w:rFonts w:cs="Times New Roman"/>
          <w:i/>
          <w:iCs/>
          <w:noProof/>
        </w:rPr>
        <w:t>Cognitive and Behavioral Practice</w:t>
      </w:r>
      <w:r w:rsidRPr="007222B6">
        <w:rPr>
          <w:rFonts w:cs="Times New Roman"/>
          <w:noProof/>
        </w:rPr>
        <w:t xml:space="preserve">, </w:t>
      </w:r>
      <w:r w:rsidRPr="007222B6">
        <w:rPr>
          <w:rFonts w:cs="Times New Roman"/>
          <w:i/>
          <w:iCs/>
          <w:noProof/>
        </w:rPr>
        <w:t>19</w:t>
      </w:r>
      <w:r w:rsidRPr="007222B6">
        <w:rPr>
          <w:rFonts w:cs="Times New Roman"/>
          <w:noProof/>
        </w:rPr>
        <w:t>(3), 463–471. https://doi.org/10.1016/j.cbpra.2011.10.002</w:t>
      </w:r>
    </w:p>
    <w:p w14:paraId="3B482FA2" w14:textId="77777777" w:rsidR="007222B6" w:rsidRPr="007222B6" w:rsidRDefault="007222B6" w:rsidP="007222B6">
      <w:pPr>
        <w:widowControl w:val="0"/>
        <w:autoSpaceDE w:val="0"/>
        <w:autoSpaceDN w:val="0"/>
        <w:adjustRightInd w:val="0"/>
        <w:spacing w:line="480" w:lineRule="auto"/>
        <w:ind w:left="480" w:hanging="480"/>
        <w:rPr>
          <w:rFonts w:cs="Times New Roman"/>
          <w:noProof/>
        </w:rPr>
      </w:pPr>
      <w:r w:rsidRPr="007222B6">
        <w:rPr>
          <w:rFonts w:cs="Times New Roman"/>
          <w:noProof/>
        </w:rPr>
        <w:t xml:space="preserve">Flessner, C. A., Woods, D. W., Franklin, M. E., Cashin, S. E., Keuthen, N. J., Mansueto, C. S., Lerner, E., Penzel, F., Golomb, R., Mouton-Odum, S., Novak, C., O’Sullivan, R. L., Pauls, D., Piacentini, J., Stein, D., Thienemann, M., Walkup, J. T., &amp; Wright, H. H. (2008). The Milwaukee Inventory for Subtypes of Trichotillomania-Adult Version (MIST-A): Development of an instrument for the assessment of “focused” and “automatic” hair </w:t>
      </w:r>
      <w:r w:rsidRPr="007222B6">
        <w:rPr>
          <w:rFonts w:cs="Times New Roman"/>
          <w:noProof/>
        </w:rPr>
        <w:lastRenderedPageBreak/>
        <w:t xml:space="preserve">pulling. </w:t>
      </w:r>
      <w:r w:rsidRPr="007222B6">
        <w:rPr>
          <w:rFonts w:cs="Times New Roman"/>
          <w:i/>
          <w:iCs/>
          <w:noProof/>
        </w:rPr>
        <w:t>Journal of Psychopathology and Behavioral Assessment</w:t>
      </w:r>
      <w:r w:rsidRPr="007222B6">
        <w:rPr>
          <w:rFonts w:cs="Times New Roman"/>
          <w:noProof/>
        </w:rPr>
        <w:t xml:space="preserve">, </w:t>
      </w:r>
      <w:r w:rsidRPr="007222B6">
        <w:rPr>
          <w:rFonts w:cs="Times New Roman"/>
          <w:i/>
          <w:iCs/>
          <w:noProof/>
        </w:rPr>
        <w:t>30</w:t>
      </w:r>
      <w:r w:rsidRPr="007222B6">
        <w:rPr>
          <w:rFonts w:cs="Times New Roman"/>
          <w:noProof/>
        </w:rPr>
        <w:t>(1), 20–30. https://doi.org/10.1007/s10862-007-9073-x</w:t>
      </w:r>
    </w:p>
    <w:p w14:paraId="2AD4C878" w14:textId="77777777" w:rsidR="00926801" w:rsidRPr="00015956" w:rsidRDefault="00926801" w:rsidP="00926801">
      <w:pPr>
        <w:widowControl w:val="0"/>
        <w:autoSpaceDE w:val="0"/>
        <w:autoSpaceDN w:val="0"/>
        <w:adjustRightInd w:val="0"/>
        <w:spacing w:line="480" w:lineRule="auto"/>
        <w:ind w:left="480" w:hanging="480"/>
        <w:rPr>
          <w:rFonts w:cs="Times New Roman"/>
          <w:noProof/>
        </w:rPr>
      </w:pPr>
      <w:r w:rsidRPr="00015956">
        <w:rPr>
          <w:rFonts w:cs="Times New Roman"/>
          <w:noProof/>
        </w:rPr>
        <w:t xml:space="preserve">Grant, J.E., Peris, T.S., Ricketts, E.J., Lochner, C., Stein, D.J., Stochl, J., Chamberlain, S.R., Scharf, J.M., Dougherty, D.D., Woods, D.W., Piacentini, J., &amp; Keuthen, N.J. (2021). Identifying subtypes of trichotillomania (hair pulling disorder) and excoriation (skin picking) disorder using mixture modeling in a multicenter sample. </w:t>
      </w:r>
      <w:r w:rsidRPr="00015956">
        <w:rPr>
          <w:rFonts w:cs="Times New Roman"/>
          <w:i/>
          <w:iCs/>
          <w:noProof/>
        </w:rPr>
        <w:t>Journal of Psychiatric Research, 137</w:t>
      </w:r>
      <w:r w:rsidRPr="00015956">
        <w:rPr>
          <w:rFonts w:cs="Times New Roman"/>
          <w:noProof/>
        </w:rPr>
        <w:t>, 603-612, https://doi.org/10.1016/j.jpsychires.2020.11.001.</w:t>
      </w:r>
    </w:p>
    <w:p w14:paraId="5B583531" w14:textId="77777777" w:rsidR="007222B6" w:rsidRPr="007222B6" w:rsidRDefault="007222B6" w:rsidP="007222B6">
      <w:pPr>
        <w:widowControl w:val="0"/>
        <w:autoSpaceDE w:val="0"/>
        <w:autoSpaceDN w:val="0"/>
        <w:adjustRightInd w:val="0"/>
        <w:spacing w:line="480" w:lineRule="auto"/>
        <w:ind w:left="480" w:hanging="480"/>
        <w:rPr>
          <w:rFonts w:cs="Times New Roman"/>
          <w:noProof/>
        </w:rPr>
      </w:pPr>
      <w:r w:rsidRPr="007222B6">
        <w:rPr>
          <w:rFonts w:cs="Times New Roman"/>
          <w:noProof/>
        </w:rPr>
        <w:t xml:space="preserve">Guy, W. (1976). Clinical Global Impressions Scale. In </w:t>
      </w:r>
      <w:r w:rsidRPr="007222B6">
        <w:rPr>
          <w:rFonts w:cs="Times New Roman"/>
          <w:i/>
          <w:iCs/>
          <w:noProof/>
        </w:rPr>
        <w:t>ECDEU Assessment Manual for Psychopharmacology</w:t>
      </w:r>
      <w:r w:rsidRPr="007222B6">
        <w:rPr>
          <w:rFonts w:cs="Times New Roman"/>
          <w:noProof/>
        </w:rPr>
        <w:t xml:space="preserve"> (pp. 217–222). National Institute of Mental Health.</w:t>
      </w:r>
    </w:p>
    <w:p w14:paraId="61FD7363" w14:textId="77777777" w:rsidR="007222B6" w:rsidRPr="007222B6" w:rsidRDefault="007222B6" w:rsidP="007222B6">
      <w:pPr>
        <w:widowControl w:val="0"/>
        <w:autoSpaceDE w:val="0"/>
        <w:autoSpaceDN w:val="0"/>
        <w:adjustRightInd w:val="0"/>
        <w:spacing w:line="480" w:lineRule="auto"/>
        <w:ind w:left="480" w:hanging="480"/>
        <w:rPr>
          <w:rFonts w:cs="Times New Roman"/>
          <w:noProof/>
        </w:rPr>
      </w:pPr>
      <w:r w:rsidRPr="007222B6">
        <w:rPr>
          <w:rFonts w:cs="Times New Roman"/>
          <w:noProof/>
        </w:rPr>
        <w:t xml:space="preserve">Hayes, S. C., Strosahl, K. D., &amp; Wilson, K. G. (1999). </w:t>
      </w:r>
      <w:r w:rsidRPr="007222B6">
        <w:rPr>
          <w:rFonts w:cs="Times New Roman"/>
          <w:i/>
          <w:iCs/>
          <w:noProof/>
        </w:rPr>
        <w:t>Acceptance and commitment therapy: An experiential approach to behavior change</w:t>
      </w:r>
      <w:r w:rsidRPr="007222B6">
        <w:rPr>
          <w:rFonts w:cs="Times New Roman"/>
          <w:noProof/>
        </w:rPr>
        <w:t>. Guilford Press.</w:t>
      </w:r>
    </w:p>
    <w:p w14:paraId="53408DF5" w14:textId="77777777" w:rsidR="007222B6" w:rsidRPr="007222B6" w:rsidRDefault="007222B6" w:rsidP="007222B6">
      <w:pPr>
        <w:widowControl w:val="0"/>
        <w:autoSpaceDE w:val="0"/>
        <w:autoSpaceDN w:val="0"/>
        <w:adjustRightInd w:val="0"/>
        <w:spacing w:line="480" w:lineRule="auto"/>
        <w:ind w:left="480" w:hanging="480"/>
        <w:rPr>
          <w:rFonts w:cs="Times New Roman"/>
          <w:noProof/>
        </w:rPr>
      </w:pPr>
      <w:r w:rsidRPr="007222B6">
        <w:rPr>
          <w:rFonts w:cs="Times New Roman"/>
          <w:noProof/>
        </w:rPr>
        <w:t xml:space="preserve">Houghton, D. C., Compton, S. N., Twohig, M. P., Saunders, S. M., Franklin, M. E., Neal-Barnett, A. M., Ely, L., Capriotti, M. R., &amp; Woods, D. W. (2014). Measuring the role of psychological inflexibility in trichotillomania. </w:t>
      </w:r>
      <w:r w:rsidRPr="007222B6">
        <w:rPr>
          <w:rFonts w:cs="Times New Roman"/>
          <w:i/>
          <w:iCs/>
          <w:noProof/>
        </w:rPr>
        <w:t>Psychiatry Research</w:t>
      </w:r>
      <w:r w:rsidRPr="007222B6">
        <w:rPr>
          <w:rFonts w:cs="Times New Roman"/>
          <w:noProof/>
        </w:rPr>
        <w:t xml:space="preserve">, </w:t>
      </w:r>
      <w:r w:rsidRPr="007222B6">
        <w:rPr>
          <w:rFonts w:cs="Times New Roman"/>
          <w:i/>
          <w:iCs/>
          <w:noProof/>
        </w:rPr>
        <w:t>220</w:t>
      </w:r>
      <w:r w:rsidRPr="007222B6">
        <w:rPr>
          <w:rFonts w:cs="Times New Roman"/>
          <w:noProof/>
        </w:rPr>
        <w:t>(1), 356–361. https://doi.org/10.1016/j.psychres.2014.08.003</w:t>
      </w:r>
    </w:p>
    <w:p w14:paraId="6E92C68B" w14:textId="77777777" w:rsidR="007222B6" w:rsidRPr="007222B6" w:rsidRDefault="007222B6" w:rsidP="007222B6">
      <w:pPr>
        <w:widowControl w:val="0"/>
        <w:autoSpaceDE w:val="0"/>
        <w:autoSpaceDN w:val="0"/>
        <w:adjustRightInd w:val="0"/>
        <w:spacing w:line="480" w:lineRule="auto"/>
        <w:ind w:left="480" w:hanging="480"/>
        <w:rPr>
          <w:rFonts w:cs="Times New Roman"/>
          <w:noProof/>
        </w:rPr>
      </w:pPr>
      <w:r w:rsidRPr="007222B6">
        <w:rPr>
          <w:rFonts w:cs="Times New Roman"/>
          <w:noProof/>
        </w:rPr>
        <w:t xml:space="preserve">Kelley, M. L., Heffer, R. W., Gresham, F. M., &amp; Elliott, S. N. (1989). Development of a modified treatment evaluation inventory. </w:t>
      </w:r>
      <w:r w:rsidRPr="007222B6">
        <w:rPr>
          <w:rFonts w:cs="Times New Roman"/>
          <w:i/>
          <w:iCs/>
          <w:noProof/>
        </w:rPr>
        <w:t>Journal of Psychopathology and Behavioral Assessment</w:t>
      </w:r>
      <w:r w:rsidRPr="007222B6">
        <w:rPr>
          <w:rFonts w:cs="Times New Roman"/>
          <w:noProof/>
        </w:rPr>
        <w:t xml:space="preserve">, </w:t>
      </w:r>
      <w:r w:rsidRPr="007222B6">
        <w:rPr>
          <w:rFonts w:cs="Times New Roman"/>
          <w:i/>
          <w:iCs/>
          <w:noProof/>
        </w:rPr>
        <w:t>11</w:t>
      </w:r>
      <w:r w:rsidRPr="007222B6">
        <w:rPr>
          <w:rFonts w:cs="Times New Roman"/>
          <w:noProof/>
        </w:rPr>
        <w:t>(3), 235–247. https://doi.org/10.1007/BF00960495</w:t>
      </w:r>
    </w:p>
    <w:p w14:paraId="0FD7BAD6" w14:textId="77777777" w:rsidR="007222B6" w:rsidRPr="007222B6" w:rsidRDefault="007222B6" w:rsidP="007222B6">
      <w:pPr>
        <w:widowControl w:val="0"/>
        <w:autoSpaceDE w:val="0"/>
        <w:autoSpaceDN w:val="0"/>
        <w:adjustRightInd w:val="0"/>
        <w:spacing w:line="480" w:lineRule="auto"/>
        <w:ind w:left="480" w:hanging="480"/>
        <w:rPr>
          <w:rFonts w:cs="Times New Roman"/>
          <w:noProof/>
        </w:rPr>
      </w:pPr>
      <w:r w:rsidRPr="007222B6">
        <w:rPr>
          <w:rFonts w:cs="Times New Roman"/>
          <w:noProof/>
        </w:rPr>
        <w:t xml:space="preserve">Keuthen, N. J., Makris, N., Schlerf, J. E., Martis, B., Savage, C. R., McMullin, K., Seidman, L. J., Schmahmann, J. D., Kennedy, D. N., Hodge, S. M., &amp; Rauch, S. L. (2007). Evidence for reduced cerebellar volumes in trichotillomania. </w:t>
      </w:r>
      <w:r w:rsidRPr="007222B6">
        <w:rPr>
          <w:rFonts w:cs="Times New Roman"/>
          <w:i/>
          <w:iCs/>
          <w:noProof/>
        </w:rPr>
        <w:t>Biological Psychiatry</w:t>
      </w:r>
      <w:r w:rsidRPr="007222B6">
        <w:rPr>
          <w:rFonts w:cs="Times New Roman"/>
          <w:noProof/>
        </w:rPr>
        <w:t xml:space="preserve">, </w:t>
      </w:r>
      <w:r w:rsidRPr="007222B6">
        <w:rPr>
          <w:rFonts w:cs="Times New Roman"/>
          <w:i/>
          <w:iCs/>
          <w:noProof/>
        </w:rPr>
        <w:t>61</w:t>
      </w:r>
      <w:r w:rsidRPr="007222B6">
        <w:rPr>
          <w:rFonts w:cs="Times New Roman"/>
          <w:noProof/>
        </w:rPr>
        <w:t>(3), 374–381. https://doi.org/10.1016/j.biopsych.2006.06.013</w:t>
      </w:r>
    </w:p>
    <w:p w14:paraId="62274C6D" w14:textId="77777777" w:rsidR="007222B6" w:rsidRPr="007222B6" w:rsidRDefault="007222B6" w:rsidP="007222B6">
      <w:pPr>
        <w:widowControl w:val="0"/>
        <w:autoSpaceDE w:val="0"/>
        <w:autoSpaceDN w:val="0"/>
        <w:adjustRightInd w:val="0"/>
        <w:spacing w:line="480" w:lineRule="auto"/>
        <w:ind w:left="480" w:hanging="480"/>
        <w:rPr>
          <w:rFonts w:cs="Times New Roman"/>
          <w:noProof/>
        </w:rPr>
      </w:pPr>
      <w:r w:rsidRPr="007222B6">
        <w:rPr>
          <w:rFonts w:cs="Times New Roman"/>
          <w:noProof/>
        </w:rPr>
        <w:t xml:space="preserve">Keuthen, N. J., O’Sullivan, R. L., Ricciardi, J. N., Shera, D., Savage, C. R., Borgmann, A. S., </w:t>
      </w:r>
      <w:r w:rsidRPr="007222B6">
        <w:rPr>
          <w:rFonts w:cs="Times New Roman"/>
          <w:noProof/>
        </w:rPr>
        <w:lastRenderedPageBreak/>
        <w:t xml:space="preserve">Jenike, M. A., &amp; Baer, L. (1995). The Massachusetts General Hospital (MGH) Hairpulling Scale: 1. Development and factor analyses. </w:t>
      </w:r>
      <w:r w:rsidRPr="007222B6">
        <w:rPr>
          <w:rFonts w:cs="Times New Roman"/>
          <w:i/>
          <w:iCs/>
          <w:noProof/>
        </w:rPr>
        <w:t>Psychotherapy and Psychosomatics</w:t>
      </w:r>
      <w:r w:rsidRPr="007222B6">
        <w:rPr>
          <w:rFonts w:cs="Times New Roman"/>
          <w:noProof/>
        </w:rPr>
        <w:t xml:space="preserve">, </w:t>
      </w:r>
      <w:r w:rsidRPr="007222B6">
        <w:rPr>
          <w:rFonts w:cs="Times New Roman"/>
          <w:i/>
          <w:iCs/>
          <w:noProof/>
        </w:rPr>
        <w:t>64</w:t>
      </w:r>
      <w:r w:rsidRPr="007222B6">
        <w:rPr>
          <w:rFonts w:cs="Times New Roman"/>
          <w:noProof/>
        </w:rPr>
        <w:t>(3–4), 141–145. https://doi.org/10.1159/000289003</w:t>
      </w:r>
    </w:p>
    <w:p w14:paraId="18ABE3A4" w14:textId="77777777" w:rsidR="007222B6" w:rsidRPr="007222B6" w:rsidRDefault="007222B6" w:rsidP="007222B6">
      <w:pPr>
        <w:widowControl w:val="0"/>
        <w:autoSpaceDE w:val="0"/>
        <w:autoSpaceDN w:val="0"/>
        <w:adjustRightInd w:val="0"/>
        <w:spacing w:line="480" w:lineRule="auto"/>
        <w:ind w:left="480" w:hanging="480"/>
        <w:rPr>
          <w:rFonts w:cs="Times New Roman"/>
          <w:noProof/>
        </w:rPr>
      </w:pPr>
      <w:r w:rsidRPr="007222B6">
        <w:rPr>
          <w:rFonts w:cs="Times New Roman"/>
          <w:noProof/>
        </w:rPr>
        <w:t xml:space="preserve">Keuthen, N. J., Rothbaum, B. O., Fama, J., Altenburger, E., Falkenstein, M. J., Sprich, S. E., Kearns, M., Meunier, S., Jenike, M. A., &amp; Welch, S. S. (2012). DBT-enhanced cognitive-behavioral treatment for trichotillomania: A randomized controlled trial. </w:t>
      </w:r>
      <w:r w:rsidRPr="007222B6">
        <w:rPr>
          <w:rFonts w:cs="Times New Roman"/>
          <w:i/>
          <w:iCs/>
          <w:noProof/>
        </w:rPr>
        <w:t>Journal of Behavioral Addictions</w:t>
      </w:r>
      <w:r w:rsidRPr="007222B6">
        <w:rPr>
          <w:rFonts w:cs="Times New Roman"/>
          <w:noProof/>
        </w:rPr>
        <w:t xml:space="preserve">, </w:t>
      </w:r>
      <w:r w:rsidRPr="007222B6">
        <w:rPr>
          <w:rFonts w:cs="Times New Roman"/>
          <w:i/>
          <w:iCs/>
          <w:noProof/>
        </w:rPr>
        <w:t>1</w:t>
      </w:r>
      <w:r w:rsidRPr="007222B6">
        <w:rPr>
          <w:rFonts w:cs="Times New Roman"/>
          <w:noProof/>
        </w:rPr>
        <w:t>(3), 106–114. https://doi.org/10.1556/JBA.1.2012.003</w:t>
      </w:r>
    </w:p>
    <w:p w14:paraId="17692E6E" w14:textId="77777777" w:rsidR="00926801" w:rsidRDefault="00926801" w:rsidP="00926801">
      <w:pPr>
        <w:widowControl w:val="0"/>
        <w:autoSpaceDE w:val="0"/>
        <w:autoSpaceDN w:val="0"/>
        <w:adjustRightInd w:val="0"/>
        <w:spacing w:line="480" w:lineRule="auto"/>
        <w:ind w:left="480" w:hanging="480"/>
        <w:rPr>
          <w:rFonts w:cs="Times New Roman"/>
          <w:szCs w:val="24"/>
        </w:rPr>
      </w:pPr>
      <w:r>
        <w:t xml:space="preserve">Lee, E. B, Haeger, J. A, Levin, M.E., Ong, C. W, &amp; Twohig, M. P. (2018). Telepsychotherapy or trichotillomania: A randomized controlled trial of ACT-enhanced behavior therapy. </w:t>
      </w:r>
      <w:r>
        <w:rPr>
          <w:i/>
          <w:iCs/>
        </w:rPr>
        <w:t>Journal of Obsessive-Compulsive and Related Disorders, 18,</w:t>
      </w:r>
      <w:r>
        <w:t xml:space="preserve"> 106-115. </w:t>
      </w:r>
      <w:hyperlink r:id="rId27" w:tgtFrame="_blank" w:tooltip="Persistent link using digital object identifier" w:history="1">
        <w:r w:rsidRPr="00F21646">
          <w:rPr>
            <w:rFonts w:cs="Times New Roman"/>
            <w:color w:val="FF6C00"/>
            <w:szCs w:val="24"/>
            <w:u w:val="single"/>
          </w:rPr>
          <w:t>https://doi.org/10.1016/j.jocrd.2018.04.003</w:t>
        </w:r>
      </w:hyperlink>
    </w:p>
    <w:p w14:paraId="1548CF97" w14:textId="77777777" w:rsidR="007222B6" w:rsidRPr="007222B6" w:rsidRDefault="007222B6" w:rsidP="007222B6">
      <w:pPr>
        <w:widowControl w:val="0"/>
        <w:autoSpaceDE w:val="0"/>
        <w:autoSpaceDN w:val="0"/>
        <w:adjustRightInd w:val="0"/>
        <w:spacing w:line="480" w:lineRule="auto"/>
        <w:ind w:left="480" w:hanging="480"/>
        <w:rPr>
          <w:rFonts w:cs="Times New Roman"/>
          <w:noProof/>
        </w:rPr>
      </w:pPr>
      <w:r w:rsidRPr="007222B6">
        <w:rPr>
          <w:rFonts w:cs="Times New Roman"/>
          <w:noProof/>
        </w:rPr>
        <w:t xml:space="preserve">McGuire, J. F., Ung, D., Selles, R. R., Rahman, O., Lewin, A. B., Murphy, T. K., &amp; Storch, E. A. (2014). Treating trichotillomania: A meta-analysis of treatment effects and moderators for behavior therapy and serotonin reuptake inhibitors. </w:t>
      </w:r>
      <w:r w:rsidRPr="007222B6">
        <w:rPr>
          <w:rFonts w:cs="Times New Roman"/>
          <w:i/>
          <w:iCs/>
          <w:noProof/>
        </w:rPr>
        <w:t>Journal of Psychiatric Research</w:t>
      </w:r>
      <w:r w:rsidRPr="007222B6">
        <w:rPr>
          <w:rFonts w:cs="Times New Roman"/>
          <w:noProof/>
        </w:rPr>
        <w:t xml:space="preserve">, </w:t>
      </w:r>
      <w:r w:rsidRPr="007222B6">
        <w:rPr>
          <w:rFonts w:cs="Times New Roman"/>
          <w:i/>
          <w:iCs/>
          <w:noProof/>
        </w:rPr>
        <w:t>58</w:t>
      </w:r>
      <w:r w:rsidRPr="007222B6">
        <w:rPr>
          <w:rFonts w:cs="Times New Roman"/>
          <w:noProof/>
        </w:rPr>
        <w:t>, 76–83. https://doi.org/10.1016/j.jpsychires.2014.07.015</w:t>
      </w:r>
    </w:p>
    <w:p w14:paraId="2550927F" w14:textId="77777777" w:rsidR="007222B6" w:rsidRPr="007222B6" w:rsidRDefault="007222B6" w:rsidP="007222B6">
      <w:pPr>
        <w:widowControl w:val="0"/>
        <w:autoSpaceDE w:val="0"/>
        <w:autoSpaceDN w:val="0"/>
        <w:adjustRightInd w:val="0"/>
        <w:spacing w:line="480" w:lineRule="auto"/>
        <w:ind w:left="480" w:hanging="480"/>
        <w:rPr>
          <w:rFonts w:cs="Times New Roman"/>
          <w:noProof/>
        </w:rPr>
      </w:pPr>
      <w:r w:rsidRPr="007222B6">
        <w:rPr>
          <w:rFonts w:cs="Times New Roman"/>
          <w:noProof/>
        </w:rPr>
        <w:t xml:space="preserve">Neal-Barnett, A. M., Woods, D. W., Espil, F. M., Davis, M., Alexander, J. R., Compton, S. N., Walther, M. R., Twohig, M. P., Saunders, S. M., Cahill, S. P., &amp; Franklin, M. E. (2019). Acceptance-enhanced Behavior Therapy for Trichotillomania: Randomized controlled trial rationale, methods and strategies for recruiting minority participants. </w:t>
      </w:r>
      <w:r w:rsidRPr="007222B6">
        <w:rPr>
          <w:rFonts w:cs="Times New Roman"/>
          <w:i/>
          <w:iCs/>
          <w:noProof/>
        </w:rPr>
        <w:t>Bulletin of the Menninger Clinic</w:t>
      </w:r>
      <w:r w:rsidRPr="007222B6">
        <w:rPr>
          <w:rFonts w:cs="Times New Roman"/>
          <w:noProof/>
        </w:rPr>
        <w:t xml:space="preserve">, </w:t>
      </w:r>
      <w:r w:rsidRPr="007222B6">
        <w:rPr>
          <w:rFonts w:cs="Times New Roman"/>
          <w:i/>
          <w:iCs/>
          <w:noProof/>
        </w:rPr>
        <w:t>83</w:t>
      </w:r>
      <w:r w:rsidRPr="007222B6">
        <w:rPr>
          <w:rFonts w:cs="Times New Roman"/>
          <w:noProof/>
        </w:rPr>
        <w:t>(4), 399–431. https://doi.org/10.1521/bumc_2019_83_04</w:t>
      </w:r>
    </w:p>
    <w:p w14:paraId="1F10E649" w14:textId="77777777" w:rsidR="007222B6" w:rsidRPr="007222B6" w:rsidRDefault="007222B6" w:rsidP="007222B6">
      <w:pPr>
        <w:widowControl w:val="0"/>
        <w:autoSpaceDE w:val="0"/>
        <w:autoSpaceDN w:val="0"/>
        <w:adjustRightInd w:val="0"/>
        <w:spacing w:line="480" w:lineRule="auto"/>
        <w:ind w:left="480" w:hanging="480"/>
        <w:rPr>
          <w:rFonts w:cs="Times New Roman"/>
          <w:noProof/>
        </w:rPr>
      </w:pPr>
      <w:r w:rsidRPr="007222B6">
        <w:rPr>
          <w:rFonts w:cs="Times New Roman"/>
          <w:noProof/>
        </w:rPr>
        <w:t xml:space="preserve">Pinsker, H. (1997). </w:t>
      </w:r>
      <w:r w:rsidRPr="007222B6">
        <w:rPr>
          <w:rFonts w:cs="Times New Roman"/>
          <w:i/>
          <w:iCs/>
          <w:noProof/>
        </w:rPr>
        <w:t>A primer of supportive psychotherapy</w:t>
      </w:r>
      <w:r w:rsidRPr="007222B6">
        <w:rPr>
          <w:rFonts w:cs="Times New Roman"/>
          <w:noProof/>
        </w:rPr>
        <w:t>. The Analytic Press, Inc.</w:t>
      </w:r>
    </w:p>
    <w:p w14:paraId="665F3152" w14:textId="77777777" w:rsidR="007222B6" w:rsidRPr="007222B6" w:rsidRDefault="007222B6" w:rsidP="007222B6">
      <w:pPr>
        <w:widowControl w:val="0"/>
        <w:autoSpaceDE w:val="0"/>
        <w:autoSpaceDN w:val="0"/>
        <w:adjustRightInd w:val="0"/>
        <w:spacing w:line="480" w:lineRule="auto"/>
        <w:ind w:left="480" w:hanging="480"/>
        <w:rPr>
          <w:rFonts w:cs="Times New Roman"/>
          <w:noProof/>
        </w:rPr>
      </w:pPr>
      <w:r w:rsidRPr="007222B6">
        <w:rPr>
          <w:rFonts w:cs="Times New Roman"/>
          <w:noProof/>
        </w:rPr>
        <w:t xml:space="preserve">Pinsker, H., &amp; Rosenthal, R. (1988). Beth Israel Medical Center Supportive Psychotherapy Manual. In </w:t>
      </w:r>
      <w:r w:rsidRPr="007222B6">
        <w:rPr>
          <w:rFonts w:cs="Times New Roman"/>
          <w:i/>
          <w:iCs/>
          <w:noProof/>
        </w:rPr>
        <w:t>Social and Behavior Science Documents 18</w:t>
      </w:r>
      <w:r w:rsidRPr="007222B6">
        <w:rPr>
          <w:rFonts w:cs="Times New Roman"/>
          <w:noProof/>
        </w:rPr>
        <w:t xml:space="preserve"> (p. Manuscript # 2886). American </w:t>
      </w:r>
      <w:r w:rsidRPr="007222B6">
        <w:rPr>
          <w:rFonts w:cs="Times New Roman"/>
          <w:noProof/>
        </w:rPr>
        <w:lastRenderedPageBreak/>
        <w:t>Psychological Association.</w:t>
      </w:r>
    </w:p>
    <w:p w14:paraId="6CF3F678" w14:textId="77777777" w:rsidR="007222B6" w:rsidRPr="007222B6" w:rsidRDefault="007222B6" w:rsidP="007222B6">
      <w:pPr>
        <w:widowControl w:val="0"/>
        <w:autoSpaceDE w:val="0"/>
        <w:autoSpaceDN w:val="0"/>
        <w:adjustRightInd w:val="0"/>
        <w:spacing w:line="480" w:lineRule="auto"/>
        <w:ind w:left="480" w:hanging="480"/>
        <w:rPr>
          <w:rFonts w:cs="Times New Roman"/>
          <w:noProof/>
        </w:rPr>
      </w:pPr>
      <w:r w:rsidRPr="007222B6">
        <w:rPr>
          <w:rFonts w:cs="Times New Roman"/>
          <w:noProof/>
        </w:rPr>
        <w:t xml:space="preserve">Rothbaum, B. O., &amp; Ninan, P. T. (1994). The assessment of trichotillomania. </w:t>
      </w:r>
      <w:r w:rsidRPr="007222B6">
        <w:rPr>
          <w:rFonts w:cs="Times New Roman"/>
          <w:i/>
          <w:iCs/>
          <w:noProof/>
        </w:rPr>
        <w:t>Behaviour Research and Therapy</w:t>
      </w:r>
      <w:r w:rsidRPr="007222B6">
        <w:rPr>
          <w:rFonts w:cs="Times New Roman"/>
          <w:noProof/>
        </w:rPr>
        <w:t xml:space="preserve">, </w:t>
      </w:r>
      <w:r w:rsidRPr="007222B6">
        <w:rPr>
          <w:rFonts w:cs="Times New Roman"/>
          <w:i/>
          <w:iCs/>
          <w:noProof/>
        </w:rPr>
        <w:t>32</w:t>
      </w:r>
      <w:r w:rsidRPr="007222B6">
        <w:rPr>
          <w:rFonts w:cs="Times New Roman"/>
          <w:noProof/>
        </w:rPr>
        <w:t>(6), 651–662. https://doi.org/10.1016/0005-7967(94)90022-1</w:t>
      </w:r>
    </w:p>
    <w:p w14:paraId="66435812" w14:textId="77777777" w:rsidR="007222B6" w:rsidRPr="007222B6" w:rsidRDefault="007222B6" w:rsidP="007222B6">
      <w:pPr>
        <w:widowControl w:val="0"/>
        <w:autoSpaceDE w:val="0"/>
        <w:autoSpaceDN w:val="0"/>
        <w:adjustRightInd w:val="0"/>
        <w:spacing w:line="480" w:lineRule="auto"/>
        <w:ind w:left="480" w:hanging="480"/>
        <w:rPr>
          <w:rFonts w:cs="Times New Roman"/>
          <w:noProof/>
        </w:rPr>
      </w:pPr>
      <w:r w:rsidRPr="007222B6">
        <w:rPr>
          <w:rFonts w:cs="Times New Roman"/>
          <w:noProof/>
        </w:rPr>
        <w:t xml:space="preserve">Slikboer, R., Nedeljkovic, M., Bowe, S. J., &amp; Moulding, R. (2017). A systematic review and meta-analysis of behaviourally based psychological interventions and pharmacological interventions for trichotillomania. </w:t>
      </w:r>
      <w:r w:rsidRPr="007222B6">
        <w:rPr>
          <w:rFonts w:cs="Times New Roman"/>
          <w:i/>
          <w:iCs/>
          <w:noProof/>
        </w:rPr>
        <w:t>Clinical Psychologist</w:t>
      </w:r>
      <w:r w:rsidRPr="007222B6">
        <w:rPr>
          <w:rFonts w:cs="Times New Roman"/>
          <w:noProof/>
        </w:rPr>
        <w:t xml:space="preserve">, </w:t>
      </w:r>
      <w:r w:rsidRPr="007222B6">
        <w:rPr>
          <w:rFonts w:cs="Times New Roman"/>
          <w:i/>
          <w:iCs/>
          <w:noProof/>
        </w:rPr>
        <w:t>21</w:t>
      </w:r>
      <w:r w:rsidRPr="007222B6">
        <w:rPr>
          <w:rFonts w:cs="Times New Roman"/>
          <w:noProof/>
        </w:rPr>
        <w:t>, 20–32. https://doi.org/10.1111/cp.12074</w:t>
      </w:r>
    </w:p>
    <w:p w14:paraId="40969BC2" w14:textId="77777777" w:rsidR="007222B6" w:rsidRPr="007222B6" w:rsidRDefault="007222B6" w:rsidP="007222B6">
      <w:pPr>
        <w:widowControl w:val="0"/>
        <w:autoSpaceDE w:val="0"/>
        <w:autoSpaceDN w:val="0"/>
        <w:adjustRightInd w:val="0"/>
        <w:spacing w:line="480" w:lineRule="auto"/>
        <w:ind w:left="480" w:hanging="480"/>
        <w:rPr>
          <w:rFonts w:cs="Times New Roman"/>
          <w:noProof/>
        </w:rPr>
      </w:pPr>
      <w:r w:rsidRPr="007222B6">
        <w:rPr>
          <w:rFonts w:cs="Times New Roman"/>
          <w:noProof/>
        </w:rPr>
        <w:t xml:space="preserve">Swedo, S. E., Leonard, H. L., Rapoport, J. L., Lenane, M. C., Goldberger, E. L., &amp; Cheslow, D. L. (1989). A double-blind comparison of clomipramine and desipramine in the treatment of trichotillomania (hair pulling). </w:t>
      </w:r>
      <w:r w:rsidRPr="007222B6">
        <w:rPr>
          <w:rFonts w:cs="Times New Roman"/>
          <w:i/>
          <w:iCs/>
          <w:noProof/>
        </w:rPr>
        <w:t>New England Journal of Medicine</w:t>
      </w:r>
      <w:r w:rsidRPr="007222B6">
        <w:rPr>
          <w:rFonts w:cs="Times New Roman"/>
          <w:noProof/>
        </w:rPr>
        <w:t xml:space="preserve">, </w:t>
      </w:r>
      <w:r w:rsidRPr="007222B6">
        <w:rPr>
          <w:rFonts w:cs="Times New Roman"/>
          <w:i/>
          <w:iCs/>
          <w:noProof/>
        </w:rPr>
        <w:t>321</w:t>
      </w:r>
      <w:r w:rsidRPr="007222B6">
        <w:rPr>
          <w:rFonts w:cs="Times New Roman"/>
          <w:noProof/>
        </w:rPr>
        <w:t>(8), 497–501. https://doi.org/10.1056/NEJM198908243210803</w:t>
      </w:r>
    </w:p>
    <w:p w14:paraId="6CE2268F" w14:textId="77777777" w:rsidR="007222B6" w:rsidRPr="007222B6" w:rsidRDefault="007222B6" w:rsidP="007222B6">
      <w:pPr>
        <w:widowControl w:val="0"/>
        <w:autoSpaceDE w:val="0"/>
        <w:autoSpaceDN w:val="0"/>
        <w:adjustRightInd w:val="0"/>
        <w:spacing w:line="480" w:lineRule="auto"/>
        <w:ind w:left="480" w:hanging="480"/>
        <w:rPr>
          <w:rFonts w:cs="Times New Roman"/>
          <w:noProof/>
        </w:rPr>
      </w:pPr>
      <w:r w:rsidRPr="007222B6">
        <w:rPr>
          <w:rFonts w:cs="Times New Roman"/>
          <w:noProof/>
        </w:rPr>
        <w:t xml:space="preserve">Twohig, M. P., Hayes, S. C., &amp; Masuda, A. (2006a). A preliminary investigation of acceptance and commitment therapy as a treatment for chronic skin picking. </w:t>
      </w:r>
      <w:r w:rsidRPr="007222B6">
        <w:rPr>
          <w:rFonts w:cs="Times New Roman"/>
          <w:i/>
          <w:iCs/>
          <w:noProof/>
        </w:rPr>
        <w:t>Behaviour Research and Therapy</w:t>
      </w:r>
      <w:r w:rsidRPr="007222B6">
        <w:rPr>
          <w:rFonts w:cs="Times New Roman"/>
          <w:noProof/>
        </w:rPr>
        <w:t xml:space="preserve">, </w:t>
      </w:r>
      <w:r w:rsidRPr="007222B6">
        <w:rPr>
          <w:rFonts w:cs="Times New Roman"/>
          <w:i/>
          <w:iCs/>
          <w:noProof/>
        </w:rPr>
        <w:t>44</w:t>
      </w:r>
      <w:r w:rsidRPr="007222B6">
        <w:rPr>
          <w:rFonts w:cs="Times New Roman"/>
          <w:noProof/>
        </w:rPr>
        <w:t>(10), 1513–1522. https://doi.org/10.1016/j.brat.2005.10.002</w:t>
      </w:r>
    </w:p>
    <w:p w14:paraId="3AEE27EC" w14:textId="77777777" w:rsidR="007222B6" w:rsidRPr="007222B6" w:rsidRDefault="007222B6" w:rsidP="007222B6">
      <w:pPr>
        <w:widowControl w:val="0"/>
        <w:autoSpaceDE w:val="0"/>
        <w:autoSpaceDN w:val="0"/>
        <w:adjustRightInd w:val="0"/>
        <w:spacing w:line="480" w:lineRule="auto"/>
        <w:ind w:left="480" w:hanging="480"/>
        <w:rPr>
          <w:rFonts w:cs="Times New Roman"/>
          <w:noProof/>
        </w:rPr>
      </w:pPr>
      <w:r w:rsidRPr="007222B6">
        <w:rPr>
          <w:rFonts w:cs="Times New Roman"/>
          <w:noProof/>
        </w:rPr>
        <w:t xml:space="preserve">Twohig, M. P., Hayes, S. C., &amp; Masuda, A. (2006b). Increasing willingness to experience obsessions: Acceptance and Commitment Therapy as a treatment for obsessive-compulsive disorder. </w:t>
      </w:r>
      <w:r w:rsidRPr="007222B6">
        <w:rPr>
          <w:rFonts w:cs="Times New Roman"/>
          <w:i/>
          <w:iCs/>
          <w:noProof/>
        </w:rPr>
        <w:t>Behavior Therapy</w:t>
      </w:r>
      <w:r w:rsidRPr="007222B6">
        <w:rPr>
          <w:rFonts w:cs="Times New Roman"/>
          <w:noProof/>
        </w:rPr>
        <w:t xml:space="preserve">, </w:t>
      </w:r>
      <w:r w:rsidRPr="007222B6">
        <w:rPr>
          <w:rFonts w:cs="Times New Roman"/>
          <w:i/>
          <w:iCs/>
          <w:noProof/>
        </w:rPr>
        <w:t>37</w:t>
      </w:r>
      <w:r w:rsidRPr="007222B6">
        <w:rPr>
          <w:rFonts w:cs="Times New Roman"/>
          <w:noProof/>
        </w:rPr>
        <w:t>(1), 3–13. https://doi.org/10.1016/j.beth.2005.02.001</w:t>
      </w:r>
    </w:p>
    <w:p w14:paraId="5D7E58D5" w14:textId="77777777" w:rsidR="007222B6" w:rsidRPr="007222B6" w:rsidRDefault="007222B6" w:rsidP="007222B6">
      <w:pPr>
        <w:widowControl w:val="0"/>
        <w:autoSpaceDE w:val="0"/>
        <w:autoSpaceDN w:val="0"/>
        <w:adjustRightInd w:val="0"/>
        <w:spacing w:line="480" w:lineRule="auto"/>
        <w:ind w:left="480" w:hanging="480"/>
        <w:rPr>
          <w:rFonts w:cs="Times New Roman"/>
          <w:noProof/>
        </w:rPr>
      </w:pPr>
      <w:r w:rsidRPr="007222B6">
        <w:rPr>
          <w:rFonts w:cs="Times New Roman"/>
          <w:noProof/>
        </w:rPr>
        <w:t xml:space="preserve">Twohig, M. P., &amp; Woods, D. W. (2004). A preliminary investigation of acceptance and commitment therapy and habit reversal as a treatment for trichotillomania. </w:t>
      </w:r>
      <w:r w:rsidRPr="007222B6">
        <w:rPr>
          <w:rFonts w:cs="Times New Roman"/>
          <w:i/>
          <w:iCs/>
          <w:noProof/>
        </w:rPr>
        <w:t>Behavior Therapy</w:t>
      </w:r>
      <w:r w:rsidRPr="007222B6">
        <w:rPr>
          <w:rFonts w:cs="Times New Roman"/>
          <w:noProof/>
        </w:rPr>
        <w:t xml:space="preserve">, </w:t>
      </w:r>
      <w:r w:rsidRPr="007222B6">
        <w:rPr>
          <w:rFonts w:cs="Times New Roman"/>
          <w:i/>
          <w:iCs/>
          <w:noProof/>
        </w:rPr>
        <w:t>35</w:t>
      </w:r>
      <w:r w:rsidRPr="007222B6">
        <w:rPr>
          <w:rFonts w:cs="Times New Roman"/>
          <w:noProof/>
        </w:rPr>
        <w:t>(4), 803–820. https://doi.org/10.1016/S0005-7894(04)80021-2</w:t>
      </w:r>
    </w:p>
    <w:p w14:paraId="5322C3E3" w14:textId="77777777" w:rsidR="007222B6" w:rsidRPr="007222B6" w:rsidRDefault="007222B6" w:rsidP="007222B6">
      <w:pPr>
        <w:widowControl w:val="0"/>
        <w:autoSpaceDE w:val="0"/>
        <w:autoSpaceDN w:val="0"/>
        <w:adjustRightInd w:val="0"/>
        <w:spacing w:line="480" w:lineRule="auto"/>
        <w:ind w:left="480" w:hanging="480"/>
        <w:rPr>
          <w:rFonts w:cs="Times New Roman"/>
          <w:noProof/>
        </w:rPr>
      </w:pPr>
      <w:r w:rsidRPr="007222B6">
        <w:rPr>
          <w:rFonts w:cs="Times New Roman"/>
          <w:noProof/>
        </w:rPr>
        <w:t xml:space="preserve">Walther, M. R., Ricketts, E. J., Conelea, C. A., &amp; Woods, D. W. (2010). Recent advances in the understanding and treatment of trichotillomania. </w:t>
      </w:r>
      <w:r w:rsidRPr="007222B6">
        <w:rPr>
          <w:rFonts w:cs="Times New Roman"/>
          <w:i/>
          <w:iCs/>
          <w:noProof/>
        </w:rPr>
        <w:t>Journal of Cognitive Psychotherapy</w:t>
      </w:r>
      <w:r w:rsidRPr="007222B6">
        <w:rPr>
          <w:rFonts w:cs="Times New Roman"/>
          <w:noProof/>
        </w:rPr>
        <w:t xml:space="preserve">, </w:t>
      </w:r>
      <w:r w:rsidRPr="007222B6">
        <w:rPr>
          <w:rFonts w:cs="Times New Roman"/>
          <w:i/>
          <w:iCs/>
          <w:noProof/>
        </w:rPr>
        <w:t>24</w:t>
      </w:r>
      <w:r w:rsidRPr="007222B6">
        <w:rPr>
          <w:rFonts w:cs="Times New Roman"/>
          <w:noProof/>
        </w:rPr>
        <w:t>(1), 46–64. https://doi.org/10.1891/0889-8391.24.1.46</w:t>
      </w:r>
    </w:p>
    <w:p w14:paraId="77C1B381" w14:textId="77777777" w:rsidR="007222B6" w:rsidRPr="007222B6" w:rsidRDefault="007222B6" w:rsidP="007222B6">
      <w:pPr>
        <w:widowControl w:val="0"/>
        <w:autoSpaceDE w:val="0"/>
        <w:autoSpaceDN w:val="0"/>
        <w:adjustRightInd w:val="0"/>
        <w:spacing w:line="480" w:lineRule="auto"/>
        <w:ind w:left="480" w:hanging="480"/>
        <w:rPr>
          <w:rFonts w:cs="Times New Roman"/>
          <w:noProof/>
        </w:rPr>
      </w:pPr>
      <w:r w:rsidRPr="007222B6">
        <w:rPr>
          <w:rFonts w:cs="Times New Roman"/>
          <w:noProof/>
        </w:rPr>
        <w:lastRenderedPageBreak/>
        <w:t xml:space="preserve">Wechsler, D. (2001). </w:t>
      </w:r>
      <w:r w:rsidRPr="007222B6">
        <w:rPr>
          <w:rFonts w:cs="Times New Roman"/>
          <w:i/>
          <w:iCs/>
          <w:noProof/>
        </w:rPr>
        <w:t>Wechsler Test of Adult Reading (WTAR)</w:t>
      </w:r>
      <w:r w:rsidRPr="007222B6">
        <w:rPr>
          <w:rFonts w:cs="Times New Roman"/>
          <w:noProof/>
        </w:rPr>
        <w:t>. The Psychological Corporation.</w:t>
      </w:r>
    </w:p>
    <w:p w14:paraId="5D10461C" w14:textId="77777777" w:rsidR="007222B6" w:rsidRPr="007222B6" w:rsidRDefault="007222B6" w:rsidP="007222B6">
      <w:pPr>
        <w:widowControl w:val="0"/>
        <w:autoSpaceDE w:val="0"/>
        <w:autoSpaceDN w:val="0"/>
        <w:adjustRightInd w:val="0"/>
        <w:spacing w:line="480" w:lineRule="auto"/>
        <w:ind w:left="480" w:hanging="480"/>
        <w:rPr>
          <w:rFonts w:cs="Times New Roman"/>
          <w:noProof/>
        </w:rPr>
      </w:pPr>
      <w:r w:rsidRPr="007222B6">
        <w:rPr>
          <w:rFonts w:cs="Times New Roman"/>
          <w:noProof/>
        </w:rPr>
        <w:t xml:space="preserve">Wei, L. J. (1978). An application of an urn model to the design of sequential controlled clinical trials. </w:t>
      </w:r>
      <w:r w:rsidRPr="007222B6">
        <w:rPr>
          <w:rFonts w:cs="Times New Roman"/>
          <w:i/>
          <w:iCs/>
          <w:noProof/>
        </w:rPr>
        <w:t>Journal of the American Statistical Association</w:t>
      </w:r>
      <w:r w:rsidRPr="007222B6">
        <w:rPr>
          <w:rFonts w:cs="Times New Roman"/>
          <w:noProof/>
        </w:rPr>
        <w:t xml:space="preserve">, </w:t>
      </w:r>
      <w:r w:rsidRPr="007222B6">
        <w:rPr>
          <w:rFonts w:cs="Times New Roman"/>
          <w:i/>
          <w:iCs/>
          <w:noProof/>
        </w:rPr>
        <w:t>73</w:t>
      </w:r>
      <w:r w:rsidRPr="007222B6">
        <w:rPr>
          <w:rFonts w:cs="Times New Roman"/>
          <w:noProof/>
        </w:rPr>
        <w:t>(363), 559–563. https://doi.org/10.1080/01621459.1978.10480054</w:t>
      </w:r>
    </w:p>
    <w:p w14:paraId="545E8FE4" w14:textId="77777777" w:rsidR="007222B6" w:rsidRPr="007222B6" w:rsidRDefault="007222B6" w:rsidP="007222B6">
      <w:pPr>
        <w:widowControl w:val="0"/>
        <w:autoSpaceDE w:val="0"/>
        <w:autoSpaceDN w:val="0"/>
        <w:adjustRightInd w:val="0"/>
        <w:spacing w:line="480" w:lineRule="auto"/>
        <w:ind w:left="480" w:hanging="480"/>
        <w:rPr>
          <w:rFonts w:cs="Times New Roman"/>
          <w:noProof/>
        </w:rPr>
      </w:pPr>
      <w:r w:rsidRPr="007222B6">
        <w:rPr>
          <w:rFonts w:cs="Times New Roman"/>
          <w:noProof/>
        </w:rPr>
        <w:t xml:space="preserve">Wei, L. J., &amp; Lachin, J. M. (1988). Properties of the urn randomization in clinical trials. </w:t>
      </w:r>
      <w:r w:rsidRPr="007222B6">
        <w:rPr>
          <w:rFonts w:cs="Times New Roman"/>
          <w:i/>
          <w:iCs/>
          <w:noProof/>
        </w:rPr>
        <w:t>Controlled Clinical Trials</w:t>
      </w:r>
      <w:r w:rsidRPr="007222B6">
        <w:rPr>
          <w:rFonts w:cs="Times New Roman"/>
          <w:noProof/>
        </w:rPr>
        <w:t xml:space="preserve">, </w:t>
      </w:r>
      <w:r w:rsidRPr="007222B6">
        <w:rPr>
          <w:rFonts w:cs="Times New Roman"/>
          <w:i/>
          <w:iCs/>
          <w:noProof/>
        </w:rPr>
        <w:t>9</w:t>
      </w:r>
      <w:r w:rsidRPr="007222B6">
        <w:rPr>
          <w:rFonts w:cs="Times New Roman"/>
          <w:noProof/>
        </w:rPr>
        <w:t>(4), 345–364. https://doi.org/10.1016/0197-2456(88)90048-7</w:t>
      </w:r>
    </w:p>
    <w:p w14:paraId="4AC2F100" w14:textId="77777777" w:rsidR="007222B6" w:rsidRPr="007222B6" w:rsidRDefault="007222B6" w:rsidP="007222B6">
      <w:pPr>
        <w:widowControl w:val="0"/>
        <w:autoSpaceDE w:val="0"/>
        <w:autoSpaceDN w:val="0"/>
        <w:adjustRightInd w:val="0"/>
        <w:spacing w:line="480" w:lineRule="auto"/>
        <w:ind w:left="480" w:hanging="480"/>
        <w:rPr>
          <w:rFonts w:cs="Times New Roman"/>
          <w:noProof/>
        </w:rPr>
      </w:pPr>
      <w:r w:rsidRPr="007222B6">
        <w:rPr>
          <w:rFonts w:cs="Times New Roman"/>
          <w:noProof/>
        </w:rPr>
        <w:t xml:space="preserve">White, M. P., Shirer, W. R., Molfino, M. J., Tenison, C., Damoiseaux, J. S., &amp; Greicius, M. D. (2013). Disordered reward processing and functional connectivity in trichotillomania: A pilot study. </w:t>
      </w:r>
      <w:r w:rsidRPr="007222B6">
        <w:rPr>
          <w:rFonts w:cs="Times New Roman"/>
          <w:i/>
          <w:iCs/>
          <w:noProof/>
        </w:rPr>
        <w:t>Journal of Psychiatric Research</w:t>
      </w:r>
      <w:r w:rsidRPr="007222B6">
        <w:rPr>
          <w:rFonts w:cs="Times New Roman"/>
          <w:noProof/>
        </w:rPr>
        <w:t xml:space="preserve">, </w:t>
      </w:r>
      <w:r w:rsidRPr="007222B6">
        <w:rPr>
          <w:rFonts w:cs="Times New Roman"/>
          <w:i/>
          <w:iCs/>
          <w:noProof/>
        </w:rPr>
        <w:t>47</w:t>
      </w:r>
      <w:r w:rsidRPr="007222B6">
        <w:rPr>
          <w:rFonts w:cs="Times New Roman"/>
          <w:noProof/>
        </w:rPr>
        <w:t>(9), 1264–1272. https://doi.org/10.1016/j.jpsychires.2013.05.014</w:t>
      </w:r>
    </w:p>
    <w:p w14:paraId="33A4584E" w14:textId="77777777" w:rsidR="007222B6" w:rsidRPr="007222B6" w:rsidRDefault="007222B6" w:rsidP="007222B6">
      <w:pPr>
        <w:widowControl w:val="0"/>
        <w:autoSpaceDE w:val="0"/>
        <w:autoSpaceDN w:val="0"/>
        <w:adjustRightInd w:val="0"/>
        <w:spacing w:line="480" w:lineRule="auto"/>
        <w:ind w:left="480" w:hanging="480"/>
        <w:rPr>
          <w:rFonts w:cs="Times New Roman"/>
          <w:noProof/>
        </w:rPr>
      </w:pPr>
      <w:r w:rsidRPr="007222B6">
        <w:rPr>
          <w:rFonts w:cs="Times New Roman"/>
          <w:noProof/>
        </w:rPr>
        <w:t xml:space="preserve">Woods, D. W., Flessner, C. A., Franklin, M. E., Keuthen, N. J., Goodwin, R. D., Stein, D. J., &amp; Walther, M. R. (2006). The Trichotillomania Impact Project (TIP): Exploring phenomenology, functional impairment, and treatment utilization. </w:t>
      </w:r>
      <w:r w:rsidRPr="007222B6">
        <w:rPr>
          <w:rFonts w:cs="Times New Roman"/>
          <w:i/>
          <w:iCs/>
          <w:noProof/>
        </w:rPr>
        <w:t>Journal of Clinical Psychiatry</w:t>
      </w:r>
      <w:r w:rsidRPr="007222B6">
        <w:rPr>
          <w:rFonts w:cs="Times New Roman"/>
          <w:noProof/>
        </w:rPr>
        <w:t xml:space="preserve">, </w:t>
      </w:r>
      <w:r w:rsidRPr="007222B6">
        <w:rPr>
          <w:rFonts w:cs="Times New Roman"/>
          <w:i/>
          <w:iCs/>
          <w:noProof/>
        </w:rPr>
        <w:t>67</w:t>
      </w:r>
      <w:r w:rsidRPr="007222B6">
        <w:rPr>
          <w:rFonts w:cs="Times New Roman"/>
          <w:noProof/>
        </w:rPr>
        <w:t>(12), 1877–1888. https://doi.org/10.4088/JCP.v67n1207</w:t>
      </w:r>
    </w:p>
    <w:p w14:paraId="42DC70DE" w14:textId="77777777" w:rsidR="007222B6" w:rsidRPr="007222B6" w:rsidRDefault="007222B6" w:rsidP="007222B6">
      <w:pPr>
        <w:widowControl w:val="0"/>
        <w:autoSpaceDE w:val="0"/>
        <w:autoSpaceDN w:val="0"/>
        <w:adjustRightInd w:val="0"/>
        <w:spacing w:line="480" w:lineRule="auto"/>
        <w:ind w:left="480" w:hanging="480"/>
        <w:rPr>
          <w:rFonts w:cs="Times New Roman"/>
          <w:noProof/>
        </w:rPr>
      </w:pPr>
      <w:r w:rsidRPr="007222B6">
        <w:rPr>
          <w:rFonts w:cs="Times New Roman"/>
          <w:noProof/>
        </w:rPr>
        <w:t xml:space="preserve">Woods, D. W., &amp; Twohig, M. P. (2008). </w:t>
      </w:r>
      <w:r w:rsidRPr="007222B6">
        <w:rPr>
          <w:rFonts w:cs="Times New Roman"/>
          <w:i/>
          <w:iCs/>
          <w:noProof/>
        </w:rPr>
        <w:t>Trichotillomania: An ACT-enhanced behavior therapy approach therapist guide</w:t>
      </w:r>
      <w:r w:rsidRPr="007222B6">
        <w:rPr>
          <w:rFonts w:cs="Times New Roman"/>
          <w:noProof/>
        </w:rPr>
        <w:t>. Oxford University Press.</w:t>
      </w:r>
    </w:p>
    <w:p w14:paraId="1DE2C7E5" w14:textId="77777777" w:rsidR="007222B6" w:rsidRPr="007222B6" w:rsidRDefault="007222B6" w:rsidP="007222B6">
      <w:pPr>
        <w:widowControl w:val="0"/>
        <w:autoSpaceDE w:val="0"/>
        <w:autoSpaceDN w:val="0"/>
        <w:adjustRightInd w:val="0"/>
        <w:spacing w:line="480" w:lineRule="auto"/>
        <w:ind w:left="480" w:hanging="480"/>
        <w:rPr>
          <w:rFonts w:cs="Times New Roman"/>
          <w:noProof/>
        </w:rPr>
      </w:pPr>
      <w:r w:rsidRPr="007222B6">
        <w:rPr>
          <w:rFonts w:cs="Times New Roman"/>
          <w:noProof/>
        </w:rPr>
        <w:t xml:space="preserve">Woods, D. W., Wetterneck, C. T., &amp; Flessner, C. A. (2006). A controlled evaluation of acceptance and commitment therapy plus habit reversal for trichotillomania. </w:t>
      </w:r>
      <w:r w:rsidRPr="007222B6">
        <w:rPr>
          <w:rFonts w:cs="Times New Roman"/>
          <w:i/>
          <w:iCs/>
          <w:noProof/>
        </w:rPr>
        <w:t>Behaviour Research and Therapy</w:t>
      </w:r>
      <w:r w:rsidRPr="007222B6">
        <w:rPr>
          <w:rFonts w:cs="Times New Roman"/>
          <w:noProof/>
        </w:rPr>
        <w:t xml:space="preserve">, </w:t>
      </w:r>
      <w:r w:rsidRPr="007222B6">
        <w:rPr>
          <w:rFonts w:cs="Times New Roman"/>
          <w:i/>
          <w:iCs/>
          <w:noProof/>
        </w:rPr>
        <w:t>44</w:t>
      </w:r>
      <w:r w:rsidRPr="007222B6">
        <w:rPr>
          <w:rFonts w:cs="Times New Roman"/>
          <w:noProof/>
        </w:rPr>
        <w:t>(5), 639–656. https://doi.org/10.1016/j.brat.2005.05.006</w:t>
      </w:r>
    </w:p>
    <w:p w14:paraId="57C620A8" w14:textId="201B6E77" w:rsidR="00062E40" w:rsidRDefault="00EA042B" w:rsidP="007222B6">
      <w:pPr>
        <w:widowControl w:val="0"/>
        <w:autoSpaceDE w:val="0"/>
        <w:autoSpaceDN w:val="0"/>
        <w:adjustRightInd w:val="0"/>
        <w:spacing w:line="480" w:lineRule="auto"/>
        <w:ind w:left="480" w:hanging="480"/>
        <w:rPr>
          <w:rFonts w:eastAsia="Times New Roman" w:cs="Times New Roman"/>
          <w:b/>
          <w:szCs w:val="24"/>
        </w:rPr>
      </w:pPr>
      <w:r>
        <w:rPr>
          <w:rFonts w:eastAsia="Times New Roman" w:cs="Times New Roman"/>
          <w:b/>
          <w:szCs w:val="24"/>
        </w:rPr>
        <w:fldChar w:fldCharType="end"/>
      </w:r>
    </w:p>
    <w:p w14:paraId="66DFBD59" w14:textId="77777777" w:rsidR="00062E40" w:rsidRDefault="00062E40" w:rsidP="00CF2EEA">
      <w:pPr>
        <w:widowControl w:val="0"/>
        <w:rPr>
          <w:rFonts w:eastAsia="Times New Roman" w:cs="Times New Roman"/>
          <w:b/>
          <w:szCs w:val="24"/>
        </w:rPr>
        <w:sectPr w:rsidR="00062E40" w:rsidSect="00A222CE">
          <w:headerReference w:type="default" r:id="rId28"/>
          <w:headerReference w:type="first" r:id="rId29"/>
          <w:pgSz w:w="12240" w:h="15840"/>
          <w:pgMar w:top="1440" w:right="1440" w:bottom="1440" w:left="1440" w:header="720" w:footer="720" w:gutter="0"/>
          <w:cols w:space="720"/>
          <w:titlePg/>
          <w:docGrid w:linePitch="360"/>
        </w:sectPr>
      </w:pPr>
    </w:p>
    <w:p w14:paraId="702B6CBD" w14:textId="695DC84D" w:rsidR="00A00D61" w:rsidRDefault="00A00D61" w:rsidP="00A00D61">
      <w:pPr>
        <w:pStyle w:val="Heading1"/>
        <w:spacing w:line="480" w:lineRule="auto"/>
      </w:pPr>
      <w:r>
        <w:lastRenderedPageBreak/>
        <w:t>Footnotes</w:t>
      </w:r>
    </w:p>
    <w:p w14:paraId="40AFA7B6" w14:textId="43460D39" w:rsidR="00A00D61" w:rsidRDefault="00A00D61" w:rsidP="00A00D61">
      <w:pPr>
        <w:pStyle w:val="Heading2"/>
        <w:rPr>
          <w:i/>
          <w:iCs/>
        </w:rPr>
      </w:pPr>
      <w:r w:rsidRPr="00A00D61">
        <w:rPr>
          <w:b w:val="0"/>
          <w:bCs/>
          <w:vertAlign w:val="superscript"/>
        </w:rPr>
        <w:t>1</w:t>
      </w:r>
      <w:r w:rsidRPr="00A00D61">
        <w:t>Abbreviations</w:t>
      </w:r>
    </w:p>
    <w:p w14:paraId="2DC1D838" w14:textId="77777777" w:rsidR="00A00D61" w:rsidRPr="004E50A6" w:rsidRDefault="00A00D61" w:rsidP="00A00D61"/>
    <w:p w14:paraId="0090B3CA" w14:textId="77777777" w:rsidR="00A00D61" w:rsidRDefault="00A00D61" w:rsidP="00A00D61">
      <w:pPr>
        <w:widowControl w:val="0"/>
        <w:spacing w:line="480" w:lineRule="auto"/>
        <w:rPr>
          <w:rFonts w:cs="Times New Roman"/>
          <w:szCs w:val="24"/>
        </w:rPr>
      </w:pPr>
      <w:r>
        <w:rPr>
          <w:rFonts w:cs="Times New Roman"/>
          <w:szCs w:val="24"/>
        </w:rPr>
        <w:t>AEBT-TTM = Acceptance-enhanced behavior therapy for trichotillomania</w:t>
      </w:r>
    </w:p>
    <w:p w14:paraId="4A4DFEE2" w14:textId="1E32ED06" w:rsidR="00A00D61" w:rsidRDefault="00A00D61" w:rsidP="00A00D61">
      <w:pPr>
        <w:widowControl w:val="0"/>
        <w:spacing w:line="480" w:lineRule="auto"/>
        <w:rPr>
          <w:rFonts w:eastAsia="Times New Roman" w:cs="Times New Roman"/>
          <w:iCs/>
          <w:szCs w:val="24"/>
        </w:rPr>
      </w:pPr>
      <w:r>
        <w:rPr>
          <w:rFonts w:cs="Times New Roman"/>
          <w:szCs w:val="24"/>
        </w:rPr>
        <w:t xml:space="preserve">CGI-I = </w:t>
      </w:r>
      <w:r w:rsidRPr="00736BBE">
        <w:rPr>
          <w:rFonts w:eastAsia="Times New Roman" w:cs="Times New Roman"/>
          <w:iCs/>
          <w:szCs w:val="24"/>
        </w:rPr>
        <w:t>Clinical Global Impression</w:t>
      </w:r>
      <w:r>
        <w:rPr>
          <w:rFonts w:eastAsia="Times New Roman" w:cs="Times New Roman"/>
          <w:iCs/>
          <w:szCs w:val="24"/>
        </w:rPr>
        <w:t>s</w:t>
      </w:r>
      <w:r w:rsidRPr="00736BBE">
        <w:rPr>
          <w:rFonts w:eastAsia="Times New Roman" w:cs="Times New Roman"/>
          <w:iCs/>
          <w:szCs w:val="24"/>
        </w:rPr>
        <w:t>-Improvement</w:t>
      </w:r>
    </w:p>
    <w:p w14:paraId="22BBB069" w14:textId="6D1C5A9A" w:rsidR="00775E75" w:rsidRDefault="00775E75" w:rsidP="00A00D61">
      <w:pPr>
        <w:widowControl w:val="0"/>
        <w:spacing w:line="480" w:lineRule="auto"/>
        <w:rPr>
          <w:rFonts w:cs="Times New Roman"/>
          <w:szCs w:val="24"/>
        </w:rPr>
      </w:pPr>
      <w:r>
        <w:rPr>
          <w:rFonts w:eastAsia="Times New Roman" w:cs="Times New Roman"/>
          <w:iCs/>
          <w:szCs w:val="24"/>
        </w:rPr>
        <w:t>ES = Effect Size</w:t>
      </w:r>
    </w:p>
    <w:p w14:paraId="2D380E47" w14:textId="77777777" w:rsidR="00A00D61" w:rsidRDefault="00A00D61" w:rsidP="00A00D61">
      <w:pPr>
        <w:widowControl w:val="0"/>
        <w:spacing w:line="480" w:lineRule="auto"/>
        <w:rPr>
          <w:rFonts w:cs="Times New Roman"/>
          <w:szCs w:val="24"/>
        </w:rPr>
      </w:pPr>
      <w:r>
        <w:rPr>
          <w:rFonts w:cs="Times New Roman"/>
          <w:szCs w:val="24"/>
        </w:rPr>
        <w:t>HRT = Habit Reversal Training</w:t>
      </w:r>
    </w:p>
    <w:p w14:paraId="5A88877E" w14:textId="77777777" w:rsidR="00A00D61" w:rsidRPr="004F2C57" w:rsidRDefault="00A00D61" w:rsidP="00A00D61">
      <w:pPr>
        <w:widowControl w:val="0"/>
        <w:spacing w:line="480" w:lineRule="auto"/>
        <w:rPr>
          <w:rFonts w:cs="Times New Roman"/>
          <w:iCs/>
          <w:szCs w:val="24"/>
        </w:rPr>
      </w:pPr>
      <w:r>
        <w:rPr>
          <w:rFonts w:cs="Times New Roman"/>
          <w:szCs w:val="24"/>
        </w:rPr>
        <w:t xml:space="preserve">MIST-A = </w:t>
      </w:r>
      <w:r w:rsidRPr="004F2C57">
        <w:rPr>
          <w:rFonts w:cs="Times New Roman"/>
          <w:bCs/>
          <w:iCs/>
          <w:szCs w:val="24"/>
        </w:rPr>
        <w:t>Milwaukee Inventory for Subtypes of Trichotillomania-Adult Version</w:t>
      </w:r>
    </w:p>
    <w:p w14:paraId="42C2D479" w14:textId="77777777" w:rsidR="00A00D61" w:rsidRDefault="00A00D61" w:rsidP="00A00D61">
      <w:pPr>
        <w:widowControl w:val="0"/>
        <w:spacing w:line="480" w:lineRule="auto"/>
        <w:rPr>
          <w:rFonts w:eastAsia="Times New Roman" w:cs="Times New Roman"/>
          <w:szCs w:val="24"/>
        </w:rPr>
      </w:pPr>
      <w:r>
        <w:rPr>
          <w:rFonts w:cs="Times New Roman"/>
          <w:szCs w:val="24"/>
        </w:rPr>
        <w:t xml:space="preserve">MGH-HS = </w:t>
      </w:r>
      <w:r>
        <w:rPr>
          <w:rFonts w:eastAsia="Times New Roman" w:cs="Times New Roman"/>
          <w:szCs w:val="24"/>
        </w:rPr>
        <w:t>Massachusetts General Hospital-Hairpulling Scale</w:t>
      </w:r>
    </w:p>
    <w:p w14:paraId="475E0EC8" w14:textId="5B97AAAC" w:rsidR="00A00D61" w:rsidRDefault="00A00D61" w:rsidP="00A00D61">
      <w:pPr>
        <w:widowControl w:val="0"/>
        <w:spacing w:line="480" w:lineRule="auto"/>
        <w:rPr>
          <w:rFonts w:eastAsia="Times New Roman" w:cs="Times New Roman"/>
          <w:szCs w:val="24"/>
        </w:rPr>
      </w:pPr>
      <w:r>
        <w:rPr>
          <w:rFonts w:eastAsia="Times New Roman" w:cs="Times New Roman"/>
          <w:szCs w:val="24"/>
        </w:rPr>
        <w:t xml:space="preserve">NIMH-TS = </w:t>
      </w:r>
      <w:r w:rsidRPr="00FF24C2">
        <w:rPr>
          <w:rFonts w:eastAsia="Times New Roman" w:cs="Times New Roman"/>
          <w:szCs w:val="24"/>
        </w:rPr>
        <w:t>NIMH Trichotillomania Impairment Scale</w:t>
      </w:r>
    </w:p>
    <w:p w14:paraId="647B69E4" w14:textId="7F4CD601" w:rsidR="00775E75" w:rsidRPr="004F2C57" w:rsidRDefault="00775E75" w:rsidP="00A00D61">
      <w:pPr>
        <w:widowControl w:val="0"/>
        <w:spacing w:line="480" w:lineRule="auto"/>
        <w:rPr>
          <w:rFonts w:eastAsia="Times New Roman" w:cs="Times New Roman"/>
          <w:szCs w:val="24"/>
        </w:rPr>
      </w:pPr>
      <w:r>
        <w:rPr>
          <w:rFonts w:eastAsia="Times New Roman" w:cs="Times New Roman"/>
          <w:szCs w:val="24"/>
        </w:rPr>
        <w:t>NNT = Number needed to treat</w:t>
      </w:r>
    </w:p>
    <w:p w14:paraId="7E69ECEA" w14:textId="77777777" w:rsidR="00A00D61" w:rsidRDefault="00A00D61" w:rsidP="00A00D61">
      <w:pPr>
        <w:widowControl w:val="0"/>
        <w:spacing w:line="480" w:lineRule="auto"/>
        <w:rPr>
          <w:rFonts w:cs="Times New Roman"/>
          <w:szCs w:val="24"/>
        </w:rPr>
      </w:pPr>
      <w:r>
        <w:rPr>
          <w:rFonts w:cs="Times New Roman"/>
          <w:szCs w:val="24"/>
        </w:rPr>
        <w:t>PST = P</w:t>
      </w:r>
      <w:r w:rsidRPr="008478EE">
        <w:rPr>
          <w:rFonts w:cs="Times New Roman"/>
          <w:szCs w:val="24"/>
        </w:rPr>
        <w:t>sychoeducation and supportive therapy</w:t>
      </w:r>
    </w:p>
    <w:p w14:paraId="40B2BA2E" w14:textId="0CADBEAA" w:rsidR="00A00D61" w:rsidRDefault="00A00D61" w:rsidP="00A00D61">
      <w:pPr>
        <w:widowControl w:val="0"/>
        <w:spacing w:line="480" w:lineRule="auto"/>
        <w:rPr>
          <w:rFonts w:cs="Times New Roman"/>
          <w:szCs w:val="24"/>
        </w:rPr>
      </w:pPr>
      <w:r>
        <w:rPr>
          <w:rFonts w:cs="Times New Roman"/>
          <w:szCs w:val="24"/>
        </w:rPr>
        <w:t>SC = Stimulus control procedures</w:t>
      </w:r>
    </w:p>
    <w:p w14:paraId="239D4337" w14:textId="286DFF95" w:rsidR="00A00D61" w:rsidRDefault="00A00D61" w:rsidP="00A00D61">
      <w:pPr>
        <w:widowControl w:val="0"/>
        <w:spacing w:line="480" w:lineRule="auto"/>
        <w:rPr>
          <w:rFonts w:cs="Times New Roman"/>
          <w:szCs w:val="24"/>
        </w:rPr>
      </w:pPr>
      <w:r>
        <w:rPr>
          <w:rFonts w:cs="Times New Roman"/>
          <w:szCs w:val="24"/>
        </w:rPr>
        <w:t>TDI = Trichotillomania Diagnostic Inventory</w:t>
      </w:r>
    </w:p>
    <w:p w14:paraId="1EF2AFA1" w14:textId="715D25E8" w:rsidR="007660AE" w:rsidRPr="007660AE" w:rsidRDefault="007660AE" w:rsidP="00A00D61">
      <w:pPr>
        <w:widowControl w:val="0"/>
        <w:spacing w:line="480" w:lineRule="auto"/>
        <w:rPr>
          <w:rFonts w:cs="Times New Roman"/>
          <w:szCs w:val="24"/>
        </w:rPr>
      </w:pPr>
      <w:r w:rsidRPr="007660AE">
        <w:rPr>
          <w:rFonts w:eastAsia="Times New Roman" w:cs="Times New Roman"/>
          <w:szCs w:val="24"/>
        </w:rPr>
        <w:t>TEI-SF = Treatment Evaluation Inventory-Short Form</w:t>
      </w:r>
    </w:p>
    <w:p w14:paraId="632859EA" w14:textId="77777777" w:rsidR="00A00D61" w:rsidRDefault="00A00D61" w:rsidP="00A00D61">
      <w:pPr>
        <w:widowControl w:val="0"/>
        <w:spacing w:line="480" w:lineRule="auto"/>
        <w:rPr>
          <w:rFonts w:cs="Times New Roman"/>
          <w:szCs w:val="24"/>
        </w:rPr>
      </w:pPr>
      <w:r>
        <w:rPr>
          <w:rFonts w:cs="Times New Roman"/>
          <w:szCs w:val="24"/>
        </w:rPr>
        <w:t>TTM = Trichotillomania</w:t>
      </w:r>
    </w:p>
    <w:p w14:paraId="1E0E440C" w14:textId="77777777" w:rsidR="00A00D61" w:rsidRDefault="00A00D61" w:rsidP="00A00D61">
      <w:pPr>
        <w:widowControl w:val="0"/>
        <w:spacing w:line="480" w:lineRule="auto"/>
        <w:rPr>
          <w:rFonts w:cs="Times New Roman"/>
          <w:szCs w:val="24"/>
        </w:rPr>
      </w:pPr>
      <w:r>
        <w:rPr>
          <w:rFonts w:cs="Times New Roman"/>
          <w:szCs w:val="24"/>
        </w:rPr>
        <w:t xml:space="preserve">WTAR = </w:t>
      </w:r>
      <w:r>
        <w:rPr>
          <w:rFonts w:eastAsia="Times New Roman" w:cs="Times New Roman"/>
          <w:szCs w:val="24"/>
        </w:rPr>
        <w:t>Wechsler Test of Adult Reading</w:t>
      </w:r>
    </w:p>
    <w:p w14:paraId="22B3920C" w14:textId="3A5C75D3" w:rsidR="00A00D61" w:rsidRDefault="00A00D61">
      <w:pPr>
        <w:spacing w:after="200" w:line="276" w:lineRule="auto"/>
      </w:pPr>
      <w:r>
        <w:br w:type="page"/>
      </w:r>
    </w:p>
    <w:p w14:paraId="3DBC2CCB" w14:textId="63432A1D" w:rsidR="00062E40" w:rsidRDefault="00062E40" w:rsidP="00CF2EEA">
      <w:pPr>
        <w:pStyle w:val="Heading1"/>
        <w:keepNext w:val="0"/>
        <w:keepLines w:val="0"/>
        <w:widowControl w:val="0"/>
        <w:spacing w:line="480" w:lineRule="auto"/>
        <w:jc w:val="left"/>
      </w:pPr>
      <w:r w:rsidRPr="00025A41">
        <w:lastRenderedPageBreak/>
        <w:t>Table 1</w:t>
      </w:r>
    </w:p>
    <w:p w14:paraId="5D5D39EC" w14:textId="3B9A8E5A" w:rsidR="00062E40" w:rsidRPr="00062E40" w:rsidRDefault="003D0ED6" w:rsidP="00CF2EEA">
      <w:pPr>
        <w:widowControl w:val="0"/>
        <w:spacing w:line="480" w:lineRule="auto"/>
        <w:rPr>
          <w:rFonts w:cs="Times New Roman"/>
        </w:rPr>
      </w:pPr>
      <w:r>
        <w:rPr>
          <w:rFonts w:cs="Times New Roman"/>
        </w:rPr>
        <w:t>Demographic and Clinical Characteristics of the Current Sample</w:t>
      </w:r>
    </w:p>
    <w:tbl>
      <w:tblPr>
        <w:tblStyle w:val="TableGrid"/>
        <w:tblW w:w="8532"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8"/>
        <w:gridCol w:w="1260"/>
        <w:gridCol w:w="1350"/>
        <w:gridCol w:w="1584"/>
        <w:gridCol w:w="990"/>
      </w:tblGrid>
      <w:tr w:rsidR="006E68D1" w:rsidRPr="00705DA8" w14:paraId="4D7574CD" w14:textId="77777777" w:rsidTr="006674C6">
        <w:trPr>
          <w:trHeight w:val="288"/>
        </w:trPr>
        <w:tc>
          <w:tcPr>
            <w:tcW w:w="3348" w:type="dxa"/>
            <w:tcBorders>
              <w:top w:val="single" w:sz="4" w:space="0" w:color="auto"/>
              <w:bottom w:val="single" w:sz="4" w:space="0" w:color="auto"/>
            </w:tcBorders>
          </w:tcPr>
          <w:p w14:paraId="25B55C53" w14:textId="77777777" w:rsidR="006E68D1" w:rsidRPr="00705DA8" w:rsidRDefault="006E68D1" w:rsidP="00CF2EEA">
            <w:pPr>
              <w:widowControl w:val="0"/>
              <w:rPr>
                <w:rFonts w:cs="Times New Roman"/>
                <w:sz w:val="20"/>
                <w:szCs w:val="20"/>
              </w:rPr>
            </w:pPr>
          </w:p>
        </w:tc>
        <w:tc>
          <w:tcPr>
            <w:tcW w:w="1260" w:type="dxa"/>
            <w:tcBorders>
              <w:top w:val="single" w:sz="4" w:space="0" w:color="auto"/>
              <w:bottom w:val="single" w:sz="4" w:space="0" w:color="auto"/>
            </w:tcBorders>
          </w:tcPr>
          <w:p w14:paraId="39A393D3" w14:textId="34345725" w:rsidR="006E68D1" w:rsidRPr="00705DA8" w:rsidRDefault="006E68D1" w:rsidP="00CF2EEA">
            <w:pPr>
              <w:widowControl w:val="0"/>
              <w:jc w:val="center"/>
              <w:rPr>
                <w:rFonts w:cs="Times New Roman"/>
                <w:sz w:val="20"/>
                <w:szCs w:val="20"/>
              </w:rPr>
            </w:pPr>
            <w:r>
              <w:rPr>
                <w:rFonts w:cs="Times New Roman"/>
                <w:sz w:val="20"/>
                <w:szCs w:val="20"/>
              </w:rPr>
              <w:t>AEBT</w:t>
            </w:r>
            <w:r w:rsidR="00A359E2">
              <w:rPr>
                <w:rFonts w:cs="Times New Roman"/>
                <w:sz w:val="20"/>
                <w:szCs w:val="20"/>
              </w:rPr>
              <w:t>-TTM</w:t>
            </w:r>
            <w:r>
              <w:rPr>
                <w:rFonts w:cs="Times New Roman"/>
                <w:sz w:val="20"/>
                <w:szCs w:val="20"/>
              </w:rPr>
              <w:br/>
            </w:r>
            <w:r w:rsidRPr="00705DA8">
              <w:rPr>
                <w:rFonts w:cs="Times New Roman"/>
                <w:sz w:val="20"/>
                <w:szCs w:val="20"/>
              </w:rPr>
              <w:t>(</w:t>
            </w:r>
            <w:r w:rsidRPr="00FE1EC5">
              <w:rPr>
                <w:rFonts w:cs="Times New Roman"/>
                <w:i/>
                <w:sz w:val="20"/>
                <w:szCs w:val="20"/>
              </w:rPr>
              <w:t>n</w:t>
            </w:r>
            <w:r w:rsidR="00D32F79">
              <w:rPr>
                <w:rFonts w:cs="Times New Roman"/>
                <w:sz w:val="20"/>
                <w:szCs w:val="20"/>
              </w:rPr>
              <w:t xml:space="preserve"> </w:t>
            </w:r>
            <w:r w:rsidRPr="00705DA8">
              <w:rPr>
                <w:rFonts w:cs="Times New Roman"/>
                <w:sz w:val="20"/>
                <w:szCs w:val="20"/>
              </w:rPr>
              <w:t>=</w:t>
            </w:r>
            <w:r w:rsidR="00D32F79">
              <w:rPr>
                <w:rFonts w:cs="Times New Roman"/>
                <w:sz w:val="20"/>
                <w:szCs w:val="20"/>
              </w:rPr>
              <w:t xml:space="preserve"> </w:t>
            </w:r>
            <w:r w:rsidRPr="00705DA8">
              <w:rPr>
                <w:rFonts w:cs="Times New Roman"/>
                <w:sz w:val="20"/>
                <w:szCs w:val="20"/>
              </w:rPr>
              <w:t>4</w:t>
            </w:r>
            <w:r w:rsidR="006433F1">
              <w:rPr>
                <w:rFonts w:cs="Times New Roman"/>
                <w:sz w:val="20"/>
                <w:szCs w:val="20"/>
              </w:rPr>
              <w:t>3</w:t>
            </w:r>
            <w:r w:rsidRPr="00705DA8">
              <w:rPr>
                <w:rFonts w:cs="Times New Roman"/>
                <w:sz w:val="20"/>
                <w:szCs w:val="20"/>
              </w:rPr>
              <w:t>)</w:t>
            </w:r>
          </w:p>
        </w:tc>
        <w:tc>
          <w:tcPr>
            <w:tcW w:w="1350" w:type="dxa"/>
            <w:tcBorders>
              <w:top w:val="single" w:sz="4" w:space="0" w:color="auto"/>
              <w:bottom w:val="single" w:sz="4" w:space="0" w:color="auto"/>
            </w:tcBorders>
          </w:tcPr>
          <w:p w14:paraId="536ADDEB" w14:textId="361FCEB6" w:rsidR="006E68D1" w:rsidRPr="00705DA8" w:rsidRDefault="006E68D1" w:rsidP="00CF2EEA">
            <w:pPr>
              <w:widowControl w:val="0"/>
              <w:jc w:val="center"/>
              <w:rPr>
                <w:rFonts w:cs="Times New Roman"/>
                <w:sz w:val="20"/>
                <w:szCs w:val="20"/>
              </w:rPr>
            </w:pPr>
            <w:r w:rsidRPr="00705DA8">
              <w:rPr>
                <w:rFonts w:cs="Times New Roman"/>
                <w:sz w:val="20"/>
                <w:szCs w:val="20"/>
              </w:rPr>
              <w:t>PST</w:t>
            </w:r>
            <w:r>
              <w:rPr>
                <w:rFonts w:cs="Times New Roman"/>
                <w:sz w:val="20"/>
                <w:szCs w:val="20"/>
              </w:rPr>
              <w:br/>
            </w:r>
            <w:r w:rsidRPr="00705DA8">
              <w:rPr>
                <w:rFonts w:cs="Times New Roman"/>
                <w:sz w:val="20"/>
                <w:szCs w:val="20"/>
              </w:rPr>
              <w:t>(</w:t>
            </w:r>
            <w:r w:rsidR="00D32F79">
              <w:rPr>
                <w:rFonts w:cs="Times New Roman"/>
                <w:i/>
                <w:sz w:val="20"/>
                <w:szCs w:val="20"/>
              </w:rPr>
              <w:t xml:space="preserve">n </w:t>
            </w:r>
            <w:r w:rsidR="00D32F79">
              <w:rPr>
                <w:rFonts w:cs="Times New Roman"/>
                <w:sz w:val="20"/>
                <w:szCs w:val="20"/>
              </w:rPr>
              <w:t xml:space="preserve">= </w:t>
            </w:r>
            <w:r w:rsidRPr="00705DA8">
              <w:rPr>
                <w:rFonts w:cs="Times New Roman"/>
                <w:sz w:val="20"/>
                <w:szCs w:val="20"/>
              </w:rPr>
              <w:t>4</w:t>
            </w:r>
            <w:r w:rsidR="006433F1">
              <w:rPr>
                <w:rFonts w:cs="Times New Roman"/>
                <w:sz w:val="20"/>
                <w:szCs w:val="20"/>
              </w:rPr>
              <w:t>2</w:t>
            </w:r>
            <w:r w:rsidRPr="00705DA8">
              <w:rPr>
                <w:rFonts w:cs="Times New Roman"/>
                <w:sz w:val="20"/>
                <w:szCs w:val="20"/>
              </w:rPr>
              <w:t>)</w:t>
            </w:r>
          </w:p>
        </w:tc>
        <w:tc>
          <w:tcPr>
            <w:tcW w:w="1584" w:type="dxa"/>
            <w:tcBorders>
              <w:top w:val="single" w:sz="4" w:space="0" w:color="auto"/>
              <w:bottom w:val="single" w:sz="4" w:space="0" w:color="auto"/>
            </w:tcBorders>
          </w:tcPr>
          <w:p w14:paraId="45D05929" w14:textId="54C63B7E" w:rsidR="006E68D1" w:rsidRPr="00705DA8" w:rsidRDefault="006E68D1" w:rsidP="00CF2EEA">
            <w:pPr>
              <w:widowControl w:val="0"/>
              <w:jc w:val="center"/>
              <w:rPr>
                <w:rFonts w:cs="Times New Roman"/>
                <w:sz w:val="20"/>
                <w:szCs w:val="20"/>
              </w:rPr>
            </w:pPr>
            <w:r w:rsidRPr="00705DA8">
              <w:rPr>
                <w:rFonts w:cs="Times New Roman"/>
                <w:sz w:val="20"/>
                <w:szCs w:val="20"/>
              </w:rPr>
              <w:t>All Participants</w:t>
            </w:r>
            <w:r w:rsidR="006674C6">
              <w:rPr>
                <w:rFonts w:cs="Times New Roman"/>
                <w:sz w:val="20"/>
                <w:szCs w:val="20"/>
              </w:rPr>
              <w:br/>
            </w:r>
            <w:r w:rsidR="006674C6" w:rsidRPr="00705DA8">
              <w:rPr>
                <w:rFonts w:cs="Times New Roman"/>
                <w:sz w:val="20"/>
                <w:szCs w:val="20"/>
              </w:rPr>
              <w:t>(</w:t>
            </w:r>
            <w:r w:rsidR="006674C6">
              <w:rPr>
                <w:rFonts w:cs="Times New Roman"/>
                <w:i/>
                <w:sz w:val="20"/>
                <w:szCs w:val="20"/>
              </w:rPr>
              <w:t xml:space="preserve">n </w:t>
            </w:r>
            <w:r w:rsidR="006674C6">
              <w:rPr>
                <w:rFonts w:cs="Times New Roman"/>
                <w:sz w:val="20"/>
                <w:szCs w:val="20"/>
              </w:rPr>
              <w:t>= 85</w:t>
            </w:r>
            <w:r w:rsidR="006674C6" w:rsidRPr="00705DA8">
              <w:rPr>
                <w:rFonts w:cs="Times New Roman"/>
                <w:sz w:val="20"/>
                <w:szCs w:val="20"/>
              </w:rPr>
              <w:t>)</w:t>
            </w:r>
          </w:p>
        </w:tc>
        <w:tc>
          <w:tcPr>
            <w:tcW w:w="990" w:type="dxa"/>
            <w:tcBorders>
              <w:top w:val="single" w:sz="4" w:space="0" w:color="auto"/>
              <w:bottom w:val="single" w:sz="4" w:space="0" w:color="auto"/>
            </w:tcBorders>
          </w:tcPr>
          <w:p w14:paraId="64F95D19" w14:textId="77777777" w:rsidR="006E68D1" w:rsidRPr="00705DA8" w:rsidRDefault="006E68D1" w:rsidP="00CF2EEA">
            <w:pPr>
              <w:widowControl w:val="0"/>
              <w:jc w:val="center"/>
              <w:rPr>
                <w:rFonts w:cs="Times New Roman"/>
                <w:sz w:val="20"/>
                <w:szCs w:val="20"/>
              </w:rPr>
            </w:pPr>
            <w:r w:rsidRPr="00FE1EC5">
              <w:rPr>
                <w:rFonts w:cs="Times New Roman"/>
                <w:i/>
                <w:sz w:val="20"/>
                <w:szCs w:val="20"/>
              </w:rPr>
              <w:t>p</w:t>
            </w:r>
            <w:r w:rsidRPr="00705DA8">
              <w:rPr>
                <w:rFonts w:cs="Times New Roman"/>
                <w:sz w:val="20"/>
                <w:szCs w:val="20"/>
              </w:rPr>
              <w:t>-value</w:t>
            </w:r>
          </w:p>
        </w:tc>
      </w:tr>
      <w:tr w:rsidR="006E68D1" w:rsidRPr="00705DA8" w14:paraId="33E27F5E" w14:textId="77777777" w:rsidTr="006674C6">
        <w:trPr>
          <w:trHeight w:val="144"/>
        </w:trPr>
        <w:tc>
          <w:tcPr>
            <w:tcW w:w="3348" w:type="dxa"/>
            <w:tcBorders>
              <w:top w:val="single" w:sz="4" w:space="0" w:color="auto"/>
            </w:tcBorders>
          </w:tcPr>
          <w:p w14:paraId="2E0ECBD1" w14:textId="77777777" w:rsidR="006E68D1" w:rsidRPr="00705DA8" w:rsidRDefault="006E68D1" w:rsidP="00CF2EEA">
            <w:pPr>
              <w:widowControl w:val="0"/>
              <w:rPr>
                <w:rFonts w:cs="Times New Roman"/>
                <w:sz w:val="20"/>
                <w:szCs w:val="20"/>
              </w:rPr>
            </w:pPr>
          </w:p>
        </w:tc>
        <w:tc>
          <w:tcPr>
            <w:tcW w:w="1260" w:type="dxa"/>
            <w:tcBorders>
              <w:top w:val="single" w:sz="4" w:space="0" w:color="auto"/>
            </w:tcBorders>
          </w:tcPr>
          <w:p w14:paraId="08ADE79F" w14:textId="77777777" w:rsidR="006E68D1" w:rsidRPr="00705DA8" w:rsidRDefault="006E68D1" w:rsidP="00CF2EEA">
            <w:pPr>
              <w:widowControl w:val="0"/>
              <w:tabs>
                <w:tab w:val="decimal" w:pos="342"/>
              </w:tabs>
              <w:rPr>
                <w:rFonts w:cs="Times New Roman"/>
                <w:sz w:val="20"/>
                <w:szCs w:val="20"/>
              </w:rPr>
            </w:pPr>
          </w:p>
        </w:tc>
        <w:tc>
          <w:tcPr>
            <w:tcW w:w="1350" w:type="dxa"/>
            <w:tcBorders>
              <w:top w:val="single" w:sz="4" w:space="0" w:color="auto"/>
            </w:tcBorders>
          </w:tcPr>
          <w:p w14:paraId="129B784F" w14:textId="77777777" w:rsidR="006E68D1" w:rsidRPr="00705DA8" w:rsidRDefault="006E68D1" w:rsidP="00CF2EEA">
            <w:pPr>
              <w:widowControl w:val="0"/>
              <w:tabs>
                <w:tab w:val="decimal" w:pos="342"/>
              </w:tabs>
              <w:rPr>
                <w:rFonts w:cs="Times New Roman"/>
                <w:sz w:val="20"/>
                <w:szCs w:val="20"/>
              </w:rPr>
            </w:pPr>
          </w:p>
        </w:tc>
        <w:tc>
          <w:tcPr>
            <w:tcW w:w="1584" w:type="dxa"/>
            <w:tcBorders>
              <w:top w:val="single" w:sz="4" w:space="0" w:color="auto"/>
            </w:tcBorders>
          </w:tcPr>
          <w:p w14:paraId="7163355B" w14:textId="77777777" w:rsidR="006E68D1" w:rsidRPr="00705DA8" w:rsidRDefault="006E68D1" w:rsidP="00CF2EEA">
            <w:pPr>
              <w:widowControl w:val="0"/>
              <w:tabs>
                <w:tab w:val="decimal" w:pos="342"/>
              </w:tabs>
              <w:rPr>
                <w:rFonts w:cs="Times New Roman"/>
                <w:sz w:val="20"/>
                <w:szCs w:val="20"/>
              </w:rPr>
            </w:pPr>
          </w:p>
        </w:tc>
        <w:tc>
          <w:tcPr>
            <w:tcW w:w="990" w:type="dxa"/>
            <w:tcBorders>
              <w:top w:val="single" w:sz="4" w:space="0" w:color="auto"/>
            </w:tcBorders>
          </w:tcPr>
          <w:p w14:paraId="0602C8EA" w14:textId="77777777" w:rsidR="006E68D1" w:rsidRPr="00705DA8" w:rsidRDefault="006E68D1" w:rsidP="00CF2EEA">
            <w:pPr>
              <w:widowControl w:val="0"/>
              <w:tabs>
                <w:tab w:val="decimal" w:pos="252"/>
              </w:tabs>
              <w:rPr>
                <w:rFonts w:cs="Times New Roman"/>
                <w:sz w:val="20"/>
                <w:szCs w:val="20"/>
              </w:rPr>
            </w:pPr>
          </w:p>
        </w:tc>
      </w:tr>
      <w:tr w:rsidR="006E68D1" w:rsidRPr="00705DA8" w14:paraId="09ED8748" w14:textId="77777777" w:rsidTr="006674C6">
        <w:trPr>
          <w:trHeight w:val="144"/>
        </w:trPr>
        <w:tc>
          <w:tcPr>
            <w:tcW w:w="3348" w:type="dxa"/>
          </w:tcPr>
          <w:p w14:paraId="133D0222" w14:textId="77777777" w:rsidR="006E68D1" w:rsidRPr="00705DA8" w:rsidRDefault="006E68D1" w:rsidP="00CF2EEA">
            <w:pPr>
              <w:widowControl w:val="0"/>
              <w:rPr>
                <w:rFonts w:cs="Times New Roman"/>
                <w:sz w:val="20"/>
                <w:szCs w:val="20"/>
              </w:rPr>
            </w:pPr>
            <w:r w:rsidRPr="00705DA8">
              <w:rPr>
                <w:rFonts w:cs="Times New Roman"/>
                <w:sz w:val="20"/>
                <w:szCs w:val="20"/>
              </w:rPr>
              <w:t>Age, mean (SD), y</w:t>
            </w:r>
          </w:p>
        </w:tc>
        <w:tc>
          <w:tcPr>
            <w:tcW w:w="1260" w:type="dxa"/>
          </w:tcPr>
          <w:p w14:paraId="268782AF" w14:textId="77777777" w:rsidR="006E68D1" w:rsidRPr="00705DA8" w:rsidRDefault="006E68D1" w:rsidP="00CF2EEA">
            <w:pPr>
              <w:widowControl w:val="0"/>
              <w:tabs>
                <w:tab w:val="decimal" w:pos="342"/>
              </w:tabs>
              <w:rPr>
                <w:rFonts w:cs="Times New Roman"/>
                <w:sz w:val="20"/>
                <w:szCs w:val="20"/>
              </w:rPr>
            </w:pPr>
            <w:r w:rsidRPr="00705DA8">
              <w:rPr>
                <w:rFonts w:cs="Times New Roman"/>
                <w:sz w:val="20"/>
                <w:szCs w:val="20"/>
              </w:rPr>
              <w:t>34.5 (11.6)</w:t>
            </w:r>
          </w:p>
        </w:tc>
        <w:tc>
          <w:tcPr>
            <w:tcW w:w="1350" w:type="dxa"/>
          </w:tcPr>
          <w:p w14:paraId="37AD2D1F" w14:textId="77777777" w:rsidR="006E68D1" w:rsidRPr="00705DA8" w:rsidRDefault="006E68D1" w:rsidP="00CF2EEA">
            <w:pPr>
              <w:widowControl w:val="0"/>
              <w:tabs>
                <w:tab w:val="decimal" w:pos="342"/>
              </w:tabs>
              <w:rPr>
                <w:rFonts w:cs="Times New Roman"/>
                <w:sz w:val="20"/>
                <w:szCs w:val="20"/>
              </w:rPr>
            </w:pPr>
            <w:r w:rsidRPr="00705DA8">
              <w:rPr>
                <w:rFonts w:cs="Times New Roman"/>
                <w:sz w:val="20"/>
                <w:szCs w:val="20"/>
              </w:rPr>
              <w:t>36.3 (13.9)</w:t>
            </w:r>
          </w:p>
        </w:tc>
        <w:tc>
          <w:tcPr>
            <w:tcW w:w="1584" w:type="dxa"/>
          </w:tcPr>
          <w:p w14:paraId="09A8C4EC" w14:textId="77777777" w:rsidR="006E68D1" w:rsidRPr="00705DA8" w:rsidRDefault="006E68D1" w:rsidP="00CF2EEA">
            <w:pPr>
              <w:widowControl w:val="0"/>
              <w:tabs>
                <w:tab w:val="decimal" w:pos="342"/>
              </w:tabs>
              <w:rPr>
                <w:rFonts w:cs="Times New Roman"/>
                <w:sz w:val="20"/>
                <w:szCs w:val="20"/>
              </w:rPr>
            </w:pPr>
            <w:r w:rsidRPr="00705DA8">
              <w:rPr>
                <w:rFonts w:cs="Times New Roman"/>
                <w:sz w:val="20"/>
                <w:szCs w:val="20"/>
              </w:rPr>
              <w:t>35.4 (12.7)</w:t>
            </w:r>
          </w:p>
        </w:tc>
        <w:tc>
          <w:tcPr>
            <w:tcW w:w="990" w:type="dxa"/>
          </w:tcPr>
          <w:p w14:paraId="2A97503A" w14:textId="77777777" w:rsidR="006E68D1" w:rsidRPr="00705DA8" w:rsidRDefault="006E68D1" w:rsidP="00CF2EEA">
            <w:pPr>
              <w:widowControl w:val="0"/>
              <w:tabs>
                <w:tab w:val="decimal" w:pos="252"/>
              </w:tabs>
              <w:rPr>
                <w:rFonts w:cs="Times New Roman"/>
                <w:sz w:val="20"/>
                <w:szCs w:val="20"/>
              </w:rPr>
            </w:pPr>
            <w:r w:rsidRPr="00705DA8">
              <w:rPr>
                <w:rFonts w:cs="Times New Roman"/>
                <w:sz w:val="20"/>
                <w:szCs w:val="20"/>
              </w:rPr>
              <w:t>.51</w:t>
            </w:r>
          </w:p>
        </w:tc>
      </w:tr>
      <w:tr w:rsidR="006E68D1" w:rsidRPr="00705DA8" w14:paraId="650120BC" w14:textId="77777777" w:rsidTr="006674C6">
        <w:trPr>
          <w:trHeight w:val="144"/>
        </w:trPr>
        <w:tc>
          <w:tcPr>
            <w:tcW w:w="3348" w:type="dxa"/>
          </w:tcPr>
          <w:p w14:paraId="786B9032" w14:textId="1C5ADB96" w:rsidR="006E68D1" w:rsidRPr="00705DA8" w:rsidRDefault="006E68D1" w:rsidP="00CF2EEA">
            <w:pPr>
              <w:widowControl w:val="0"/>
              <w:rPr>
                <w:rFonts w:cs="Times New Roman"/>
                <w:sz w:val="20"/>
                <w:szCs w:val="20"/>
              </w:rPr>
            </w:pPr>
            <w:r w:rsidRPr="00705DA8">
              <w:rPr>
                <w:rFonts w:cs="Times New Roman"/>
                <w:sz w:val="20"/>
                <w:szCs w:val="20"/>
              </w:rPr>
              <w:t>W</w:t>
            </w:r>
            <w:r w:rsidR="006D4267">
              <w:rPr>
                <w:rFonts w:cs="Times New Roman"/>
                <w:sz w:val="20"/>
                <w:szCs w:val="20"/>
              </w:rPr>
              <w:t>TAR</w:t>
            </w:r>
            <w:r w:rsidRPr="00705DA8">
              <w:rPr>
                <w:rFonts w:cs="Times New Roman"/>
                <w:sz w:val="20"/>
                <w:szCs w:val="20"/>
              </w:rPr>
              <w:t xml:space="preserve"> IQ, mean (SD)</w:t>
            </w:r>
          </w:p>
        </w:tc>
        <w:tc>
          <w:tcPr>
            <w:tcW w:w="1260" w:type="dxa"/>
          </w:tcPr>
          <w:p w14:paraId="5187D376" w14:textId="0417387B" w:rsidR="006E68D1" w:rsidRPr="00705DA8" w:rsidRDefault="006E68D1" w:rsidP="00CF2EEA">
            <w:pPr>
              <w:widowControl w:val="0"/>
              <w:tabs>
                <w:tab w:val="decimal" w:pos="342"/>
              </w:tabs>
              <w:rPr>
                <w:rFonts w:cs="Times New Roman"/>
                <w:sz w:val="20"/>
                <w:szCs w:val="20"/>
              </w:rPr>
            </w:pPr>
            <w:r w:rsidRPr="00705DA8">
              <w:rPr>
                <w:rFonts w:cs="Times New Roman"/>
                <w:sz w:val="20"/>
                <w:szCs w:val="20"/>
              </w:rPr>
              <w:t>103.6 (11.</w:t>
            </w:r>
            <w:r w:rsidR="006433F1">
              <w:rPr>
                <w:rFonts w:cs="Times New Roman"/>
                <w:sz w:val="20"/>
                <w:szCs w:val="20"/>
              </w:rPr>
              <w:t>8</w:t>
            </w:r>
            <w:r w:rsidRPr="00705DA8">
              <w:rPr>
                <w:rFonts w:cs="Times New Roman"/>
                <w:sz w:val="20"/>
                <w:szCs w:val="20"/>
              </w:rPr>
              <w:t>)</w:t>
            </w:r>
          </w:p>
        </w:tc>
        <w:tc>
          <w:tcPr>
            <w:tcW w:w="1350" w:type="dxa"/>
          </w:tcPr>
          <w:p w14:paraId="62C83519" w14:textId="09DE79DD" w:rsidR="006E68D1" w:rsidRPr="00705DA8" w:rsidRDefault="006E68D1" w:rsidP="00CF2EEA">
            <w:pPr>
              <w:widowControl w:val="0"/>
              <w:tabs>
                <w:tab w:val="decimal" w:pos="342"/>
              </w:tabs>
              <w:rPr>
                <w:rFonts w:cs="Times New Roman"/>
                <w:sz w:val="20"/>
                <w:szCs w:val="20"/>
              </w:rPr>
            </w:pPr>
            <w:r w:rsidRPr="00705DA8">
              <w:rPr>
                <w:rFonts w:cs="Times New Roman"/>
                <w:sz w:val="20"/>
                <w:szCs w:val="20"/>
              </w:rPr>
              <w:t>104.4 (8.</w:t>
            </w:r>
            <w:r w:rsidR="006433F1">
              <w:rPr>
                <w:rFonts w:cs="Times New Roman"/>
                <w:sz w:val="20"/>
                <w:szCs w:val="20"/>
              </w:rPr>
              <w:t>3</w:t>
            </w:r>
            <w:r w:rsidRPr="00705DA8">
              <w:rPr>
                <w:rFonts w:cs="Times New Roman"/>
                <w:sz w:val="20"/>
                <w:szCs w:val="20"/>
              </w:rPr>
              <w:t>)</w:t>
            </w:r>
          </w:p>
        </w:tc>
        <w:tc>
          <w:tcPr>
            <w:tcW w:w="1584" w:type="dxa"/>
          </w:tcPr>
          <w:p w14:paraId="35A9FB1E" w14:textId="77777777" w:rsidR="006E68D1" w:rsidRPr="00705DA8" w:rsidRDefault="006E68D1" w:rsidP="00CF2EEA">
            <w:pPr>
              <w:widowControl w:val="0"/>
              <w:tabs>
                <w:tab w:val="decimal" w:pos="342"/>
              </w:tabs>
              <w:rPr>
                <w:rFonts w:cs="Times New Roman"/>
                <w:sz w:val="20"/>
                <w:szCs w:val="20"/>
              </w:rPr>
            </w:pPr>
            <w:r w:rsidRPr="00705DA8">
              <w:rPr>
                <w:rFonts w:cs="Times New Roman"/>
                <w:sz w:val="20"/>
                <w:szCs w:val="20"/>
              </w:rPr>
              <w:t>104.0 (10.2)</w:t>
            </w:r>
          </w:p>
        </w:tc>
        <w:tc>
          <w:tcPr>
            <w:tcW w:w="990" w:type="dxa"/>
          </w:tcPr>
          <w:p w14:paraId="55136B1D" w14:textId="77777777" w:rsidR="006E68D1" w:rsidRPr="00705DA8" w:rsidRDefault="006E68D1" w:rsidP="00CF2EEA">
            <w:pPr>
              <w:widowControl w:val="0"/>
              <w:tabs>
                <w:tab w:val="decimal" w:pos="252"/>
              </w:tabs>
              <w:rPr>
                <w:rFonts w:cs="Times New Roman"/>
                <w:sz w:val="20"/>
                <w:szCs w:val="20"/>
              </w:rPr>
            </w:pPr>
            <w:r w:rsidRPr="00705DA8">
              <w:rPr>
                <w:rFonts w:cs="Times New Roman"/>
                <w:sz w:val="20"/>
                <w:szCs w:val="20"/>
              </w:rPr>
              <w:t>.73</w:t>
            </w:r>
          </w:p>
        </w:tc>
      </w:tr>
      <w:tr w:rsidR="006E68D1" w:rsidRPr="00705DA8" w14:paraId="04223AB2" w14:textId="77777777" w:rsidTr="006674C6">
        <w:trPr>
          <w:trHeight w:val="144"/>
        </w:trPr>
        <w:tc>
          <w:tcPr>
            <w:tcW w:w="3348" w:type="dxa"/>
          </w:tcPr>
          <w:p w14:paraId="7751A708" w14:textId="77777777" w:rsidR="006E68D1" w:rsidRPr="00705DA8" w:rsidRDefault="006E68D1" w:rsidP="00CF2EEA">
            <w:pPr>
              <w:widowControl w:val="0"/>
              <w:rPr>
                <w:rFonts w:cs="Times New Roman"/>
                <w:sz w:val="20"/>
                <w:szCs w:val="20"/>
              </w:rPr>
            </w:pPr>
            <w:r>
              <w:rPr>
                <w:rFonts w:cs="Times New Roman"/>
                <w:sz w:val="20"/>
                <w:szCs w:val="20"/>
              </w:rPr>
              <w:t>Female</w:t>
            </w:r>
          </w:p>
        </w:tc>
        <w:tc>
          <w:tcPr>
            <w:tcW w:w="1260" w:type="dxa"/>
          </w:tcPr>
          <w:p w14:paraId="1281DCD6" w14:textId="77777777" w:rsidR="006E68D1" w:rsidRPr="00705DA8" w:rsidRDefault="006E68D1" w:rsidP="00CF2EEA">
            <w:pPr>
              <w:widowControl w:val="0"/>
              <w:tabs>
                <w:tab w:val="decimal" w:pos="342"/>
              </w:tabs>
              <w:rPr>
                <w:rFonts w:cs="Times New Roman"/>
                <w:sz w:val="20"/>
                <w:szCs w:val="20"/>
              </w:rPr>
            </w:pPr>
            <w:r w:rsidRPr="00705DA8">
              <w:rPr>
                <w:rFonts w:cs="Times New Roman"/>
                <w:sz w:val="20"/>
                <w:szCs w:val="20"/>
              </w:rPr>
              <w:t>93.2</w:t>
            </w:r>
            <w:bookmarkStart w:id="5" w:name="OLE_LINK1"/>
            <w:bookmarkStart w:id="6" w:name="OLE_LINK2"/>
            <w:r>
              <w:rPr>
                <w:rFonts w:cs="Times New Roman"/>
                <w:sz w:val="20"/>
                <w:szCs w:val="20"/>
              </w:rPr>
              <w:t>%</w:t>
            </w:r>
            <w:bookmarkEnd w:id="5"/>
            <w:bookmarkEnd w:id="6"/>
          </w:p>
        </w:tc>
        <w:tc>
          <w:tcPr>
            <w:tcW w:w="1350" w:type="dxa"/>
          </w:tcPr>
          <w:p w14:paraId="1B01CC32" w14:textId="77777777" w:rsidR="006E68D1" w:rsidRPr="00705DA8" w:rsidRDefault="006E68D1" w:rsidP="00CF2EEA">
            <w:pPr>
              <w:widowControl w:val="0"/>
              <w:tabs>
                <w:tab w:val="decimal" w:pos="342"/>
              </w:tabs>
              <w:rPr>
                <w:rFonts w:cs="Times New Roman"/>
                <w:sz w:val="20"/>
                <w:szCs w:val="20"/>
              </w:rPr>
            </w:pPr>
            <w:r w:rsidRPr="00705DA8">
              <w:rPr>
                <w:rFonts w:cs="Times New Roman"/>
                <w:sz w:val="20"/>
                <w:szCs w:val="20"/>
              </w:rPr>
              <w:t>90.2</w:t>
            </w:r>
            <w:r>
              <w:rPr>
                <w:rFonts w:cs="Times New Roman"/>
                <w:sz w:val="20"/>
                <w:szCs w:val="20"/>
              </w:rPr>
              <w:t>%</w:t>
            </w:r>
          </w:p>
        </w:tc>
        <w:tc>
          <w:tcPr>
            <w:tcW w:w="1584" w:type="dxa"/>
          </w:tcPr>
          <w:p w14:paraId="2F035476" w14:textId="77777777" w:rsidR="006E68D1" w:rsidRPr="00705DA8" w:rsidRDefault="006E68D1" w:rsidP="00CF2EEA">
            <w:pPr>
              <w:widowControl w:val="0"/>
              <w:tabs>
                <w:tab w:val="decimal" w:pos="342"/>
              </w:tabs>
              <w:rPr>
                <w:rFonts w:cs="Times New Roman"/>
                <w:sz w:val="20"/>
                <w:szCs w:val="20"/>
              </w:rPr>
            </w:pPr>
            <w:r w:rsidRPr="00705DA8">
              <w:rPr>
                <w:rFonts w:cs="Times New Roman"/>
                <w:sz w:val="20"/>
                <w:szCs w:val="20"/>
              </w:rPr>
              <w:t>91.8</w:t>
            </w:r>
            <w:r>
              <w:rPr>
                <w:rFonts w:cs="Times New Roman"/>
                <w:sz w:val="20"/>
                <w:szCs w:val="20"/>
              </w:rPr>
              <w:t>%</w:t>
            </w:r>
          </w:p>
        </w:tc>
        <w:tc>
          <w:tcPr>
            <w:tcW w:w="990" w:type="dxa"/>
          </w:tcPr>
          <w:p w14:paraId="2DCBF27C" w14:textId="77777777" w:rsidR="006E68D1" w:rsidRPr="00705DA8" w:rsidRDefault="006E68D1" w:rsidP="00CF2EEA">
            <w:pPr>
              <w:widowControl w:val="0"/>
              <w:tabs>
                <w:tab w:val="decimal" w:pos="252"/>
              </w:tabs>
              <w:rPr>
                <w:rFonts w:cs="Times New Roman"/>
                <w:sz w:val="20"/>
                <w:szCs w:val="20"/>
              </w:rPr>
            </w:pPr>
            <w:r w:rsidRPr="00705DA8">
              <w:rPr>
                <w:rFonts w:cs="Times New Roman"/>
                <w:sz w:val="20"/>
                <w:szCs w:val="20"/>
              </w:rPr>
              <w:t>.62</w:t>
            </w:r>
          </w:p>
        </w:tc>
      </w:tr>
      <w:tr w:rsidR="006E68D1" w:rsidRPr="00705DA8" w14:paraId="4BAAA82B" w14:textId="77777777" w:rsidTr="006674C6">
        <w:trPr>
          <w:trHeight w:val="144"/>
        </w:trPr>
        <w:tc>
          <w:tcPr>
            <w:tcW w:w="3348" w:type="dxa"/>
          </w:tcPr>
          <w:p w14:paraId="30326242" w14:textId="77777777" w:rsidR="006E68D1" w:rsidRPr="00705DA8" w:rsidRDefault="006E68D1" w:rsidP="00CF2EEA">
            <w:pPr>
              <w:widowControl w:val="0"/>
              <w:rPr>
                <w:rFonts w:cs="Times New Roman"/>
                <w:sz w:val="20"/>
                <w:szCs w:val="20"/>
              </w:rPr>
            </w:pPr>
            <w:r w:rsidRPr="00705DA8">
              <w:rPr>
                <w:rFonts w:cs="Times New Roman"/>
                <w:sz w:val="20"/>
                <w:szCs w:val="20"/>
              </w:rPr>
              <w:t>Race</w:t>
            </w:r>
          </w:p>
        </w:tc>
        <w:tc>
          <w:tcPr>
            <w:tcW w:w="1260" w:type="dxa"/>
          </w:tcPr>
          <w:p w14:paraId="17F03C2B" w14:textId="77777777" w:rsidR="006E68D1" w:rsidRPr="00705DA8" w:rsidRDefault="006E68D1" w:rsidP="00CF2EEA">
            <w:pPr>
              <w:widowControl w:val="0"/>
              <w:tabs>
                <w:tab w:val="decimal" w:pos="342"/>
              </w:tabs>
              <w:rPr>
                <w:rFonts w:cs="Times New Roman"/>
                <w:sz w:val="20"/>
                <w:szCs w:val="20"/>
              </w:rPr>
            </w:pPr>
          </w:p>
        </w:tc>
        <w:tc>
          <w:tcPr>
            <w:tcW w:w="1350" w:type="dxa"/>
          </w:tcPr>
          <w:p w14:paraId="76410E51" w14:textId="77777777" w:rsidR="006E68D1" w:rsidRPr="00705DA8" w:rsidRDefault="006E68D1" w:rsidP="00CF2EEA">
            <w:pPr>
              <w:widowControl w:val="0"/>
              <w:tabs>
                <w:tab w:val="decimal" w:pos="342"/>
              </w:tabs>
              <w:rPr>
                <w:rFonts w:cs="Times New Roman"/>
                <w:sz w:val="20"/>
                <w:szCs w:val="20"/>
              </w:rPr>
            </w:pPr>
          </w:p>
        </w:tc>
        <w:tc>
          <w:tcPr>
            <w:tcW w:w="1584" w:type="dxa"/>
          </w:tcPr>
          <w:p w14:paraId="38CF2B51" w14:textId="77777777" w:rsidR="006E68D1" w:rsidRPr="00705DA8" w:rsidRDefault="006E68D1" w:rsidP="00CF2EEA">
            <w:pPr>
              <w:widowControl w:val="0"/>
              <w:tabs>
                <w:tab w:val="decimal" w:pos="342"/>
              </w:tabs>
              <w:rPr>
                <w:rFonts w:cs="Times New Roman"/>
                <w:sz w:val="20"/>
                <w:szCs w:val="20"/>
              </w:rPr>
            </w:pPr>
          </w:p>
        </w:tc>
        <w:tc>
          <w:tcPr>
            <w:tcW w:w="990" w:type="dxa"/>
          </w:tcPr>
          <w:p w14:paraId="7EBD9FDC" w14:textId="77777777" w:rsidR="006E68D1" w:rsidRPr="00705DA8" w:rsidRDefault="006E68D1" w:rsidP="00CF2EEA">
            <w:pPr>
              <w:widowControl w:val="0"/>
              <w:tabs>
                <w:tab w:val="decimal" w:pos="252"/>
              </w:tabs>
              <w:rPr>
                <w:rFonts w:cs="Times New Roman"/>
                <w:sz w:val="20"/>
                <w:szCs w:val="20"/>
              </w:rPr>
            </w:pPr>
          </w:p>
        </w:tc>
      </w:tr>
      <w:tr w:rsidR="006E68D1" w:rsidRPr="00705DA8" w14:paraId="730C8D82" w14:textId="77777777" w:rsidTr="006674C6">
        <w:trPr>
          <w:trHeight w:val="144"/>
        </w:trPr>
        <w:tc>
          <w:tcPr>
            <w:tcW w:w="3348" w:type="dxa"/>
          </w:tcPr>
          <w:p w14:paraId="6D024D2A" w14:textId="77777777" w:rsidR="006E68D1" w:rsidRPr="00705DA8" w:rsidRDefault="006E68D1" w:rsidP="00CF2EEA">
            <w:pPr>
              <w:widowControl w:val="0"/>
              <w:ind w:left="288"/>
              <w:rPr>
                <w:rFonts w:cs="Times New Roman"/>
                <w:sz w:val="20"/>
                <w:szCs w:val="20"/>
              </w:rPr>
            </w:pPr>
            <w:r w:rsidRPr="00705DA8">
              <w:rPr>
                <w:rFonts w:cs="Times New Roman"/>
                <w:sz w:val="20"/>
                <w:szCs w:val="20"/>
              </w:rPr>
              <w:t>White</w:t>
            </w:r>
          </w:p>
        </w:tc>
        <w:tc>
          <w:tcPr>
            <w:tcW w:w="1260" w:type="dxa"/>
          </w:tcPr>
          <w:p w14:paraId="0C573268" w14:textId="36F5C916" w:rsidR="006E68D1" w:rsidRPr="00705DA8" w:rsidRDefault="006433F1" w:rsidP="00CF2EEA">
            <w:pPr>
              <w:widowControl w:val="0"/>
              <w:tabs>
                <w:tab w:val="decimal" w:pos="342"/>
              </w:tabs>
              <w:rPr>
                <w:rFonts w:cs="Times New Roman"/>
                <w:sz w:val="20"/>
                <w:szCs w:val="20"/>
              </w:rPr>
            </w:pPr>
            <w:r>
              <w:rPr>
                <w:rFonts w:cs="Times New Roman"/>
                <w:sz w:val="20"/>
                <w:szCs w:val="20"/>
              </w:rPr>
              <w:t>79.1</w:t>
            </w:r>
            <w:r w:rsidR="006E68D1">
              <w:rPr>
                <w:rFonts w:cs="Times New Roman"/>
                <w:sz w:val="20"/>
                <w:szCs w:val="20"/>
              </w:rPr>
              <w:t>%</w:t>
            </w:r>
          </w:p>
        </w:tc>
        <w:tc>
          <w:tcPr>
            <w:tcW w:w="1350" w:type="dxa"/>
          </w:tcPr>
          <w:p w14:paraId="083573DC" w14:textId="0E301482" w:rsidR="006E68D1" w:rsidRPr="00705DA8" w:rsidRDefault="006433F1" w:rsidP="00CF2EEA">
            <w:pPr>
              <w:widowControl w:val="0"/>
              <w:tabs>
                <w:tab w:val="decimal" w:pos="342"/>
              </w:tabs>
              <w:rPr>
                <w:rFonts w:cs="Times New Roman"/>
                <w:sz w:val="20"/>
                <w:szCs w:val="20"/>
              </w:rPr>
            </w:pPr>
            <w:r>
              <w:rPr>
                <w:rFonts w:cs="Times New Roman"/>
                <w:sz w:val="20"/>
                <w:szCs w:val="20"/>
              </w:rPr>
              <w:t>85.7</w:t>
            </w:r>
            <w:r w:rsidR="006E68D1">
              <w:rPr>
                <w:rFonts w:cs="Times New Roman"/>
                <w:sz w:val="20"/>
                <w:szCs w:val="20"/>
              </w:rPr>
              <w:t>%</w:t>
            </w:r>
          </w:p>
        </w:tc>
        <w:tc>
          <w:tcPr>
            <w:tcW w:w="1584" w:type="dxa"/>
          </w:tcPr>
          <w:p w14:paraId="05AA7B9E" w14:textId="77777777" w:rsidR="006E68D1" w:rsidRPr="00705DA8" w:rsidRDefault="006E68D1" w:rsidP="00CF2EEA">
            <w:pPr>
              <w:widowControl w:val="0"/>
              <w:tabs>
                <w:tab w:val="decimal" w:pos="342"/>
              </w:tabs>
              <w:rPr>
                <w:rFonts w:cs="Times New Roman"/>
                <w:sz w:val="20"/>
                <w:szCs w:val="20"/>
              </w:rPr>
            </w:pPr>
            <w:r w:rsidRPr="00705DA8">
              <w:rPr>
                <w:rFonts w:cs="Times New Roman"/>
                <w:sz w:val="20"/>
                <w:szCs w:val="20"/>
              </w:rPr>
              <w:t>82.4</w:t>
            </w:r>
            <w:r>
              <w:rPr>
                <w:rFonts w:cs="Times New Roman"/>
                <w:sz w:val="20"/>
                <w:szCs w:val="20"/>
              </w:rPr>
              <w:t>%</w:t>
            </w:r>
          </w:p>
        </w:tc>
        <w:tc>
          <w:tcPr>
            <w:tcW w:w="990" w:type="dxa"/>
          </w:tcPr>
          <w:p w14:paraId="785514D1" w14:textId="658F6596" w:rsidR="006E68D1" w:rsidRPr="00705DA8" w:rsidRDefault="006E68D1" w:rsidP="00CF2EEA">
            <w:pPr>
              <w:widowControl w:val="0"/>
              <w:tabs>
                <w:tab w:val="decimal" w:pos="252"/>
              </w:tabs>
              <w:rPr>
                <w:rFonts w:cs="Times New Roman"/>
                <w:sz w:val="20"/>
                <w:szCs w:val="20"/>
              </w:rPr>
            </w:pPr>
            <w:r w:rsidRPr="00705DA8">
              <w:rPr>
                <w:rFonts w:cs="Times New Roman"/>
                <w:sz w:val="20"/>
                <w:szCs w:val="20"/>
              </w:rPr>
              <w:t>.</w:t>
            </w:r>
            <w:r w:rsidR="006E679A" w:rsidRPr="00705DA8">
              <w:rPr>
                <w:rFonts w:cs="Times New Roman"/>
                <w:sz w:val="20"/>
                <w:szCs w:val="20"/>
              </w:rPr>
              <w:t>2</w:t>
            </w:r>
            <w:r w:rsidR="006E679A">
              <w:rPr>
                <w:rFonts w:cs="Times New Roman"/>
                <w:sz w:val="20"/>
                <w:szCs w:val="20"/>
              </w:rPr>
              <w:t>5</w:t>
            </w:r>
          </w:p>
        </w:tc>
      </w:tr>
      <w:tr w:rsidR="006E68D1" w:rsidRPr="00705DA8" w14:paraId="297C0714" w14:textId="77777777" w:rsidTr="006674C6">
        <w:trPr>
          <w:trHeight w:val="144"/>
        </w:trPr>
        <w:tc>
          <w:tcPr>
            <w:tcW w:w="3348" w:type="dxa"/>
          </w:tcPr>
          <w:p w14:paraId="439DB088" w14:textId="77777777" w:rsidR="006E68D1" w:rsidRPr="00705DA8" w:rsidRDefault="006E68D1" w:rsidP="00CF2EEA">
            <w:pPr>
              <w:widowControl w:val="0"/>
              <w:ind w:left="288"/>
              <w:rPr>
                <w:rFonts w:cs="Times New Roman"/>
                <w:sz w:val="20"/>
                <w:szCs w:val="20"/>
              </w:rPr>
            </w:pPr>
            <w:r w:rsidRPr="00705DA8">
              <w:rPr>
                <w:rFonts w:cs="Times New Roman"/>
                <w:sz w:val="20"/>
                <w:szCs w:val="20"/>
              </w:rPr>
              <w:t>Black</w:t>
            </w:r>
          </w:p>
        </w:tc>
        <w:tc>
          <w:tcPr>
            <w:tcW w:w="1260" w:type="dxa"/>
          </w:tcPr>
          <w:p w14:paraId="138A3870" w14:textId="49392BB2" w:rsidR="006E68D1" w:rsidRPr="00705DA8" w:rsidRDefault="006E679A" w:rsidP="00CF2EEA">
            <w:pPr>
              <w:widowControl w:val="0"/>
              <w:tabs>
                <w:tab w:val="decimal" w:pos="342"/>
              </w:tabs>
              <w:rPr>
                <w:rFonts w:cs="Times New Roman"/>
                <w:sz w:val="20"/>
                <w:szCs w:val="20"/>
              </w:rPr>
            </w:pPr>
            <w:r>
              <w:rPr>
                <w:rFonts w:cs="Times New Roman"/>
                <w:sz w:val="20"/>
                <w:szCs w:val="20"/>
              </w:rPr>
              <w:t>13.9</w:t>
            </w:r>
            <w:r w:rsidR="006E68D1">
              <w:rPr>
                <w:rFonts w:cs="Times New Roman"/>
                <w:sz w:val="20"/>
                <w:szCs w:val="20"/>
              </w:rPr>
              <w:t>%</w:t>
            </w:r>
          </w:p>
        </w:tc>
        <w:tc>
          <w:tcPr>
            <w:tcW w:w="1350" w:type="dxa"/>
          </w:tcPr>
          <w:p w14:paraId="38A3CACC" w14:textId="314E1D56" w:rsidR="006E68D1" w:rsidRPr="00705DA8" w:rsidRDefault="006E679A" w:rsidP="00CF2EEA">
            <w:pPr>
              <w:widowControl w:val="0"/>
              <w:tabs>
                <w:tab w:val="decimal" w:pos="342"/>
              </w:tabs>
              <w:rPr>
                <w:rFonts w:cs="Times New Roman"/>
                <w:sz w:val="20"/>
                <w:szCs w:val="20"/>
              </w:rPr>
            </w:pPr>
            <w:r>
              <w:rPr>
                <w:rFonts w:cs="Times New Roman"/>
                <w:sz w:val="20"/>
                <w:szCs w:val="20"/>
              </w:rPr>
              <w:t>11.9</w:t>
            </w:r>
            <w:r w:rsidR="006E68D1">
              <w:rPr>
                <w:rFonts w:cs="Times New Roman"/>
                <w:sz w:val="20"/>
                <w:szCs w:val="20"/>
              </w:rPr>
              <w:t>%</w:t>
            </w:r>
          </w:p>
        </w:tc>
        <w:tc>
          <w:tcPr>
            <w:tcW w:w="1584" w:type="dxa"/>
          </w:tcPr>
          <w:p w14:paraId="7EA7D118" w14:textId="77777777" w:rsidR="006E68D1" w:rsidRPr="00705DA8" w:rsidRDefault="006E68D1" w:rsidP="00CF2EEA">
            <w:pPr>
              <w:widowControl w:val="0"/>
              <w:tabs>
                <w:tab w:val="decimal" w:pos="342"/>
              </w:tabs>
              <w:rPr>
                <w:rFonts w:cs="Times New Roman"/>
                <w:sz w:val="20"/>
                <w:szCs w:val="20"/>
              </w:rPr>
            </w:pPr>
            <w:r w:rsidRPr="00705DA8">
              <w:rPr>
                <w:rFonts w:cs="Times New Roman"/>
                <w:sz w:val="20"/>
                <w:szCs w:val="20"/>
              </w:rPr>
              <w:t>12.9</w:t>
            </w:r>
            <w:r>
              <w:rPr>
                <w:rFonts w:cs="Times New Roman"/>
                <w:sz w:val="20"/>
                <w:szCs w:val="20"/>
              </w:rPr>
              <w:t>%</w:t>
            </w:r>
          </w:p>
        </w:tc>
        <w:tc>
          <w:tcPr>
            <w:tcW w:w="990" w:type="dxa"/>
          </w:tcPr>
          <w:p w14:paraId="070D6F85" w14:textId="77777777" w:rsidR="006E68D1" w:rsidRPr="00705DA8" w:rsidRDefault="006E68D1" w:rsidP="00CF2EEA">
            <w:pPr>
              <w:widowControl w:val="0"/>
              <w:tabs>
                <w:tab w:val="decimal" w:pos="252"/>
              </w:tabs>
              <w:rPr>
                <w:rFonts w:cs="Times New Roman"/>
                <w:sz w:val="20"/>
                <w:szCs w:val="20"/>
              </w:rPr>
            </w:pPr>
          </w:p>
        </w:tc>
      </w:tr>
      <w:tr w:rsidR="006E68D1" w:rsidRPr="00705DA8" w14:paraId="311105C2" w14:textId="77777777" w:rsidTr="006674C6">
        <w:trPr>
          <w:trHeight w:val="144"/>
        </w:trPr>
        <w:tc>
          <w:tcPr>
            <w:tcW w:w="3348" w:type="dxa"/>
          </w:tcPr>
          <w:p w14:paraId="162841DE" w14:textId="77777777" w:rsidR="006E68D1" w:rsidRPr="00705DA8" w:rsidRDefault="006E68D1" w:rsidP="00CF2EEA">
            <w:pPr>
              <w:widowControl w:val="0"/>
              <w:ind w:left="288"/>
              <w:rPr>
                <w:rFonts w:cs="Times New Roman"/>
                <w:sz w:val="20"/>
                <w:szCs w:val="20"/>
              </w:rPr>
            </w:pPr>
            <w:r w:rsidRPr="00705DA8">
              <w:rPr>
                <w:rFonts w:cs="Times New Roman"/>
                <w:sz w:val="20"/>
                <w:szCs w:val="20"/>
              </w:rPr>
              <w:t>Asian/Pacific Islander</w:t>
            </w:r>
          </w:p>
        </w:tc>
        <w:tc>
          <w:tcPr>
            <w:tcW w:w="1260" w:type="dxa"/>
          </w:tcPr>
          <w:p w14:paraId="21738C96" w14:textId="77777777" w:rsidR="006E68D1" w:rsidRPr="00705DA8" w:rsidRDefault="006E68D1" w:rsidP="00CF2EEA">
            <w:pPr>
              <w:widowControl w:val="0"/>
              <w:tabs>
                <w:tab w:val="decimal" w:pos="342"/>
              </w:tabs>
              <w:rPr>
                <w:rFonts w:cs="Times New Roman"/>
                <w:sz w:val="20"/>
                <w:szCs w:val="20"/>
              </w:rPr>
            </w:pPr>
            <w:r w:rsidRPr="00705DA8">
              <w:rPr>
                <w:rFonts w:cs="Times New Roman"/>
                <w:sz w:val="20"/>
                <w:szCs w:val="20"/>
              </w:rPr>
              <w:t>0</w:t>
            </w:r>
          </w:p>
        </w:tc>
        <w:tc>
          <w:tcPr>
            <w:tcW w:w="1350" w:type="dxa"/>
          </w:tcPr>
          <w:p w14:paraId="68E50D0A" w14:textId="1CC845A2" w:rsidR="006E68D1" w:rsidRPr="00705DA8" w:rsidRDefault="006E68D1" w:rsidP="00CF2EEA">
            <w:pPr>
              <w:widowControl w:val="0"/>
              <w:tabs>
                <w:tab w:val="decimal" w:pos="342"/>
              </w:tabs>
              <w:rPr>
                <w:rFonts w:cs="Times New Roman"/>
                <w:sz w:val="20"/>
                <w:szCs w:val="20"/>
              </w:rPr>
            </w:pPr>
            <w:r w:rsidRPr="00705DA8">
              <w:rPr>
                <w:rFonts w:cs="Times New Roman"/>
                <w:sz w:val="20"/>
                <w:szCs w:val="20"/>
              </w:rPr>
              <w:t>2.</w:t>
            </w:r>
            <w:r w:rsidR="006E679A">
              <w:rPr>
                <w:rFonts w:cs="Times New Roman"/>
                <w:sz w:val="20"/>
                <w:szCs w:val="20"/>
              </w:rPr>
              <w:t>4</w:t>
            </w:r>
            <w:r>
              <w:rPr>
                <w:rFonts w:cs="Times New Roman"/>
                <w:sz w:val="20"/>
                <w:szCs w:val="20"/>
              </w:rPr>
              <w:t>%</w:t>
            </w:r>
          </w:p>
        </w:tc>
        <w:tc>
          <w:tcPr>
            <w:tcW w:w="1584" w:type="dxa"/>
          </w:tcPr>
          <w:p w14:paraId="36321B77" w14:textId="77777777" w:rsidR="006E68D1" w:rsidRPr="00705DA8" w:rsidRDefault="006E68D1" w:rsidP="00CF2EEA">
            <w:pPr>
              <w:widowControl w:val="0"/>
              <w:tabs>
                <w:tab w:val="decimal" w:pos="342"/>
              </w:tabs>
              <w:rPr>
                <w:rFonts w:cs="Times New Roman"/>
                <w:sz w:val="20"/>
                <w:szCs w:val="20"/>
              </w:rPr>
            </w:pPr>
            <w:r w:rsidRPr="00705DA8">
              <w:rPr>
                <w:rFonts w:cs="Times New Roman"/>
                <w:sz w:val="20"/>
                <w:szCs w:val="20"/>
              </w:rPr>
              <w:t>1.2</w:t>
            </w:r>
            <w:r>
              <w:rPr>
                <w:rFonts w:cs="Times New Roman"/>
                <w:sz w:val="20"/>
                <w:szCs w:val="20"/>
              </w:rPr>
              <w:t>%</w:t>
            </w:r>
          </w:p>
        </w:tc>
        <w:tc>
          <w:tcPr>
            <w:tcW w:w="990" w:type="dxa"/>
          </w:tcPr>
          <w:p w14:paraId="3B546E1C" w14:textId="77777777" w:rsidR="006E68D1" w:rsidRPr="00705DA8" w:rsidRDefault="006E68D1" w:rsidP="00CF2EEA">
            <w:pPr>
              <w:widowControl w:val="0"/>
              <w:tabs>
                <w:tab w:val="decimal" w:pos="252"/>
              </w:tabs>
              <w:rPr>
                <w:rFonts w:cs="Times New Roman"/>
                <w:sz w:val="20"/>
                <w:szCs w:val="20"/>
              </w:rPr>
            </w:pPr>
          </w:p>
        </w:tc>
      </w:tr>
      <w:tr w:rsidR="006E68D1" w:rsidRPr="00705DA8" w14:paraId="45078277" w14:textId="77777777" w:rsidTr="006674C6">
        <w:trPr>
          <w:trHeight w:val="144"/>
        </w:trPr>
        <w:tc>
          <w:tcPr>
            <w:tcW w:w="3348" w:type="dxa"/>
          </w:tcPr>
          <w:p w14:paraId="7516B84B" w14:textId="77777777" w:rsidR="006E68D1" w:rsidRPr="00705DA8" w:rsidRDefault="006E68D1" w:rsidP="00CF2EEA">
            <w:pPr>
              <w:widowControl w:val="0"/>
              <w:ind w:left="288"/>
              <w:rPr>
                <w:rFonts w:cs="Times New Roman"/>
                <w:sz w:val="20"/>
                <w:szCs w:val="20"/>
              </w:rPr>
            </w:pPr>
            <w:r w:rsidRPr="00705DA8">
              <w:rPr>
                <w:rFonts w:cs="Times New Roman"/>
                <w:sz w:val="20"/>
                <w:szCs w:val="20"/>
              </w:rPr>
              <w:t>Other</w:t>
            </w:r>
          </w:p>
        </w:tc>
        <w:tc>
          <w:tcPr>
            <w:tcW w:w="1260" w:type="dxa"/>
          </w:tcPr>
          <w:p w14:paraId="03A906C4" w14:textId="4A242614" w:rsidR="006E68D1" w:rsidRPr="00705DA8" w:rsidRDefault="006E679A" w:rsidP="00CF2EEA">
            <w:pPr>
              <w:widowControl w:val="0"/>
              <w:tabs>
                <w:tab w:val="decimal" w:pos="342"/>
              </w:tabs>
              <w:rPr>
                <w:rFonts w:cs="Times New Roman"/>
                <w:sz w:val="20"/>
                <w:szCs w:val="20"/>
              </w:rPr>
            </w:pPr>
            <w:r>
              <w:rPr>
                <w:rFonts w:cs="Times New Roman"/>
                <w:sz w:val="20"/>
                <w:szCs w:val="20"/>
              </w:rPr>
              <w:t>7.0%</w:t>
            </w:r>
          </w:p>
        </w:tc>
        <w:tc>
          <w:tcPr>
            <w:tcW w:w="1350" w:type="dxa"/>
          </w:tcPr>
          <w:p w14:paraId="067547E0" w14:textId="085C20CC" w:rsidR="006E68D1" w:rsidRPr="00705DA8" w:rsidRDefault="006E679A" w:rsidP="00CF2EEA">
            <w:pPr>
              <w:widowControl w:val="0"/>
              <w:tabs>
                <w:tab w:val="decimal" w:pos="342"/>
              </w:tabs>
              <w:rPr>
                <w:rFonts w:cs="Times New Roman"/>
                <w:sz w:val="20"/>
                <w:szCs w:val="20"/>
              </w:rPr>
            </w:pPr>
            <w:r>
              <w:rPr>
                <w:rFonts w:cs="Times New Roman"/>
                <w:sz w:val="20"/>
                <w:szCs w:val="20"/>
              </w:rPr>
              <w:t>0</w:t>
            </w:r>
          </w:p>
        </w:tc>
        <w:tc>
          <w:tcPr>
            <w:tcW w:w="1584" w:type="dxa"/>
          </w:tcPr>
          <w:p w14:paraId="5C531877" w14:textId="77777777" w:rsidR="006E68D1" w:rsidRPr="00705DA8" w:rsidRDefault="006E68D1" w:rsidP="00CF2EEA">
            <w:pPr>
              <w:widowControl w:val="0"/>
              <w:tabs>
                <w:tab w:val="decimal" w:pos="342"/>
              </w:tabs>
              <w:rPr>
                <w:rFonts w:cs="Times New Roman"/>
                <w:sz w:val="20"/>
                <w:szCs w:val="20"/>
              </w:rPr>
            </w:pPr>
            <w:r w:rsidRPr="00705DA8">
              <w:rPr>
                <w:rFonts w:cs="Times New Roman"/>
                <w:sz w:val="20"/>
                <w:szCs w:val="20"/>
              </w:rPr>
              <w:t>3.5</w:t>
            </w:r>
            <w:r>
              <w:rPr>
                <w:rFonts w:cs="Times New Roman"/>
                <w:sz w:val="20"/>
                <w:szCs w:val="20"/>
              </w:rPr>
              <w:t>%</w:t>
            </w:r>
          </w:p>
        </w:tc>
        <w:tc>
          <w:tcPr>
            <w:tcW w:w="990" w:type="dxa"/>
          </w:tcPr>
          <w:p w14:paraId="7ADE80FE" w14:textId="77777777" w:rsidR="006E68D1" w:rsidRPr="00705DA8" w:rsidRDefault="006E68D1" w:rsidP="00CF2EEA">
            <w:pPr>
              <w:widowControl w:val="0"/>
              <w:tabs>
                <w:tab w:val="decimal" w:pos="252"/>
              </w:tabs>
              <w:rPr>
                <w:rFonts w:cs="Times New Roman"/>
                <w:sz w:val="20"/>
                <w:szCs w:val="20"/>
              </w:rPr>
            </w:pPr>
          </w:p>
        </w:tc>
      </w:tr>
      <w:tr w:rsidR="006E68D1" w:rsidRPr="00705DA8" w14:paraId="6E2CE759" w14:textId="77777777" w:rsidTr="006674C6">
        <w:trPr>
          <w:trHeight w:val="144"/>
        </w:trPr>
        <w:tc>
          <w:tcPr>
            <w:tcW w:w="3348" w:type="dxa"/>
          </w:tcPr>
          <w:p w14:paraId="4C24E22D" w14:textId="77777777" w:rsidR="006E68D1" w:rsidRPr="00705DA8" w:rsidRDefault="006E68D1" w:rsidP="00CF2EEA">
            <w:pPr>
              <w:widowControl w:val="0"/>
              <w:rPr>
                <w:rFonts w:cs="Times New Roman"/>
                <w:sz w:val="20"/>
                <w:szCs w:val="20"/>
              </w:rPr>
            </w:pPr>
            <w:r w:rsidRPr="00705DA8">
              <w:rPr>
                <w:rFonts w:cs="Times New Roman"/>
                <w:sz w:val="20"/>
                <w:szCs w:val="20"/>
              </w:rPr>
              <w:t>Ethnicity</w:t>
            </w:r>
          </w:p>
        </w:tc>
        <w:tc>
          <w:tcPr>
            <w:tcW w:w="1260" w:type="dxa"/>
          </w:tcPr>
          <w:p w14:paraId="3E05B51C" w14:textId="77777777" w:rsidR="006E68D1" w:rsidRPr="00705DA8" w:rsidRDefault="006E68D1" w:rsidP="00CF2EEA">
            <w:pPr>
              <w:widowControl w:val="0"/>
              <w:tabs>
                <w:tab w:val="decimal" w:pos="342"/>
              </w:tabs>
              <w:rPr>
                <w:rFonts w:cs="Times New Roman"/>
                <w:sz w:val="20"/>
                <w:szCs w:val="20"/>
              </w:rPr>
            </w:pPr>
          </w:p>
        </w:tc>
        <w:tc>
          <w:tcPr>
            <w:tcW w:w="1350" w:type="dxa"/>
          </w:tcPr>
          <w:p w14:paraId="7C01C810" w14:textId="77777777" w:rsidR="006E68D1" w:rsidRPr="00705DA8" w:rsidRDefault="006E68D1" w:rsidP="00CF2EEA">
            <w:pPr>
              <w:widowControl w:val="0"/>
              <w:tabs>
                <w:tab w:val="decimal" w:pos="342"/>
              </w:tabs>
              <w:rPr>
                <w:rFonts w:cs="Times New Roman"/>
                <w:sz w:val="20"/>
                <w:szCs w:val="20"/>
              </w:rPr>
            </w:pPr>
          </w:p>
        </w:tc>
        <w:tc>
          <w:tcPr>
            <w:tcW w:w="1584" w:type="dxa"/>
          </w:tcPr>
          <w:p w14:paraId="6B65064B" w14:textId="77777777" w:rsidR="006E68D1" w:rsidRPr="00705DA8" w:rsidRDefault="006E68D1" w:rsidP="00CF2EEA">
            <w:pPr>
              <w:widowControl w:val="0"/>
              <w:tabs>
                <w:tab w:val="decimal" w:pos="342"/>
              </w:tabs>
              <w:rPr>
                <w:rFonts w:cs="Times New Roman"/>
                <w:sz w:val="20"/>
                <w:szCs w:val="20"/>
              </w:rPr>
            </w:pPr>
          </w:p>
        </w:tc>
        <w:tc>
          <w:tcPr>
            <w:tcW w:w="990" w:type="dxa"/>
          </w:tcPr>
          <w:p w14:paraId="1DAF6E73" w14:textId="77777777" w:rsidR="006E68D1" w:rsidRPr="00705DA8" w:rsidRDefault="006E68D1" w:rsidP="00CF2EEA">
            <w:pPr>
              <w:widowControl w:val="0"/>
              <w:tabs>
                <w:tab w:val="decimal" w:pos="252"/>
              </w:tabs>
              <w:rPr>
                <w:rFonts w:cs="Times New Roman"/>
                <w:sz w:val="20"/>
                <w:szCs w:val="20"/>
              </w:rPr>
            </w:pPr>
          </w:p>
        </w:tc>
      </w:tr>
      <w:tr w:rsidR="006E68D1" w:rsidRPr="00705DA8" w14:paraId="52C8CE87" w14:textId="77777777" w:rsidTr="006674C6">
        <w:trPr>
          <w:trHeight w:val="144"/>
        </w:trPr>
        <w:tc>
          <w:tcPr>
            <w:tcW w:w="3348" w:type="dxa"/>
          </w:tcPr>
          <w:p w14:paraId="4BB43CAA" w14:textId="77777777" w:rsidR="006E68D1" w:rsidRPr="00705DA8" w:rsidRDefault="006E68D1" w:rsidP="00CF2EEA">
            <w:pPr>
              <w:widowControl w:val="0"/>
              <w:ind w:left="288"/>
              <w:rPr>
                <w:rFonts w:cs="Times New Roman"/>
                <w:sz w:val="20"/>
                <w:szCs w:val="20"/>
              </w:rPr>
            </w:pPr>
            <w:r w:rsidRPr="00705DA8">
              <w:rPr>
                <w:rFonts w:cs="Times New Roman"/>
                <w:sz w:val="20"/>
                <w:szCs w:val="20"/>
              </w:rPr>
              <w:t>Not Hispanic or Latino</w:t>
            </w:r>
          </w:p>
        </w:tc>
        <w:tc>
          <w:tcPr>
            <w:tcW w:w="1260" w:type="dxa"/>
          </w:tcPr>
          <w:p w14:paraId="5C881EFF" w14:textId="77777777" w:rsidR="006E68D1" w:rsidRPr="00705DA8" w:rsidRDefault="006E68D1" w:rsidP="00CF2EEA">
            <w:pPr>
              <w:widowControl w:val="0"/>
              <w:tabs>
                <w:tab w:val="decimal" w:pos="342"/>
              </w:tabs>
              <w:rPr>
                <w:rFonts w:cs="Times New Roman"/>
                <w:sz w:val="20"/>
                <w:szCs w:val="20"/>
              </w:rPr>
            </w:pPr>
            <w:r w:rsidRPr="00705DA8">
              <w:rPr>
                <w:rFonts w:cs="Times New Roman"/>
                <w:sz w:val="20"/>
                <w:szCs w:val="20"/>
              </w:rPr>
              <w:t>97.7</w:t>
            </w:r>
            <w:r>
              <w:rPr>
                <w:rFonts w:cs="Times New Roman"/>
                <w:sz w:val="20"/>
                <w:szCs w:val="20"/>
              </w:rPr>
              <w:t>%</w:t>
            </w:r>
          </w:p>
        </w:tc>
        <w:tc>
          <w:tcPr>
            <w:tcW w:w="1350" w:type="dxa"/>
          </w:tcPr>
          <w:p w14:paraId="6D1A0349" w14:textId="77777777" w:rsidR="006E68D1" w:rsidRPr="00705DA8" w:rsidRDefault="006E68D1" w:rsidP="00CF2EEA">
            <w:pPr>
              <w:widowControl w:val="0"/>
              <w:tabs>
                <w:tab w:val="decimal" w:pos="342"/>
              </w:tabs>
              <w:rPr>
                <w:rFonts w:cs="Times New Roman"/>
                <w:sz w:val="20"/>
                <w:szCs w:val="20"/>
              </w:rPr>
            </w:pPr>
            <w:r w:rsidRPr="00705DA8">
              <w:rPr>
                <w:rFonts w:cs="Times New Roman"/>
                <w:sz w:val="20"/>
                <w:szCs w:val="20"/>
              </w:rPr>
              <w:t>100</w:t>
            </w:r>
            <w:r>
              <w:rPr>
                <w:rFonts w:cs="Times New Roman"/>
                <w:sz w:val="20"/>
                <w:szCs w:val="20"/>
              </w:rPr>
              <w:t>%</w:t>
            </w:r>
          </w:p>
        </w:tc>
        <w:tc>
          <w:tcPr>
            <w:tcW w:w="1584" w:type="dxa"/>
          </w:tcPr>
          <w:p w14:paraId="19FD01E1" w14:textId="77777777" w:rsidR="006E68D1" w:rsidRPr="00705DA8" w:rsidRDefault="006E68D1" w:rsidP="00CF2EEA">
            <w:pPr>
              <w:widowControl w:val="0"/>
              <w:tabs>
                <w:tab w:val="decimal" w:pos="342"/>
              </w:tabs>
              <w:rPr>
                <w:rFonts w:cs="Times New Roman"/>
                <w:sz w:val="20"/>
                <w:szCs w:val="20"/>
              </w:rPr>
            </w:pPr>
            <w:r w:rsidRPr="00705DA8">
              <w:rPr>
                <w:rFonts w:cs="Times New Roman"/>
                <w:sz w:val="20"/>
                <w:szCs w:val="20"/>
              </w:rPr>
              <w:t>98.8</w:t>
            </w:r>
            <w:r>
              <w:rPr>
                <w:rFonts w:cs="Times New Roman"/>
                <w:sz w:val="20"/>
                <w:szCs w:val="20"/>
              </w:rPr>
              <w:t>%</w:t>
            </w:r>
          </w:p>
        </w:tc>
        <w:tc>
          <w:tcPr>
            <w:tcW w:w="990" w:type="dxa"/>
          </w:tcPr>
          <w:p w14:paraId="1A3DE00B" w14:textId="77777777" w:rsidR="006E68D1" w:rsidRPr="00705DA8" w:rsidRDefault="006E68D1" w:rsidP="00CF2EEA">
            <w:pPr>
              <w:widowControl w:val="0"/>
              <w:tabs>
                <w:tab w:val="decimal" w:pos="252"/>
              </w:tabs>
              <w:rPr>
                <w:rFonts w:cs="Times New Roman"/>
                <w:sz w:val="20"/>
                <w:szCs w:val="20"/>
              </w:rPr>
            </w:pPr>
            <w:r w:rsidRPr="00705DA8">
              <w:rPr>
                <w:rFonts w:cs="Times New Roman"/>
                <w:sz w:val="20"/>
                <w:szCs w:val="20"/>
              </w:rPr>
              <w:t>.33</w:t>
            </w:r>
          </w:p>
        </w:tc>
      </w:tr>
      <w:tr w:rsidR="006E68D1" w:rsidRPr="00705DA8" w14:paraId="4061C09D" w14:textId="77777777" w:rsidTr="006674C6">
        <w:trPr>
          <w:trHeight w:val="144"/>
        </w:trPr>
        <w:tc>
          <w:tcPr>
            <w:tcW w:w="3348" w:type="dxa"/>
          </w:tcPr>
          <w:p w14:paraId="7CA7E449" w14:textId="77777777" w:rsidR="006E68D1" w:rsidRPr="00705DA8" w:rsidRDefault="006E68D1" w:rsidP="00CF2EEA">
            <w:pPr>
              <w:widowControl w:val="0"/>
              <w:ind w:left="288"/>
              <w:rPr>
                <w:rFonts w:cs="Times New Roman"/>
                <w:sz w:val="20"/>
                <w:szCs w:val="20"/>
              </w:rPr>
            </w:pPr>
            <w:r w:rsidRPr="00705DA8">
              <w:rPr>
                <w:rFonts w:cs="Times New Roman"/>
                <w:sz w:val="20"/>
                <w:szCs w:val="20"/>
              </w:rPr>
              <w:t>Hispanic or Latino</w:t>
            </w:r>
          </w:p>
        </w:tc>
        <w:tc>
          <w:tcPr>
            <w:tcW w:w="1260" w:type="dxa"/>
          </w:tcPr>
          <w:p w14:paraId="4FEDBD27" w14:textId="77777777" w:rsidR="006E68D1" w:rsidRPr="00705DA8" w:rsidRDefault="006E68D1" w:rsidP="00CF2EEA">
            <w:pPr>
              <w:widowControl w:val="0"/>
              <w:tabs>
                <w:tab w:val="decimal" w:pos="342"/>
              </w:tabs>
              <w:rPr>
                <w:rFonts w:cs="Times New Roman"/>
                <w:sz w:val="20"/>
                <w:szCs w:val="20"/>
              </w:rPr>
            </w:pPr>
            <w:r w:rsidRPr="00705DA8">
              <w:rPr>
                <w:rFonts w:cs="Times New Roman"/>
                <w:sz w:val="20"/>
                <w:szCs w:val="20"/>
              </w:rPr>
              <w:t>2.3</w:t>
            </w:r>
            <w:r>
              <w:rPr>
                <w:rFonts w:cs="Times New Roman"/>
                <w:sz w:val="20"/>
                <w:szCs w:val="20"/>
              </w:rPr>
              <w:t>%</w:t>
            </w:r>
          </w:p>
        </w:tc>
        <w:tc>
          <w:tcPr>
            <w:tcW w:w="1350" w:type="dxa"/>
          </w:tcPr>
          <w:p w14:paraId="6E7E6C17" w14:textId="77777777" w:rsidR="006E68D1" w:rsidRPr="00705DA8" w:rsidRDefault="006E68D1" w:rsidP="00CF2EEA">
            <w:pPr>
              <w:widowControl w:val="0"/>
              <w:tabs>
                <w:tab w:val="decimal" w:pos="342"/>
              </w:tabs>
              <w:rPr>
                <w:rFonts w:cs="Times New Roman"/>
                <w:sz w:val="20"/>
                <w:szCs w:val="20"/>
              </w:rPr>
            </w:pPr>
            <w:r w:rsidRPr="00705DA8">
              <w:rPr>
                <w:rFonts w:cs="Times New Roman"/>
                <w:sz w:val="20"/>
                <w:szCs w:val="20"/>
              </w:rPr>
              <w:t>0</w:t>
            </w:r>
          </w:p>
        </w:tc>
        <w:tc>
          <w:tcPr>
            <w:tcW w:w="1584" w:type="dxa"/>
          </w:tcPr>
          <w:p w14:paraId="03058FEB" w14:textId="77777777" w:rsidR="006E68D1" w:rsidRPr="00705DA8" w:rsidRDefault="006E68D1" w:rsidP="00CF2EEA">
            <w:pPr>
              <w:widowControl w:val="0"/>
              <w:tabs>
                <w:tab w:val="decimal" w:pos="342"/>
              </w:tabs>
              <w:rPr>
                <w:rFonts w:cs="Times New Roman"/>
                <w:sz w:val="20"/>
                <w:szCs w:val="20"/>
              </w:rPr>
            </w:pPr>
            <w:r w:rsidRPr="00705DA8">
              <w:rPr>
                <w:rFonts w:cs="Times New Roman"/>
                <w:sz w:val="20"/>
                <w:szCs w:val="20"/>
              </w:rPr>
              <w:t>1.2</w:t>
            </w:r>
            <w:r>
              <w:rPr>
                <w:rFonts w:cs="Times New Roman"/>
                <w:sz w:val="20"/>
                <w:szCs w:val="20"/>
              </w:rPr>
              <w:t>%</w:t>
            </w:r>
          </w:p>
        </w:tc>
        <w:tc>
          <w:tcPr>
            <w:tcW w:w="990" w:type="dxa"/>
          </w:tcPr>
          <w:p w14:paraId="076ECAAB" w14:textId="77777777" w:rsidR="006E68D1" w:rsidRPr="00705DA8" w:rsidRDefault="006E68D1" w:rsidP="00CF2EEA">
            <w:pPr>
              <w:widowControl w:val="0"/>
              <w:tabs>
                <w:tab w:val="decimal" w:pos="252"/>
              </w:tabs>
              <w:rPr>
                <w:rFonts w:cs="Times New Roman"/>
                <w:sz w:val="20"/>
                <w:szCs w:val="20"/>
              </w:rPr>
            </w:pPr>
          </w:p>
        </w:tc>
      </w:tr>
      <w:tr w:rsidR="006E68D1" w:rsidRPr="00705DA8" w14:paraId="397FD751" w14:textId="77777777" w:rsidTr="006674C6">
        <w:trPr>
          <w:trHeight w:val="144"/>
        </w:trPr>
        <w:tc>
          <w:tcPr>
            <w:tcW w:w="3348" w:type="dxa"/>
          </w:tcPr>
          <w:p w14:paraId="0127243E" w14:textId="77777777" w:rsidR="006E68D1" w:rsidRPr="00705DA8" w:rsidRDefault="006E68D1" w:rsidP="00CF2EEA">
            <w:pPr>
              <w:widowControl w:val="0"/>
              <w:rPr>
                <w:rFonts w:cs="Times New Roman"/>
                <w:sz w:val="20"/>
                <w:szCs w:val="20"/>
              </w:rPr>
            </w:pPr>
            <w:r w:rsidRPr="00705DA8">
              <w:rPr>
                <w:rFonts w:cs="Times New Roman"/>
                <w:sz w:val="20"/>
                <w:szCs w:val="20"/>
              </w:rPr>
              <w:t>Education</w:t>
            </w:r>
          </w:p>
        </w:tc>
        <w:tc>
          <w:tcPr>
            <w:tcW w:w="1260" w:type="dxa"/>
          </w:tcPr>
          <w:p w14:paraId="55A60137" w14:textId="77777777" w:rsidR="006E68D1" w:rsidRPr="00705DA8" w:rsidRDefault="006E68D1" w:rsidP="00CF2EEA">
            <w:pPr>
              <w:widowControl w:val="0"/>
              <w:tabs>
                <w:tab w:val="decimal" w:pos="342"/>
              </w:tabs>
              <w:rPr>
                <w:rFonts w:cs="Times New Roman"/>
                <w:sz w:val="20"/>
                <w:szCs w:val="20"/>
              </w:rPr>
            </w:pPr>
          </w:p>
        </w:tc>
        <w:tc>
          <w:tcPr>
            <w:tcW w:w="1350" w:type="dxa"/>
          </w:tcPr>
          <w:p w14:paraId="5C8978A4" w14:textId="77777777" w:rsidR="006E68D1" w:rsidRPr="00705DA8" w:rsidRDefault="006E68D1" w:rsidP="00CF2EEA">
            <w:pPr>
              <w:widowControl w:val="0"/>
              <w:tabs>
                <w:tab w:val="decimal" w:pos="342"/>
              </w:tabs>
              <w:rPr>
                <w:rFonts w:cs="Times New Roman"/>
                <w:sz w:val="20"/>
                <w:szCs w:val="20"/>
              </w:rPr>
            </w:pPr>
          </w:p>
        </w:tc>
        <w:tc>
          <w:tcPr>
            <w:tcW w:w="1584" w:type="dxa"/>
          </w:tcPr>
          <w:p w14:paraId="20E612D5" w14:textId="77777777" w:rsidR="006E68D1" w:rsidRPr="00705DA8" w:rsidRDefault="006E68D1" w:rsidP="00CF2EEA">
            <w:pPr>
              <w:widowControl w:val="0"/>
              <w:tabs>
                <w:tab w:val="decimal" w:pos="342"/>
              </w:tabs>
              <w:rPr>
                <w:rFonts w:cs="Times New Roman"/>
                <w:sz w:val="20"/>
                <w:szCs w:val="20"/>
              </w:rPr>
            </w:pPr>
          </w:p>
        </w:tc>
        <w:tc>
          <w:tcPr>
            <w:tcW w:w="990" w:type="dxa"/>
          </w:tcPr>
          <w:p w14:paraId="356D3465" w14:textId="77777777" w:rsidR="006E68D1" w:rsidRPr="00705DA8" w:rsidRDefault="006E68D1" w:rsidP="00CF2EEA">
            <w:pPr>
              <w:widowControl w:val="0"/>
              <w:tabs>
                <w:tab w:val="decimal" w:pos="252"/>
              </w:tabs>
              <w:rPr>
                <w:rFonts w:cs="Times New Roman"/>
                <w:sz w:val="20"/>
                <w:szCs w:val="20"/>
              </w:rPr>
            </w:pPr>
          </w:p>
        </w:tc>
      </w:tr>
      <w:tr w:rsidR="006E68D1" w:rsidRPr="00705DA8" w14:paraId="1A06C303" w14:textId="77777777" w:rsidTr="006674C6">
        <w:trPr>
          <w:trHeight w:val="144"/>
        </w:trPr>
        <w:tc>
          <w:tcPr>
            <w:tcW w:w="3348" w:type="dxa"/>
          </w:tcPr>
          <w:p w14:paraId="787402FB" w14:textId="77777777" w:rsidR="006E68D1" w:rsidRPr="00705DA8" w:rsidRDefault="006E68D1" w:rsidP="00CF2EEA">
            <w:pPr>
              <w:widowControl w:val="0"/>
              <w:ind w:left="288"/>
              <w:rPr>
                <w:rFonts w:cs="Times New Roman"/>
                <w:sz w:val="20"/>
                <w:szCs w:val="20"/>
              </w:rPr>
            </w:pPr>
            <w:r w:rsidRPr="00705DA8">
              <w:rPr>
                <w:rFonts w:cs="Times New Roman"/>
                <w:sz w:val="20"/>
                <w:szCs w:val="20"/>
              </w:rPr>
              <w:t>Partial high school</w:t>
            </w:r>
          </w:p>
        </w:tc>
        <w:tc>
          <w:tcPr>
            <w:tcW w:w="1260" w:type="dxa"/>
          </w:tcPr>
          <w:p w14:paraId="15A35F1B" w14:textId="5162ECA1" w:rsidR="006E68D1" w:rsidRPr="00705DA8" w:rsidRDefault="006E68D1" w:rsidP="00CF2EEA">
            <w:pPr>
              <w:widowControl w:val="0"/>
              <w:tabs>
                <w:tab w:val="decimal" w:pos="342"/>
              </w:tabs>
              <w:rPr>
                <w:rFonts w:cs="Times New Roman"/>
                <w:sz w:val="20"/>
                <w:szCs w:val="20"/>
              </w:rPr>
            </w:pPr>
            <w:r w:rsidRPr="00705DA8">
              <w:rPr>
                <w:rFonts w:cs="Times New Roman"/>
                <w:sz w:val="20"/>
                <w:szCs w:val="20"/>
              </w:rPr>
              <w:t>4.</w:t>
            </w:r>
            <w:r w:rsidR="006E679A">
              <w:rPr>
                <w:rFonts w:cs="Times New Roman"/>
                <w:sz w:val="20"/>
                <w:szCs w:val="20"/>
              </w:rPr>
              <w:t>6</w:t>
            </w:r>
            <w:r>
              <w:rPr>
                <w:rFonts w:cs="Times New Roman"/>
                <w:sz w:val="20"/>
                <w:szCs w:val="20"/>
              </w:rPr>
              <w:t>%</w:t>
            </w:r>
          </w:p>
        </w:tc>
        <w:tc>
          <w:tcPr>
            <w:tcW w:w="1350" w:type="dxa"/>
          </w:tcPr>
          <w:p w14:paraId="37845578" w14:textId="5B1CB102" w:rsidR="006E68D1" w:rsidRPr="00705DA8" w:rsidRDefault="006E68D1" w:rsidP="00CF2EEA">
            <w:pPr>
              <w:widowControl w:val="0"/>
              <w:tabs>
                <w:tab w:val="decimal" w:pos="342"/>
              </w:tabs>
              <w:rPr>
                <w:rFonts w:cs="Times New Roman"/>
                <w:sz w:val="20"/>
                <w:szCs w:val="20"/>
              </w:rPr>
            </w:pPr>
            <w:r w:rsidRPr="00705DA8">
              <w:rPr>
                <w:rFonts w:cs="Times New Roman"/>
                <w:sz w:val="20"/>
                <w:szCs w:val="20"/>
              </w:rPr>
              <w:t>7.</w:t>
            </w:r>
            <w:r w:rsidR="006E679A">
              <w:rPr>
                <w:rFonts w:cs="Times New Roman"/>
                <w:sz w:val="20"/>
                <w:szCs w:val="20"/>
              </w:rPr>
              <w:t>1</w:t>
            </w:r>
            <w:r>
              <w:rPr>
                <w:rFonts w:cs="Times New Roman"/>
                <w:sz w:val="20"/>
                <w:szCs w:val="20"/>
              </w:rPr>
              <w:t>%</w:t>
            </w:r>
          </w:p>
        </w:tc>
        <w:tc>
          <w:tcPr>
            <w:tcW w:w="1584" w:type="dxa"/>
          </w:tcPr>
          <w:p w14:paraId="6ACF9B15" w14:textId="77777777" w:rsidR="006E68D1" w:rsidRPr="00705DA8" w:rsidRDefault="006E68D1" w:rsidP="00CF2EEA">
            <w:pPr>
              <w:widowControl w:val="0"/>
              <w:tabs>
                <w:tab w:val="decimal" w:pos="342"/>
              </w:tabs>
              <w:rPr>
                <w:rFonts w:cs="Times New Roman"/>
                <w:sz w:val="20"/>
                <w:szCs w:val="20"/>
              </w:rPr>
            </w:pPr>
            <w:r w:rsidRPr="00705DA8">
              <w:rPr>
                <w:rFonts w:cs="Times New Roman"/>
                <w:sz w:val="20"/>
                <w:szCs w:val="20"/>
              </w:rPr>
              <w:t>5.9</w:t>
            </w:r>
            <w:r>
              <w:rPr>
                <w:rFonts w:cs="Times New Roman"/>
                <w:sz w:val="20"/>
                <w:szCs w:val="20"/>
              </w:rPr>
              <w:t>%</w:t>
            </w:r>
          </w:p>
        </w:tc>
        <w:tc>
          <w:tcPr>
            <w:tcW w:w="990" w:type="dxa"/>
          </w:tcPr>
          <w:p w14:paraId="397D6133" w14:textId="76BF6F5E" w:rsidR="006E68D1" w:rsidRPr="00705DA8" w:rsidRDefault="006E68D1" w:rsidP="00CF2EEA">
            <w:pPr>
              <w:widowControl w:val="0"/>
              <w:tabs>
                <w:tab w:val="decimal" w:pos="252"/>
              </w:tabs>
              <w:rPr>
                <w:rFonts w:cs="Times New Roman"/>
                <w:sz w:val="20"/>
                <w:szCs w:val="20"/>
              </w:rPr>
            </w:pPr>
            <w:r w:rsidRPr="00705DA8">
              <w:rPr>
                <w:rFonts w:cs="Times New Roman"/>
                <w:sz w:val="20"/>
                <w:szCs w:val="20"/>
              </w:rPr>
              <w:t>.</w:t>
            </w:r>
            <w:r w:rsidR="006E679A">
              <w:rPr>
                <w:rFonts w:cs="Times New Roman"/>
                <w:sz w:val="20"/>
                <w:szCs w:val="20"/>
              </w:rPr>
              <w:t>63</w:t>
            </w:r>
          </w:p>
        </w:tc>
      </w:tr>
      <w:tr w:rsidR="006E68D1" w:rsidRPr="00705DA8" w14:paraId="78D2442D" w14:textId="77777777" w:rsidTr="006674C6">
        <w:trPr>
          <w:trHeight w:val="144"/>
        </w:trPr>
        <w:tc>
          <w:tcPr>
            <w:tcW w:w="3348" w:type="dxa"/>
          </w:tcPr>
          <w:p w14:paraId="107409A2" w14:textId="77777777" w:rsidR="006E68D1" w:rsidRPr="00705DA8" w:rsidRDefault="006E68D1" w:rsidP="00CF2EEA">
            <w:pPr>
              <w:widowControl w:val="0"/>
              <w:ind w:left="288"/>
              <w:rPr>
                <w:rFonts w:cs="Times New Roman"/>
                <w:sz w:val="20"/>
                <w:szCs w:val="20"/>
              </w:rPr>
            </w:pPr>
            <w:r w:rsidRPr="00705DA8">
              <w:rPr>
                <w:rFonts w:cs="Times New Roman"/>
                <w:sz w:val="20"/>
                <w:szCs w:val="20"/>
              </w:rPr>
              <w:t>High school</w:t>
            </w:r>
          </w:p>
        </w:tc>
        <w:tc>
          <w:tcPr>
            <w:tcW w:w="1260" w:type="dxa"/>
          </w:tcPr>
          <w:p w14:paraId="4EA24087" w14:textId="29205A97" w:rsidR="006E68D1" w:rsidRPr="00705DA8" w:rsidRDefault="006E68D1" w:rsidP="00CF2EEA">
            <w:pPr>
              <w:widowControl w:val="0"/>
              <w:tabs>
                <w:tab w:val="decimal" w:pos="342"/>
              </w:tabs>
              <w:rPr>
                <w:rFonts w:cs="Times New Roman"/>
                <w:sz w:val="20"/>
                <w:szCs w:val="20"/>
              </w:rPr>
            </w:pPr>
            <w:r w:rsidRPr="00705DA8">
              <w:rPr>
                <w:rFonts w:cs="Times New Roman"/>
                <w:sz w:val="20"/>
                <w:szCs w:val="20"/>
              </w:rPr>
              <w:t>9.</w:t>
            </w:r>
            <w:r w:rsidR="006E679A">
              <w:rPr>
                <w:rFonts w:cs="Times New Roman"/>
                <w:sz w:val="20"/>
                <w:szCs w:val="20"/>
              </w:rPr>
              <w:t>3</w:t>
            </w:r>
            <w:r>
              <w:rPr>
                <w:rFonts w:cs="Times New Roman"/>
                <w:sz w:val="20"/>
                <w:szCs w:val="20"/>
              </w:rPr>
              <w:t>%</w:t>
            </w:r>
          </w:p>
        </w:tc>
        <w:tc>
          <w:tcPr>
            <w:tcW w:w="1350" w:type="dxa"/>
          </w:tcPr>
          <w:p w14:paraId="4192491E" w14:textId="59402CD8" w:rsidR="006E68D1" w:rsidRPr="00705DA8" w:rsidRDefault="006E679A" w:rsidP="00CF2EEA">
            <w:pPr>
              <w:widowControl w:val="0"/>
              <w:tabs>
                <w:tab w:val="decimal" w:pos="342"/>
              </w:tabs>
              <w:rPr>
                <w:rFonts w:cs="Times New Roman"/>
                <w:sz w:val="20"/>
                <w:szCs w:val="20"/>
              </w:rPr>
            </w:pPr>
            <w:r>
              <w:rPr>
                <w:rFonts w:cs="Times New Roman"/>
                <w:sz w:val="20"/>
                <w:szCs w:val="20"/>
              </w:rPr>
              <w:t>11.9</w:t>
            </w:r>
            <w:r w:rsidR="006E68D1">
              <w:rPr>
                <w:rFonts w:cs="Times New Roman"/>
                <w:sz w:val="20"/>
                <w:szCs w:val="20"/>
              </w:rPr>
              <w:t>%</w:t>
            </w:r>
          </w:p>
        </w:tc>
        <w:tc>
          <w:tcPr>
            <w:tcW w:w="1584" w:type="dxa"/>
          </w:tcPr>
          <w:p w14:paraId="240BE814" w14:textId="77777777" w:rsidR="006E68D1" w:rsidRPr="00705DA8" w:rsidRDefault="006E68D1" w:rsidP="00CF2EEA">
            <w:pPr>
              <w:widowControl w:val="0"/>
              <w:tabs>
                <w:tab w:val="decimal" w:pos="342"/>
              </w:tabs>
              <w:rPr>
                <w:rFonts w:cs="Times New Roman"/>
                <w:sz w:val="20"/>
                <w:szCs w:val="20"/>
              </w:rPr>
            </w:pPr>
            <w:r w:rsidRPr="00705DA8">
              <w:rPr>
                <w:rFonts w:cs="Times New Roman"/>
                <w:sz w:val="20"/>
                <w:szCs w:val="20"/>
              </w:rPr>
              <w:t>10.6</w:t>
            </w:r>
            <w:r>
              <w:rPr>
                <w:rFonts w:cs="Times New Roman"/>
                <w:sz w:val="20"/>
                <w:szCs w:val="20"/>
              </w:rPr>
              <w:t>%</w:t>
            </w:r>
          </w:p>
        </w:tc>
        <w:tc>
          <w:tcPr>
            <w:tcW w:w="990" w:type="dxa"/>
          </w:tcPr>
          <w:p w14:paraId="77D31B7B" w14:textId="77777777" w:rsidR="006E68D1" w:rsidRPr="00705DA8" w:rsidRDefault="006E68D1" w:rsidP="00CF2EEA">
            <w:pPr>
              <w:widowControl w:val="0"/>
              <w:tabs>
                <w:tab w:val="decimal" w:pos="252"/>
              </w:tabs>
              <w:rPr>
                <w:rFonts w:cs="Times New Roman"/>
                <w:sz w:val="20"/>
                <w:szCs w:val="20"/>
              </w:rPr>
            </w:pPr>
          </w:p>
        </w:tc>
      </w:tr>
      <w:tr w:rsidR="006E68D1" w:rsidRPr="00705DA8" w14:paraId="0768AAAB" w14:textId="77777777" w:rsidTr="006674C6">
        <w:trPr>
          <w:trHeight w:val="144"/>
        </w:trPr>
        <w:tc>
          <w:tcPr>
            <w:tcW w:w="3348" w:type="dxa"/>
          </w:tcPr>
          <w:p w14:paraId="358E7459" w14:textId="77777777" w:rsidR="006E68D1" w:rsidRPr="00705DA8" w:rsidRDefault="006E68D1" w:rsidP="00CF2EEA">
            <w:pPr>
              <w:widowControl w:val="0"/>
              <w:ind w:left="288"/>
              <w:rPr>
                <w:rFonts w:cs="Times New Roman"/>
                <w:sz w:val="20"/>
                <w:szCs w:val="20"/>
              </w:rPr>
            </w:pPr>
            <w:r w:rsidRPr="00705DA8">
              <w:rPr>
                <w:rFonts w:cs="Times New Roman"/>
                <w:sz w:val="20"/>
                <w:szCs w:val="20"/>
              </w:rPr>
              <w:t>Technical school</w:t>
            </w:r>
          </w:p>
        </w:tc>
        <w:tc>
          <w:tcPr>
            <w:tcW w:w="1260" w:type="dxa"/>
          </w:tcPr>
          <w:p w14:paraId="351259DE" w14:textId="0E053A15" w:rsidR="006E68D1" w:rsidRPr="00705DA8" w:rsidRDefault="006E68D1" w:rsidP="00CF2EEA">
            <w:pPr>
              <w:widowControl w:val="0"/>
              <w:tabs>
                <w:tab w:val="decimal" w:pos="342"/>
              </w:tabs>
              <w:rPr>
                <w:rFonts w:cs="Times New Roman"/>
                <w:sz w:val="20"/>
                <w:szCs w:val="20"/>
              </w:rPr>
            </w:pPr>
            <w:r w:rsidRPr="00705DA8">
              <w:rPr>
                <w:rFonts w:cs="Times New Roman"/>
                <w:sz w:val="20"/>
                <w:szCs w:val="20"/>
              </w:rPr>
              <w:t>11.</w:t>
            </w:r>
            <w:r w:rsidR="006E679A">
              <w:rPr>
                <w:rFonts w:cs="Times New Roman"/>
                <w:sz w:val="20"/>
                <w:szCs w:val="20"/>
              </w:rPr>
              <w:t>6</w:t>
            </w:r>
            <w:r>
              <w:rPr>
                <w:rFonts w:cs="Times New Roman"/>
                <w:sz w:val="20"/>
                <w:szCs w:val="20"/>
              </w:rPr>
              <w:t>%</w:t>
            </w:r>
          </w:p>
        </w:tc>
        <w:tc>
          <w:tcPr>
            <w:tcW w:w="1350" w:type="dxa"/>
          </w:tcPr>
          <w:p w14:paraId="1C0E63D4" w14:textId="77777777" w:rsidR="006E68D1" w:rsidRPr="00705DA8" w:rsidRDefault="006E68D1" w:rsidP="00CF2EEA">
            <w:pPr>
              <w:widowControl w:val="0"/>
              <w:tabs>
                <w:tab w:val="decimal" w:pos="342"/>
              </w:tabs>
              <w:rPr>
                <w:rFonts w:cs="Times New Roman"/>
                <w:sz w:val="20"/>
                <w:szCs w:val="20"/>
              </w:rPr>
            </w:pPr>
            <w:r w:rsidRPr="00705DA8">
              <w:rPr>
                <w:rFonts w:cs="Times New Roman"/>
                <w:sz w:val="20"/>
                <w:szCs w:val="20"/>
              </w:rPr>
              <w:t>2.4</w:t>
            </w:r>
            <w:r>
              <w:rPr>
                <w:rFonts w:cs="Times New Roman"/>
                <w:sz w:val="20"/>
                <w:szCs w:val="20"/>
              </w:rPr>
              <w:t>%</w:t>
            </w:r>
          </w:p>
        </w:tc>
        <w:tc>
          <w:tcPr>
            <w:tcW w:w="1584" w:type="dxa"/>
          </w:tcPr>
          <w:p w14:paraId="6F188F1C" w14:textId="77777777" w:rsidR="006E68D1" w:rsidRPr="00705DA8" w:rsidRDefault="006E68D1" w:rsidP="00CF2EEA">
            <w:pPr>
              <w:widowControl w:val="0"/>
              <w:tabs>
                <w:tab w:val="decimal" w:pos="342"/>
              </w:tabs>
              <w:rPr>
                <w:rFonts w:cs="Times New Roman"/>
                <w:sz w:val="20"/>
                <w:szCs w:val="20"/>
              </w:rPr>
            </w:pPr>
            <w:r w:rsidRPr="00705DA8">
              <w:rPr>
                <w:rFonts w:cs="Times New Roman"/>
                <w:sz w:val="20"/>
                <w:szCs w:val="20"/>
              </w:rPr>
              <w:t>7.1</w:t>
            </w:r>
            <w:r>
              <w:rPr>
                <w:rFonts w:cs="Times New Roman"/>
                <w:sz w:val="20"/>
                <w:szCs w:val="20"/>
              </w:rPr>
              <w:t>%</w:t>
            </w:r>
          </w:p>
        </w:tc>
        <w:tc>
          <w:tcPr>
            <w:tcW w:w="990" w:type="dxa"/>
          </w:tcPr>
          <w:p w14:paraId="1C370FDF" w14:textId="77777777" w:rsidR="006E68D1" w:rsidRPr="00705DA8" w:rsidRDefault="006E68D1" w:rsidP="00CF2EEA">
            <w:pPr>
              <w:widowControl w:val="0"/>
              <w:tabs>
                <w:tab w:val="decimal" w:pos="252"/>
              </w:tabs>
              <w:rPr>
                <w:rFonts w:cs="Times New Roman"/>
                <w:sz w:val="20"/>
                <w:szCs w:val="20"/>
              </w:rPr>
            </w:pPr>
          </w:p>
        </w:tc>
      </w:tr>
      <w:tr w:rsidR="006E68D1" w:rsidRPr="00705DA8" w14:paraId="186C015A" w14:textId="77777777" w:rsidTr="006674C6">
        <w:trPr>
          <w:trHeight w:val="144"/>
        </w:trPr>
        <w:tc>
          <w:tcPr>
            <w:tcW w:w="3348" w:type="dxa"/>
          </w:tcPr>
          <w:p w14:paraId="55680EA1" w14:textId="77777777" w:rsidR="006E68D1" w:rsidRPr="00705DA8" w:rsidRDefault="006E68D1" w:rsidP="00CF2EEA">
            <w:pPr>
              <w:widowControl w:val="0"/>
              <w:ind w:left="288"/>
              <w:rPr>
                <w:rFonts w:cs="Times New Roman"/>
                <w:sz w:val="20"/>
                <w:szCs w:val="20"/>
              </w:rPr>
            </w:pPr>
            <w:r w:rsidRPr="00705DA8">
              <w:rPr>
                <w:rFonts w:cs="Times New Roman"/>
                <w:sz w:val="20"/>
                <w:szCs w:val="20"/>
              </w:rPr>
              <w:t>Partial college</w:t>
            </w:r>
          </w:p>
        </w:tc>
        <w:tc>
          <w:tcPr>
            <w:tcW w:w="1260" w:type="dxa"/>
          </w:tcPr>
          <w:p w14:paraId="14060C49" w14:textId="7991E269" w:rsidR="006E68D1" w:rsidRPr="00705DA8" w:rsidRDefault="006E679A" w:rsidP="00CF2EEA">
            <w:pPr>
              <w:widowControl w:val="0"/>
              <w:tabs>
                <w:tab w:val="decimal" w:pos="342"/>
              </w:tabs>
              <w:rPr>
                <w:rFonts w:cs="Times New Roman"/>
                <w:sz w:val="20"/>
                <w:szCs w:val="20"/>
              </w:rPr>
            </w:pPr>
            <w:r>
              <w:rPr>
                <w:rFonts w:cs="Times New Roman"/>
                <w:sz w:val="20"/>
                <w:szCs w:val="20"/>
              </w:rPr>
              <w:t>37.2</w:t>
            </w:r>
            <w:r w:rsidR="006E68D1">
              <w:rPr>
                <w:rFonts w:cs="Times New Roman"/>
                <w:sz w:val="20"/>
                <w:szCs w:val="20"/>
              </w:rPr>
              <w:t>%</w:t>
            </w:r>
          </w:p>
        </w:tc>
        <w:tc>
          <w:tcPr>
            <w:tcW w:w="1350" w:type="dxa"/>
          </w:tcPr>
          <w:p w14:paraId="4711FF2C" w14:textId="6CA7CB7B" w:rsidR="006E68D1" w:rsidRPr="00705DA8" w:rsidRDefault="006E68D1" w:rsidP="00CF2EEA">
            <w:pPr>
              <w:widowControl w:val="0"/>
              <w:tabs>
                <w:tab w:val="decimal" w:pos="342"/>
              </w:tabs>
              <w:rPr>
                <w:rFonts w:cs="Times New Roman"/>
                <w:sz w:val="20"/>
                <w:szCs w:val="20"/>
              </w:rPr>
            </w:pPr>
            <w:r w:rsidRPr="00705DA8">
              <w:rPr>
                <w:rFonts w:cs="Times New Roman"/>
                <w:sz w:val="20"/>
                <w:szCs w:val="20"/>
              </w:rPr>
              <w:t>3</w:t>
            </w:r>
            <w:r w:rsidR="006E679A">
              <w:rPr>
                <w:rFonts w:cs="Times New Roman"/>
                <w:sz w:val="20"/>
                <w:szCs w:val="20"/>
              </w:rPr>
              <w:t>5.7</w:t>
            </w:r>
            <w:r>
              <w:rPr>
                <w:rFonts w:cs="Times New Roman"/>
                <w:sz w:val="20"/>
                <w:szCs w:val="20"/>
              </w:rPr>
              <w:t>%</w:t>
            </w:r>
          </w:p>
        </w:tc>
        <w:tc>
          <w:tcPr>
            <w:tcW w:w="1584" w:type="dxa"/>
          </w:tcPr>
          <w:p w14:paraId="18770CBC" w14:textId="77777777" w:rsidR="006E68D1" w:rsidRPr="00705DA8" w:rsidRDefault="006E68D1" w:rsidP="00CF2EEA">
            <w:pPr>
              <w:widowControl w:val="0"/>
              <w:tabs>
                <w:tab w:val="decimal" w:pos="342"/>
              </w:tabs>
              <w:rPr>
                <w:rFonts w:cs="Times New Roman"/>
                <w:sz w:val="20"/>
                <w:szCs w:val="20"/>
              </w:rPr>
            </w:pPr>
            <w:r w:rsidRPr="00705DA8">
              <w:rPr>
                <w:rFonts w:cs="Times New Roman"/>
                <w:sz w:val="20"/>
                <w:szCs w:val="20"/>
              </w:rPr>
              <w:t>36.5</w:t>
            </w:r>
            <w:r>
              <w:rPr>
                <w:rFonts w:cs="Times New Roman"/>
                <w:sz w:val="20"/>
                <w:szCs w:val="20"/>
              </w:rPr>
              <w:t>%</w:t>
            </w:r>
          </w:p>
        </w:tc>
        <w:tc>
          <w:tcPr>
            <w:tcW w:w="990" w:type="dxa"/>
          </w:tcPr>
          <w:p w14:paraId="2A30424B" w14:textId="77777777" w:rsidR="006E68D1" w:rsidRPr="00705DA8" w:rsidRDefault="006E68D1" w:rsidP="00CF2EEA">
            <w:pPr>
              <w:widowControl w:val="0"/>
              <w:tabs>
                <w:tab w:val="decimal" w:pos="252"/>
              </w:tabs>
              <w:rPr>
                <w:rFonts w:cs="Times New Roman"/>
                <w:sz w:val="20"/>
                <w:szCs w:val="20"/>
              </w:rPr>
            </w:pPr>
          </w:p>
        </w:tc>
      </w:tr>
      <w:tr w:rsidR="006E68D1" w:rsidRPr="00705DA8" w14:paraId="0536FECD" w14:textId="77777777" w:rsidTr="006674C6">
        <w:trPr>
          <w:trHeight w:val="144"/>
        </w:trPr>
        <w:tc>
          <w:tcPr>
            <w:tcW w:w="3348" w:type="dxa"/>
          </w:tcPr>
          <w:p w14:paraId="027CA5D4" w14:textId="77777777" w:rsidR="006E68D1" w:rsidRPr="00705DA8" w:rsidRDefault="006E68D1" w:rsidP="00CF2EEA">
            <w:pPr>
              <w:widowControl w:val="0"/>
              <w:ind w:left="288"/>
              <w:rPr>
                <w:rFonts w:cs="Times New Roman"/>
                <w:sz w:val="20"/>
                <w:szCs w:val="20"/>
              </w:rPr>
            </w:pPr>
            <w:r w:rsidRPr="00705DA8">
              <w:rPr>
                <w:rFonts w:cs="Times New Roman"/>
                <w:sz w:val="20"/>
                <w:szCs w:val="20"/>
              </w:rPr>
              <w:t>College graduate</w:t>
            </w:r>
          </w:p>
        </w:tc>
        <w:tc>
          <w:tcPr>
            <w:tcW w:w="1260" w:type="dxa"/>
          </w:tcPr>
          <w:p w14:paraId="02F2581D" w14:textId="7C3618C1" w:rsidR="006E68D1" w:rsidRPr="00705DA8" w:rsidRDefault="006E68D1" w:rsidP="00CF2EEA">
            <w:pPr>
              <w:widowControl w:val="0"/>
              <w:tabs>
                <w:tab w:val="decimal" w:pos="342"/>
              </w:tabs>
              <w:rPr>
                <w:rFonts w:cs="Times New Roman"/>
                <w:sz w:val="20"/>
                <w:szCs w:val="20"/>
              </w:rPr>
            </w:pPr>
            <w:r w:rsidRPr="00705DA8">
              <w:rPr>
                <w:rFonts w:cs="Times New Roman"/>
                <w:sz w:val="20"/>
                <w:szCs w:val="20"/>
              </w:rPr>
              <w:t>25</w:t>
            </w:r>
            <w:r>
              <w:rPr>
                <w:rFonts w:cs="Times New Roman"/>
                <w:sz w:val="20"/>
                <w:szCs w:val="20"/>
              </w:rPr>
              <w:t>.</w:t>
            </w:r>
            <w:r w:rsidR="006E679A">
              <w:rPr>
                <w:rFonts w:cs="Times New Roman"/>
                <w:sz w:val="20"/>
                <w:szCs w:val="20"/>
              </w:rPr>
              <w:t>6</w:t>
            </w:r>
            <w:r>
              <w:rPr>
                <w:rFonts w:cs="Times New Roman"/>
                <w:sz w:val="20"/>
                <w:szCs w:val="20"/>
              </w:rPr>
              <w:t>%</w:t>
            </w:r>
          </w:p>
        </w:tc>
        <w:tc>
          <w:tcPr>
            <w:tcW w:w="1350" w:type="dxa"/>
          </w:tcPr>
          <w:p w14:paraId="262AF674" w14:textId="426093AF" w:rsidR="006E68D1" w:rsidRPr="00705DA8" w:rsidRDefault="006E68D1" w:rsidP="00CF2EEA">
            <w:pPr>
              <w:widowControl w:val="0"/>
              <w:tabs>
                <w:tab w:val="decimal" w:pos="342"/>
              </w:tabs>
              <w:rPr>
                <w:rFonts w:cs="Times New Roman"/>
                <w:sz w:val="20"/>
                <w:szCs w:val="20"/>
              </w:rPr>
            </w:pPr>
            <w:r w:rsidRPr="00705DA8">
              <w:rPr>
                <w:rFonts w:cs="Times New Roman"/>
                <w:sz w:val="20"/>
                <w:szCs w:val="20"/>
              </w:rPr>
              <w:t>3</w:t>
            </w:r>
            <w:r w:rsidR="006E679A">
              <w:rPr>
                <w:rFonts w:cs="Times New Roman"/>
                <w:sz w:val="20"/>
                <w:szCs w:val="20"/>
              </w:rPr>
              <w:t>3.3</w:t>
            </w:r>
            <w:r>
              <w:rPr>
                <w:rFonts w:cs="Times New Roman"/>
                <w:sz w:val="20"/>
                <w:szCs w:val="20"/>
              </w:rPr>
              <w:t>%</w:t>
            </w:r>
          </w:p>
        </w:tc>
        <w:tc>
          <w:tcPr>
            <w:tcW w:w="1584" w:type="dxa"/>
          </w:tcPr>
          <w:p w14:paraId="593D872B" w14:textId="77777777" w:rsidR="006E68D1" w:rsidRPr="00705DA8" w:rsidRDefault="006E68D1" w:rsidP="00CF2EEA">
            <w:pPr>
              <w:widowControl w:val="0"/>
              <w:tabs>
                <w:tab w:val="decimal" w:pos="342"/>
              </w:tabs>
              <w:rPr>
                <w:rFonts w:cs="Times New Roman"/>
                <w:sz w:val="20"/>
                <w:szCs w:val="20"/>
              </w:rPr>
            </w:pPr>
            <w:r w:rsidRPr="00705DA8">
              <w:rPr>
                <w:rFonts w:cs="Times New Roman"/>
                <w:sz w:val="20"/>
                <w:szCs w:val="20"/>
              </w:rPr>
              <w:t>29.4</w:t>
            </w:r>
            <w:r>
              <w:rPr>
                <w:rFonts w:cs="Times New Roman"/>
                <w:sz w:val="20"/>
                <w:szCs w:val="20"/>
              </w:rPr>
              <w:t>%</w:t>
            </w:r>
          </w:p>
        </w:tc>
        <w:tc>
          <w:tcPr>
            <w:tcW w:w="990" w:type="dxa"/>
          </w:tcPr>
          <w:p w14:paraId="28775650" w14:textId="77777777" w:rsidR="006E68D1" w:rsidRPr="00705DA8" w:rsidRDefault="006E68D1" w:rsidP="00CF2EEA">
            <w:pPr>
              <w:widowControl w:val="0"/>
              <w:tabs>
                <w:tab w:val="decimal" w:pos="252"/>
              </w:tabs>
              <w:rPr>
                <w:rFonts w:cs="Times New Roman"/>
                <w:sz w:val="20"/>
                <w:szCs w:val="20"/>
              </w:rPr>
            </w:pPr>
          </w:p>
        </w:tc>
      </w:tr>
      <w:tr w:rsidR="006E68D1" w:rsidRPr="00705DA8" w14:paraId="0A49553E" w14:textId="77777777" w:rsidTr="006674C6">
        <w:trPr>
          <w:trHeight w:val="144"/>
        </w:trPr>
        <w:tc>
          <w:tcPr>
            <w:tcW w:w="3348" w:type="dxa"/>
          </w:tcPr>
          <w:p w14:paraId="29D9B9BE" w14:textId="77777777" w:rsidR="006E68D1" w:rsidRPr="00705DA8" w:rsidRDefault="006E68D1" w:rsidP="00CF2EEA">
            <w:pPr>
              <w:widowControl w:val="0"/>
              <w:ind w:left="288"/>
              <w:rPr>
                <w:rFonts w:cs="Times New Roman"/>
                <w:sz w:val="20"/>
                <w:szCs w:val="20"/>
              </w:rPr>
            </w:pPr>
            <w:r w:rsidRPr="00705DA8">
              <w:rPr>
                <w:rFonts w:cs="Times New Roman"/>
                <w:sz w:val="20"/>
                <w:szCs w:val="20"/>
              </w:rPr>
              <w:t>Graduate or professional school</w:t>
            </w:r>
          </w:p>
        </w:tc>
        <w:tc>
          <w:tcPr>
            <w:tcW w:w="1260" w:type="dxa"/>
          </w:tcPr>
          <w:p w14:paraId="20B77B80" w14:textId="0E0E65E3" w:rsidR="006E68D1" w:rsidRPr="00705DA8" w:rsidRDefault="006E679A" w:rsidP="00CF2EEA">
            <w:pPr>
              <w:widowControl w:val="0"/>
              <w:tabs>
                <w:tab w:val="decimal" w:pos="342"/>
              </w:tabs>
              <w:rPr>
                <w:rFonts w:cs="Times New Roman"/>
                <w:sz w:val="20"/>
                <w:szCs w:val="20"/>
              </w:rPr>
            </w:pPr>
            <w:r w:rsidRPr="00705DA8">
              <w:rPr>
                <w:rFonts w:cs="Times New Roman"/>
                <w:sz w:val="20"/>
                <w:szCs w:val="20"/>
              </w:rPr>
              <w:t>1</w:t>
            </w:r>
            <w:r>
              <w:rPr>
                <w:rFonts w:cs="Times New Roman"/>
                <w:sz w:val="20"/>
                <w:szCs w:val="20"/>
              </w:rPr>
              <w:t>1</w:t>
            </w:r>
            <w:r w:rsidR="006E68D1" w:rsidRPr="00705DA8">
              <w:rPr>
                <w:rFonts w:cs="Times New Roman"/>
                <w:sz w:val="20"/>
                <w:szCs w:val="20"/>
              </w:rPr>
              <w:t>.6</w:t>
            </w:r>
            <w:r w:rsidR="006E68D1">
              <w:rPr>
                <w:rFonts w:cs="Times New Roman"/>
                <w:sz w:val="20"/>
                <w:szCs w:val="20"/>
              </w:rPr>
              <w:t>%</w:t>
            </w:r>
          </w:p>
        </w:tc>
        <w:tc>
          <w:tcPr>
            <w:tcW w:w="1350" w:type="dxa"/>
          </w:tcPr>
          <w:p w14:paraId="3A09B04C" w14:textId="5967699D" w:rsidR="006E68D1" w:rsidRPr="00705DA8" w:rsidRDefault="006E679A" w:rsidP="00CF2EEA">
            <w:pPr>
              <w:widowControl w:val="0"/>
              <w:tabs>
                <w:tab w:val="decimal" w:pos="342"/>
              </w:tabs>
              <w:rPr>
                <w:rFonts w:cs="Times New Roman"/>
                <w:sz w:val="20"/>
                <w:szCs w:val="20"/>
              </w:rPr>
            </w:pPr>
            <w:r>
              <w:rPr>
                <w:rFonts w:cs="Times New Roman"/>
                <w:sz w:val="20"/>
                <w:szCs w:val="20"/>
              </w:rPr>
              <w:t>9.5</w:t>
            </w:r>
            <w:r w:rsidR="006E68D1">
              <w:rPr>
                <w:rFonts w:cs="Times New Roman"/>
                <w:sz w:val="20"/>
                <w:szCs w:val="20"/>
              </w:rPr>
              <w:t>%</w:t>
            </w:r>
          </w:p>
        </w:tc>
        <w:tc>
          <w:tcPr>
            <w:tcW w:w="1584" w:type="dxa"/>
          </w:tcPr>
          <w:p w14:paraId="20BD2270" w14:textId="77777777" w:rsidR="006E68D1" w:rsidRPr="00705DA8" w:rsidRDefault="006E68D1" w:rsidP="00CF2EEA">
            <w:pPr>
              <w:widowControl w:val="0"/>
              <w:tabs>
                <w:tab w:val="decimal" w:pos="342"/>
              </w:tabs>
              <w:rPr>
                <w:rFonts w:cs="Times New Roman"/>
                <w:sz w:val="20"/>
                <w:szCs w:val="20"/>
              </w:rPr>
            </w:pPr>
            <w:r w:rsidRPr="00705DA8">
              <w:rPr>
                <w:rFonts w:cs="Times New Roman"/>
                <w:sz w:val="20"/>
                <w:szCs w:val="20"/>
              </w:rPr>
              <w:t>10.6</w:t>
            </w:r>
            <w:r>
              <w:rPr>
                <w:rFonts w:cs="Times New Roman"/>
                <w:sz w:val="20"/>
                <w:szCs w:val="20"/>
              </w:rPr>
              <w:t>%</w:t>
            </w:r>
          </w:p>
        </w:tc>
        <w:tc>
          <w:tcPr>
            <w:tcW w:w="990" w:type="dxa"/>
          </w:tcPr>
          <w:p w14:paraId="12DED977" w14:textId="77777777" w:rsidR="006E68D1" w:rsidRPr="00705DA8" w:rsidRDefault="006E68D1" w:rsidP="00CF2EEA">
            <w:pPr>
              <w:widowControl w:val="0"/>
              <w:tabs>
                <w:tab w:val="decimal" w:pos="252"/>
              </w:tabs>
              <w:rPr>
                <w:rFonts w:cs="Times New Roman"/>
                <w:sz w:val="20"/>
                <w:szCs w:val="20"/>
              </w:rPr>
            </w:pPr>
          </w:p>
        </w:tc>
      </w:tr>
      <w:tr w:rsidR="006E68D1" w:rsidRPr="00705DA8" w14:paraId="60006D77" w14:textId="77777777" w:rsidTr="006674C6">
        <w:trPr>
          <w:trHeight w:val="144"/>
        </w:trPr>
        <w:tc>
          <w:tcPr>
            <w:tcW w:w="3348" w:type="dxa"/>
          </w:tcPr>
          <w:p w14:paraId="3A57E90A" w14:textId="3026C346" w:rsidR="006E68D1" w:rsidRPr="00705DA8" w:rsidRDefault="003E74EA" w:rsidP="00CF2EEA">
            <w:pPr>
              <w:widowControl w:val="0"/>
              <w:rPr>
                <w:rFonts w:cs="Times New Roman"/>
                <w:sz w:val="20"/>
                <w:szCs w:val="20"/>
              </w:rPr>
            </w:pPr>
            <w:r>
              <w:rPr>
                <w:rFonts w:cs="Times New Roman"/>
                <w:sz w:val="20"/>
                <w:szCs w:val="20"/>
              </w:rPr>
              <w:t>TTM</w:t>
            </w:r>
            <w:r w:rsidR="006E68D1" w:rsidRPr="00705DA8">
              <w:rPr>
                <w:rFonts w:cs="Times New Roman"/>
                <w:sz w:val="20"/>
                <w:szCs w:val="20"/>
              </w:rPr>
              <w:t xml:space="preserve"> baseline severity</w:t>
            </w:r>
          </w:p>
        </w:tc>
        <w:tc>
          <w:tcPr>
            <w:tcW w:w="1260" w:type="dxa"/>
          </w:tcPr>
          <w:p w14:paraId="59940357" w14:textId="77777777" w:rsidR="006E68D1" w:rsidRPr="00705DA8" w:rsidRDefault="006E68D1" w:rsidP="00CF2EEA">
            <w:pPr>
              <w:widowControl w:val="0"/>
              <w:tabs>
                <w:tab w:val="decimal" w:pos="342"/>
              </w:tabs>
              <w:rPr>
                <w:rFonts w:cs="Times New Roman"/>
                <w:sz w:val="20"/>
                <w:szCs w:val="20"/>
              </w:rPr>
            </w:pPr>
          </w:p>
        </w:tc>
        <w:tc>
          <w:tcPr>
            <w:tcW w:w="1350" w:type="dxa"/>
          </w:tcPr>
          <w:p w14:paraId="1E51113A" w14:textId="77777777" w:rsidR="006E68D1" w:rsidRPr="00705DA8" w:rsidRDefault="006E68D1" w:rsidP="00CF2EEA">
            <w:pPr>
              <w:widowControl w:val="0"/>
              <w:tabs>
                <w:tab w:val="decimal" w:pos="342"/>
              </w:tabs>
              <w:rPr>
                <w:rFonts w:cs="Times New Roman"/>
                <w:sz w:val="20"/>
                <w:szCs w:val="20"/>
              </w:rPr>
            </w:pPr>
          </w:p>
        </w:tc>
        <w:tc>
          <w:tcPr>
            <w:tcW w:w="1584" w:type="dxa"/>
          </w:tcPr>
          <w:p w14:paraId="270E91C6" w14:textId="77777777" w:rsidR="006E68D1" w:rsidRPr="00705DA8" w:rsidRDefault="006E68D1" w:rsidP="00CF2EEA">
            <w:pPr>
              <w:widowControl w:val="0"/>
              <w:tabs>
                <w:tab w:val="decimal" w:pos="342"/>
              </w:tabs>
              <w:rPr>
                <w:rFonts w:cs="Times New Roman"/>
                <w:sz w:val="20"/>
                <w:szCs w:val="20"/>
              </w:rPr>
            </w:pPr>
          </w:p>
        </w:tc>
        <w:tc>
          <w:tcPr>
            <w:tcW w:w="990" w:type="dxa"/>
          </w:tcPr>
          <w:p w14:paraId="74FB1924" w14:textId="77777777" w:rsidR="006E68D1" w:rsidRPr="00705DA8" w:rsidRDefault="006E68D1" w:rsidP="00CF2EEA">
            <w:pPr>
              <w:widowControl w:val="0"/>
              <w:tabs>
                <w:tab w:val="decimal" w:pos="252"/>
              </w:tabs>
              <w:rPr>
                <w:rFonts w:cs="Times New Roman"/>
                <w:sz w:val="20"/>
                <w:szCs w:val="20"/>
              </w:rPr>
            </w:pPr>
          </w:p>
        </w:tc>
      </w:tr>
      <w:tr w:rsidR="006E68D1" w:rsidRPr="00705DA8" w14:paraId="1FC51EF1" w14:textId="77777777" w:rsidTr="006674C6">
        <w:trPr>
          <w:trHeight w:val="144"/>
        </w:trPr>
        <w:tc>
          <w:tcPr>
            <w:tcW w:w="3348" w:type="dxa"/>
          </w:tcPr>
          <w:p w14:paraId="0B7463F2" w14:textId="5A95D625" w:rsidR="006E68D1" w:rsidRPr="00705DA8" w:rsidRDefault="006E68D1" w:rsidP="00CF2EEA">
            <w:pPr>
              <w:widowControl w:val="0"/>
              <w:ind w:left="288"/>
              <w:rPr>
                <w:rFonts w:cs="Times New Roman"/>
                <w:sz w:val="20"/>
                <w:szCs w:val="20"/>
              </w:rPr>
            </w:pPr>
            <w:r w:rsidRPr="00705DA8">
              <w:rPr>
                <w:rFonts w:cs="Times New Roman"/>
                <w:sz w:val="20"/>
                <w:szCs w:val="20"/>
              </w:rPr>
              <w:t>MGH-HS, mean (</w:t>
            </w:r>
            <w:r w:rsidRPr="00054B31">
              <w:rPr>
                <w:rFonts w:cs="Times New Roman"/>
                <w:i/>
                <w:sz w:val="20"/>
                <w:szCs w:val="20"/>
              </w:rPr>
              <w:t>SD</w:t>
            </w:r>
            <w:r w:rsidRPr="00705DA8">
              <w:rPr>
                <w:rFonts w:cs="Times New Roman"/>
                <w:sz w:val="20"/>
                <w:szCs w:val="20"/>
              </w:rPr>
              <w:t>)</w:t>
            </w:r>
          </w:p>
        </w:tc>
        <w:tc>
          <w:tcPr>
            <w:tcW w:w="1260" w:type="dxa"/>
          </w:tcPr>
          <w:p w14:paraId="0B2AFC1B" w14:textId="77777777" w:rsidR="006E68D1" w:rsidRPr="00705DA8" w:rsidRDefault="006E68D1" w:rsidP="00CF2EEA">
            <w:pPr>
              <w:widowControl w:val="0"/>
              <w:tabs>
                <w:tab w:val="decimal" w:pos="342"/>
              </w:tabs>
              <w:rPr>
                <w:rFonts w:cs="Times New Roman"/>
                <w:sz w:val="20"/>
                <w:szCs w:val="20"/>
              </w:rPr>
            </w:pPr>
            <w:r w:rsidRPr="00705DA8">
              <w:rPr>
                <w:rFonts w:cs="Times New Roman"/>
                <w:sz w:val="20"/>
                <w:szCs w:val="20"/>
              </w:rPr>
              <w:t>16.6 (4.6)</w:t>
            </w:r>
          </w:p>
        </w:tc>
        <w:tc>
          <w:tcPr>
            <w:tcW w:w="1350" w:type="dxa"/>
          </w:tcPr>
          <w:p w14:paraId="0B164C56" w14:textId="77777777" w:rsidR="006E68D1" w:rsidRPr="00705DA8" w:rsidRDefault="006E68D1" w:rsidP="00CF2EEA">
            <w:pPr>
              <w:widowControl w:val="0"/>
              <w:tabs>
                <w:tab w:val="decimal" w:pos="342"/>
              </w:tabs>
              <w:rPr>
                <w:rFonts w:cs="Times New Roman"/>
                <w:sz w:val="20"/>
                <w:szCs w:val="20"/>
              </w:rPr>
            </w:pPr>
            <w:r w:rsidRPr="00705DA8">
              <w:rPr>
                <w:rFonts w:cs="Times New Roman"/>
                <w:sz w:val="20"/>
                <w:szCs w:val="20"/>
              </w:rPr>
              <w:t>17.3 (4.5)</w:t>
            </w:r>
          </w:p>
        </w:tc>
        <w:tc>
          <w:tcPr>
            <w:tcW w:w="1584" w:type="dxa"/>
          </w:tcPr>
          <w:p w14:paraId="717B3F61" w14:textId="77777777" w:rsidR="006E68D1" w:rsidRPr="00705DA8" w:rsidRDefault="006E68D1" w:rsidP="00CF2EEA">
            <w:pPr>
              <w:widowControl w:val="0"/>
              <w:tabs>
                <w:tab w:val="decimal" w:pos="342"/>
              </w:tabs>
              <w:rPr>
                <w:rFonts w:cs="Times New Roman"/>
                <w:sz w:val="20"/>
                <w:szCs w:val="20"/>
              </w:rPr>
            </w:pPr>
            <w:r w:rsidRPr="00705DA8">
              <w:rPr>
                <w:rFonts w:cs="Times New Roman"/>
                <w:sz w:val="20"/>
                <w:szCs w:val="20"/>
              </w:rPr>
              <w:t>16.9 (4.5)</w:t>
            </w:r>
          </w:p>
        </w:tc>
        <w:tc>
          <w:tcPr>
            <w:tcW w:w="990" w:type="dxa"/>
          </w:tcPr>
          <w:p w14:paraId="203B58A9" w14:textId="6F4B960E" w:rsidR="006E68D1" w:rsidRPr="00705DA8" w:rsidRDefault="006E68D1" w:rsidP="00CF2EEA">
            <w:pPr>
              <w:widowControl w:val="0"/>
              <w:tabs>
                <w:tab w:val="decimal" w:pos="252"/>
              </w:tabs>
              <w:rPr>
                <w:rFonts w:cs="Times New Roman"/>
                <w:sz w:val="20"/>
                <w:szCs w:val="20"/>
              </w:rPr>
            </w:pPr>
            <w:r w:rsidRPr="00705DA8">
              <w:rPr>
                <w:rFonts w:cs="Times New Roman"/>
                <w:sz w:val="20"/>
                <w:szCs w:val="20"/>
              </w:rPr>
              <w:t>.</w:t>
            </w:r>
            <w:r w:rsidR="000F0897">
              <w:rPr>
                <w:rFonts w:cs="Times New Roman"/>
                <w:sz w:val="20"/>
                <w:szCs w:val="20"/>
              </w:rPr>
              <w:t>48</w:t>
            </w:r>
          </w:p>
        </w:tc>
      </w:tr>
      <w:tr w:rsidR="006E68D1" w:rsidRPr="00705DA8" w14:paraId="39B15E22" w14:textId="77777777" w:rsidTr="006674C6">
        <w:trPr>
          <w:trHeight w:val="144"/>
        </w:trPr>
        <w:tc>
          <w:tcPr>
            <w:tcW w:w="3348" w:type="dxa"/>
          </w:tcPr>
          <w:p w14:paraId="6840CB54" w14:textId="77777777" w:rsidR="006E68D1" w:rsidRPr="00705DA8" w:rsidRDefault="006E68D1" w:rsidP="00CF2EEA">
            <w:pPr>
              <w:widowControl w:val="0"/>
              <w:ind w:left="288"/>
              <w:rPr>
                <w:rFonts w:cs="Times New Roman"/>
                <w:sz w:val="20"/>
                <w:szCs w:val="20"/>
              </w:rPr>
            </w:pPr>
            <w:r w:rsidRPr="00705DA8">
              <w:rPr>
                <w:rFonts w:cs="Times New Roman"/>
                <w:sz w:val="20"/>
                <w:szCs w:val="20"/>
              </w:rPr>
              <w:t>NIMH-TSS, mean (</w:t>
            </w:r>
            <w:r w:rsidRPr="00054B31">
              <w:rPr>
                <w:rFonts w:cs="Times New Roman"/>
                <w:i/>
                <w:sz w:val="20"/>
                <w:szCs w:val="20"/>
              </w:rPr>
              <w:t>SD</w:t>
            </w:r>
            <w:r w:rsidRPr="00705DA8">
              <w:rPr>
                <w:rFonts w:cs="Times New Roman"/>
                <w:sz w:val="20"/>
                <w:szCs w:val="20"/>
              </w:rPr>
              <w:t>)</w:t>
            </w:r>
          </w:p>
        </w:tc>
        <w:tc>
          <w:tcPr>
            <w:tcW w:w="1260" w:type="dxa"/>
          </w:tcPr>
          <w:p w14:paraId="18C5562C" w14:textId="77777777" w:rsidR="006E68D1" w:rsidRPr="00705DA8" w:rsidRDefault="006E68D1" w:rsidP="00CF2EEA">
            <w:pPr>
              <w:widowControl w:val="0"/>
              <w:tabs>
                <w:tab w:val="decimal" w:pos="342"/>
              </w:tabs>
              <w:rPr>
                <w:rFonts w:cs="Times New Roman"/>
                <w:sz w:val="20"/>
                <w:szCs w:val="20"/>
              </w:rPr>
            </w:pPr>
            <w:r w:rsidRPr="00705DA8">
              <w:rPr>
                <w:rFonts w:cs="Times New Roman"/>
                <w:sz w:val="20"/>
                <w:szCs w:val="20"/>
              </w:rPr>
              <w:t>14.1 (3.7)</w:t>
            </w:r>
          </w:p>
        </w:tc>
        <w:tc>
          <w:tcPr>
            <w:tcW w:w="1350" w:type="dxa"/>
          </w:tcPr>
          <w:p w14:paraId="658784BD" w14:textId="77777777" w:rsidR="006E68D1" w:rsidRPr="00705DA8" w:rsidRDefault="006E68D1" w:rsidP="00CF2EEA">
            <w:pPr>
              <w:widowControl w:val="0"/>
              <w:tabs>
                <w:tab w:val="decimal" w:pos="342"/>
              </w:tabs>
              <w:rPr>
                <w:rFonts w:cs="Times New Roman"/>
                <w:sz w:val="20"/>
                <w:szCs w:val="20"/>
              </w:rPr>
            </w:pPr>
            <w:r w:rsidRPr="00705DA8">
              <w:rPr>
                <w:rFonts w:cs="Times New Roman"/>
                <w:sz w:val="20"/>
                <w:szCs w:val="20"/>
              </w:rPr>
              <w:t>14.6 (3.6)</w:t>
            </w:r>
          </w:p>
        </w:tc>
        <w:tc>
          <w:tcPr>
            <w:tcW w:w="1584" w:type="dxa"/>
          </w:tcPr>
          <w:p w14:paraId="1AFC2DB0" w14:textId="77777777" w:rsidR="006E68D1" w:rsidRPr="00705DA8" w:rsidRDefault="006E68D1" w:rsidP="00CF2EEA">
            <w:pPr>
              <w:widowControl w:val="0"/>
              <w:tabs>
                <w:tab w:val="decimal" w:pos="342"/>
              </w:tabs>
              <w:rPr>
                <w:rFonts w:cs="Times New Roman"/>
                <w:sz w:val="20"/>
                <w:szCs w:val="20"/>
              </w:rPr>
            </w:pPr>
            <w:r w:rsidRPr="00705DA8">
              <w:rPr>
                <w:rFonts w:cs="Times New Roman"/>
                <w:sz w:val="20"/>
                <w:szCs w:val="20"/>
              </w:rPr>
              <w:t>14.3 (3.6)</w:t>
            </w:r>
          </w:p>
        </w:tc>
        <w:tc>
          <w:tcPr>
            <w:tcW w:w="990" w:type="dxa"/>
          </w:tcPr>
          <w:p w14:paraId="57718969" w14:textId="41C8981D" w:rsidR="006E68D1" w:rsidRPr="00705DA8" w:rsidRDefault="006E68D1" w:rsidP="00CF2EEA">
            <w:pPr>
              <w:widowControl w:val="0"/>
              <w:tabs>
                <w:tab w:val="decimal" w:pos="252"/>
              </w:tabs>
              <w:rPr>
                <w:rFonts w:cs="Times New Roman"/>
                <w:sz w:val="20"/>
                <w:szCs w:val="20"/>
              </w:rPr>
            </w:pPr>
            <w:r w:rsidRPr="00705DA8">
              <w:rPr>
                <w:rFonts w:cs="Times New Roman"/>
                <w:sz w:val="20"/>
                <w:szCs w:val="20"/>
              </w:rPr>
              <w:t>.</w:t>
            </w:r>
            <w:r w:rsidR="000F0897">
              <w:rPr>
                <w:rFonts w:cs="Times New Roman"/>
                <w:sz w:val="20"/>
                <w:szCs w:val="20"/>
              </w:rPr>
              <w:t>53</w:t>
            </w:r>
          </w:p>
        </w:tc>
      </w:tr>
      <w:tr w:rsidR="009153CE" w:rsidRPr="00705DA8" w14:paraId="31D4477B" w14:textId="77777777" w:rsidTr="006674C6">
        <w:trPr>
          <w:trHeight w:val="144"/>
        </w:trPr>
        <w:tc>
          <w:tcPr>
            <w:tcW w:w="3348" w:type="dxa"/>
          </w:tcPr>
          <w:p w14:paraId="08020450" w14:textId="16DA7548" w:rsidR="009153CE" w:rsidRPr="00705DA8" w:rsidRDefault="009153CE" w:rsidP="00CF2EEA">
            <w:pPr>
              <w:widowControl w:val="0"/>
              <w:ind w:left="288"/>
              <w:rPr>
                <w:rFonts w:cs="Times New Roman"/>
                <w:sz w:val="20"/>
                <w:szCs w:val="20"/>
              </w:rPr>
            </w:pPr>
            <w:r>
              <w:rPr>
                <w:rFonts w:cs="Times New Roman"/>
                <w:sz w:val="20"/>
                <w:szCs w:val="20"/>
              </w:rPr>
              <w:t>MIST</w:t>
            </w:r>
            <w:r w:rsidR="001F3D5A">
              <w:rPr>
                <w:rFonts w:cs="Times New Roman"/>
                <w:sz w:val="20"/>
                <w:szCs w:val="20"/>
              </w:rPr>
              <w:t>-</w:t>
            </w:r>
            <w:r>
              <w:rPr>
                <w:rFonts w:cs="Times New Roman"/>
                <w:sz w:val="20"/>
                <w:szCs w:val="20"/>
              </w:rPr>
              <w:t>A</w:t>
            </w:r>
            <w:r w:rsidR="001F3D5A">
              <w:rPr>
                <w:rFonts w:cs="Times New Roman"/>
                <w:sz w:val="20"/>
                <w:szCs w:val="20"/>
              </w:rPr>
              <w:t xml:space="preserve"> </w:t>
            </w:r>
            <w:r>
              <w:rPr>
                <w:rFonts w:cs="Times New Roman"/>
                <w:sz w:val="20"/>
                <w:szCs w:val="20"/>
              </w:rPr>
              <w:t xml:space="preserve">Automatic, mean </w:t>
            </w:r>
            <w:r w:rsidRPr="000264B2">
              <w:rPr>
                <w:rFonts w:cs="Times New Roman"/>
                <w:i/>
                <w:iCs/>
                <w:sz w:val="20"/>
                <w:szCs w:val="20"/>
              </w:rPr>
              <w:t>(SD)</w:t>
            </w:r>
          </w:p>
        </w:tc>
        <w:tc>
          <w:tcPr>
            <w:tcW w:w="1260" w:type="dxa"/>
          </w:tcPr>
          <w:p w14:paraId="506C1C38" w14:textId="1D8D8FDC" w:rsidR="009153CE" w:rsidRPr="00705DA8" w:rsidRDefault="009153CE" w:rsidP="00CF2EEA">
            <w:pPr>
              <w:widowControl w:val="0"/>
              <w:tabs>
                <w:tab w:val="decimal" w:pos="342"/>
              </w:tabs>
              <w:rPr>
                <w:rFonts w:cs="Times New Roman"/>
                <w:sz w:val="20"/>
                <w:szCs w:val="20"/>
              </w:rPr>
            </w:pPr>
            <w:r>
              <w:rPr>
                <w:rFonts w:cs="Times New Roman"/>
                <w:sz w:val="20"/>
                <w:szCs w:val="20"/>
              </w:rPr>
              <w:t>24.7 (9.8)</w:t>
            </w:r>
          </w:p>
        </w:tc>
        <w:tc>
          <w:tcPr>
            <w:tcW w:w="1350" w:type="dxa"/>
          </w:tcPr>
          <w:p w14:paraId="5E838229" w14:textId="2F46CA07" w:rsidR="009153CE" w:rsidRPr="00705DA8" w:rsidRDefault="009153CE" w:rsidP="00CF2EEA">
            <w:pPr>
              <w:widowControl w:val="0"/>
              <w:tabs>
                <w:tab w:val="decimal" w:pos="342"/>
              </w:tabs>
              <w:rPr>
                <w:rFonts w:cs="Times New Roman"/>
                <w:sz w:val="20"/>
                <w:szCs w:val="20"/>
              </w:rPr>
            </w:pPr>
            <w:r>
              <w:rPr>
                <w:rFonts w:cs="Times New Roman"/>
                <w:sz w:val="20"/>
                <w:szCs w:val="20"/>
              </w:rPr>
              <w:t>28.4 (8.5)</w:t>
            </w:r>
          </w:p>
        </w:tc>
        <w:tc>
          <w:tcPr>
            <w:tcW w:w="1584" w:type="dxa"/>
          </w:tcPr>
          <w:p w14:paraId="7625355C" w14:textId="0142C9EB" w:rsidR="009153CE" w:rsidRPr="00705DA8" w:rsidRDefault="00E72D73" w:rsidP="00CF2EEA">
            <w:pPr>
              <w:widowControl w:val="0"/>
              <w:tabs>
                <w:tab w:val="decimal" w:pos="342"/>
              </w:tabs>
              <w:rPr>
                <w:rFonts w:cs="Times New Roman"/>
                <w:sz w:val="20"/>
                <w:szCs w:val="20"/>
              </w:rPr>
            </w:pPr>
            <w:r>
              <w:rPr>
                <w:rFonts w:cs="Times New Roman"/>
                <w:sz w:val="20"/>
                <w:szCs w:val="20"/>
              </w:rPr>
              <w:t>26.6 (9.3)</w:t>
            </w:r>
          </w:p>
        </w:tc>
        <w:tc>
          <w:tcPr>
            <w:tcW w:w="990" w:type="dxa"/>
          </w:tcPr>
          <w:p w14:paraId="0C7CFBCB" w14:textId="51010948" w:rsidR="009153CE" w:rsidRPr="00705DA8" w:rsidRDefault="00033C53" w:rsidP="00CF2EEA">
            <w:pPr>
              <w:widowControl w:val="0"/>
              <w:tabs>
                <w:tab w:val="decimal" w:pos="252"/>
              </w:tabs>
              <w:rPr>
                <w:rFonts w:cs="Times New Roman"/>
                <w:sz w:val="20"/>
                <w:szCs w:val="20"/>
              </w:rPr>
            </w:pPr>
            <w:r>
              <w:rPr>
                <w:rFonts w:cs="Times New Roman"/>
                <w:sz w:val="20"/>
                <w:szCs w:val="20"/>
              </w:rPr>
              <w:t>.06</w:t>
            </w:r>
          </w:p>
        </w:tc>
      </w:tr>
      <w:tr w:rsidR="009153CE" w:rsidRPr="00705DA8" w14:paraId="235075E0" w14:textId="77777777" w:rsidTr="006674C6">
        <w:trPr>
          <w:trHeight w:val="144"/>
        </w:trPr>
        <w:tc>
          <w:tcPr>
            <w:tcW w:w="3348" w:type="dxa"/>
          </w:tcPr>
          <w:p w14:paraId="365B3DA2" w14:textId="2925369A" w:rsidR="009153CE" w:rsidRPr="00705DA8" w:rsidRDefault="009153CE" w:rsidP="00CF2EEA">
            <w:pPr>
              <w:widowControl w:val="0"/>
              <w:ind w:left="288"/>
              <w:rPr>
                <w:rFonts w:cs="Times New Roman"/>
                <w:sz w:val="20"/>
                <w:szCs w:val="20"/>
              </w:rPr>
            </w:pPr>
            <w:r>
              <w:rPr>
                <w:rFonts w:cs="Times New Roman"/>
                <w:sz w:val="20"/>
                <w:szCs w:val="20"/>
              </w:rPr>
              <w:t>MIST</w:t>
            </w:r>
            <w:r w:rsidR="001F3D5A">
              <w:rPr>
                <w:rFonts w:cs="Times New Roman"/>
                <w:sz w:val="20"/>
                <w:szCs w:val="20"/>
              </w:rPr>
              <w:t>-</w:t>
            </w:r>
            <w:r>
              <w:rPr>
                <w:rFonts w:cs="Times New Roman"/>
                <w:sz w:val="20"/>
                <w:szCs w:val="20"/>
              </w:rPr>
              <w:t>A</w:t>
            </w:r>
            <w:r w:rsidR="001F3D5A">
              <w:rPr>
                <w:rFonts w:cs="Times New Roman"/>
                <w:sz w:val="20"/>
                <w:szCs w:val="20"/>
              </w:rPr>
              <w:t xml:space="preserve"> </w:t>
            </w:r>
            <w:r>
              <w:rPr>
                <w:rFonts w:cs="Times New Roman"/>
                <w:sz w:val="20"/>
                <w:szCs w:val="20"/>
              </w:rPr>
              <w:t xml:space="preserve">Focused, mean </w:t>
            </w:r>
            <w:r w:rsidRPr="000264B2">
              <w:rPr>
                <w:rFonts w:cs="Times New Roman"/>
                <w:i/>
                <w:iCs/>
                <w:sz w:val="20"/>
                <w:szCs w:val="20"/>
              </w:rPr>
              <w:t>(SD)</w:t>
            </w:r>
          </w:p>
        </w:tc>
        <w:tc>
          <w:tcPr>
            <w:tcW w:w="1260" w:type="dxa"/>
          </w:tcPr>
          <w:p w14:paraId="6558414C" w14:textId="1A68A48D" w:rsidR="009153CE" w:rsidRPr="00705DA8" w:rsidRDefault="009153CE" w:rsidP="00CF2EEA">
            <w:pPr>
              <w:widowControl w:val="0"/>
              <w:tabs>
                <w:tab w:val="decimal" w:pos="342"/>
              </w:tabs>
              <w:rPr>
                <w:rFonts w:cs="Times New Roman"/>
                <w:sz w:val="20"/>
                <w:szCs w:val="20"/>
              </w:rPr>
            </w:pPr>
            <w:r>
              <w:rPr>
                <w:rFonts w:cs="Times New Roman"/>
                <w:sz w:val="20"/>
                <w:szCs w:val="20"/>
              </w:rPr>
              <w:t>44.6 (15.4)</w:t>
            </w:r>
          </w:p>
        </w:tc>
        <w:tc>
          <w:tcPr>
            <w:tcW w:w="1350" w:type="dxa"/>
          </w:tcPr>
          <w:p w14:paraId="05CDEB76" w14:textId="68DC55E7" w:rsidR="009153CE" w:rsidRPr="00705DA8" w:rsidRDefault="009153CE" w:rsidP="00CF2EEA">
            <w:pPr>
              <w:widowControl w:val="0"/>
              <w:tabs>
                <w:tab w:val="decimal" w:pos="342"/>
              </w:tabs>
              <w:rPr>
                <w:rFonts w:cs="Times New Roman"/>
                <w:sz w:val="20"/>
                <w:szCs w:val="20"/>
              </w:rPr>
            </w:pPr>
            <w:r>
              <w:rPr>
                <w:rFonts w:cs="Times New Roman"/>
                <w:sz w:val="20"/>
                <w:szCs w:val="20"/>
              </w:rPr>
              <w:t>45.3 (</w:t>
            </w:r>
            <w:r w:rsidR="00E72D73">
              <w:rPr>
                <w:rFonts w:cs="Times New Roman"/>
                <w:sz w:val="20"/>
                <w:szCs w:val="20"/>
              </w:rPr>
              <w:t>15.4</w:t>
            </w:r>
            <w:r>
              <w:rPr>
                <w:rFonts w:cs="Times New Roman"/>
                <w:sz w:val="20"/>
                <w:szCs w:val="20"/>
              </w:rPr>
              <w:t>)</w:t>
            </w:r>
          </w:p>
        </w:tc>
        <w:tc>
          <w:tcPr>
            <w:tcW w:w="1584" w:type="dxa"/>
          </w:tcPr>
          <w:p w14:paraId="47CEC218" w14:textId="58AFE4DF" w:rsidR="009153CE" w:rsidRPr="00705DA8" w:rsidRDefault="00E72D73" w:rsidP="00CF2EEA">
            <w:pPr>
              <w:widowControl w:val="0"/>
              <w:tabs>
                <w:tab w:val="decimal" w:pos="342"/>
              </w:tabs>
              <w:rPr>
                <w:rFonts w:cs="Times New Roman"/>
                <w:sz w:val="20"/>
                <w:szCs w:val="20"/>
              </w:rPr>
            </w:pPr>
            <w:r>
              <w:rPr>
                <w:rFonts w:cs="Times New Roman"/>
                <w:sz w:val="20"/>
                <w:szCs w:val="20"/>
              </w:rPr>
              <w:t>44.9 (15.3)</w:t>
            </w:r>
          </w:p>
        </w:tc>
        <w:tc>
          <w:tcPr>
            <w:tcW w:w="990" w:type="dxa"/>
          </w:tcPr>
          <w:p w14:paraId="61F8DD58" w14:textId="2AC66194" w:rsidR="009153CE" w:rsidRPr="00705DA8" w:rsidRDefault="0031333E" w:rsidP="00CF2EEA">
            <w:pPr>
              <w:widowControl w:val="0"/>
              <w:tabs>
                <w:tab w:val="decimal" w:pos="252"/>
              </w:tabs>
              <w:rPr>
                <w:rFonts w:cs="Times New Roman"/>
                <w:sz w:val="20"/>
                <w:szCs w:val="20"/>
              </w:rPr>
            </w:pPr>
            <w:r>
              <w:rPr>
                <w:rFonts w:cs="Times New Roman"/>
                <w:sz w:val="20"/>
                <w:szCs w:val="20"/>
              </w:rPr>
              <w:t>.82</w:t>
            </w:r>
          </w:p>
        </w:tc>
      </w:tr>
      <w:tr w:rsidR="004C2927" w:rsidRPr="00705DA8" w14:paraId="2A6E801B" w14:textId="77777777" w:rsidTr="006674C6">
        <w:trPr>
          <w:trHeight w:val="144"/>
        </w:trPr>
        <w:tc>
          <w:tcPr>
            <w:tcW w:w="3348" w:type="dxa"/>
          </w:tcPr>
          <w:p w14:paraId="11058364" w14:textId="40BF91D5" w:rsidR="004C2927" w:rsidRPr="00705DA8" w:rsidRDefault="004C2927" w:rsidP="00CF2EEA">
            <w:pPr>
              <w:widowControl w:val="0"/>
              <w:rPr>
                <w:rFonts w:cs="Times New Roman"/>
                <w:sz w:val="20"/>
                <w:szCs w:val="20"/>
              </w:rPr>
            </w:pPr>
            <w:r w:rsidRPr="00705DA8">
              <w:rPr>
                <w:rFonts w:cs="Times New Roman"/>
                <w:sz w:val="20"/>
                <w:szCs w:val="20"/>
              </w:rPr>
              <w:t>Baseline comorbidities</w:t>
            </w:r>
          </w:p>
        </w:tc>
        <w:tc>
          <w:tcPr>
            <w:tcW w:w="1260" w:type="dxa"/>
          </w:tcPr>
          <w:p w14:paraId="1B8E51BF" w14:textId="104A79B7" w:rsidR="004C2927" w:rsidRPr="00705DA8" w:rsidRDefault="004C2927" w:rsidP="00CF2EEA">
            <w:pPr>
              <w:widowControl w:val="0"/>
              <w:tabs>
                <w:tab w:val="decimal" w:pos="342"/>
              </w:tabs>
              <w:rPr>
                <w:rFonts w:cs="Times New Roman"/>
                <w:sz w:val="20"/>
                <w:szCs w:val="20"/>
              </w:rPr>
            </w:pPr>
          </w:p>
        </w:tc>
        <w:tc>
          <w:tcPr>
            <w:tcW w:w="1350" w:type="dxa"/>
          </w:tcPr>
          <w:p w14:paraId="3DE2D9FF" w14:textId="142C1316" w:rsidR="004C2927" w:rsidRPr="00705DA8" w:rsidRDefault="004C2927" w:rsidP="00CF2EEA">
            <w:pPr>
              <w:widowControl w:val="0"/>
              <w:tabs>
                <w:tab w:val="decimal" w:pos="342"/>
              </w:tabs>
              <w:rPr>
                <w:rFonts w:cs="Times New Roman"/>
                <w:sz w:val="20"/>
                <w:szCs w:val="20"/>
              </w:rPr>
            </w:pPr>
          </w:p>
        </w:tc>
        <w:tc>
          <w:tcPr>
            <w:tcW w:w="1584" w:type="dxa"/>
          </w:tcPr>
          <w:p w14:paraId="42D1CDE0" w14:textId="79E4EFE8" w:rsidR="004C2927" w:rsidRPr="00705DA8" w:rsidRDefault="004C2927" w:rsidP="00CF2EEA">
            <w:pPr>
              <w:widowControl w:val="0"/>
              <w:tabs>
                <w:tab w:val="decimal" w:pos="342"/>
              </w:tabs>
              <w:rPr>
                <w:rFonts w:cs="Times New Roman"/>
                <w:sz w:val="20"/>
                <w:szCs w:val="20"/>
              </w:rPr>
            </w:pPr>
          </w:p>
        </w:tc>
        <w:tc>
          <w:tcPr>
            <w:tcW w:w="990" w:type="dxa"/>
          </w:tcPr>
          <w:p w14:paraId="05D3D3BC" w14:textId="77777777" w:rsidR="004C2927" w:rsidRPr="00705DA8" w:rsidRDefault="004C2927" w:rsidP="00CF2EEA">
            <w:pPr>
              <w:widowControl w:val="0"/>
              <w:tabs>
                <w:tab w:val="decimal" w:pos="252"/>
              </w:tabs>
              <w:rPr>
                <w:rFonts w:cs="Times New Roman"/>
                <w:sz w:val="20"/>
                <w:szCs w:val="20"/>
              </w:rPr>
            </w:pPr>
          </w:p>
        </w:tc>
      </w:tr>
      <w:tr w:rsidR="004C2927" w:rsidRPr="00705DA8" w14:paraId="20C643D6" w14:textId="77777777" w:rsidTr="006674C6">
        <w:trPr>
          <w:trHeight w:val="144"/>
        </w:trPr>
        <w:tc>
          <w:tcPr>
            <w:tcW w:w="3348" w:type="dxa"/>
          </w:tcPr>
          <w:p w14:paraId="6C35571C" w14:textId="1AE43752" w:rsidR="004C2927" w:rsidRPr="00705DA8" w:rsidRDefault="004C2927" w:rsidP="00CF2EEA">
            <w:pPr>
              <w:widowControl w:val="0"/>
              <w:ind w:left="288"/>
              <w:rPr>
                <w:rFonts w:cs="Times New Roman"/>
                <w:sz w:val="20"/>
                <w:szCs w:val="20"/>
              </w:rPr>
            </w:pPr>
            <w:r w:rsidRPr="00705DA8">
              <w:rPr>
                <w:rFonts w:cs="Times New Roman"/>
                <w:sz w:val="20"/>
                <w:szCs w:val="20"/>
              </w:rPr>
              <w:t>One current comorbidity</w:t>
            </w:r>
          </w:p>
        </w:tc>
        <w:tc>
          <w:tcPr>
            <w:tcW w:w="1260" w:type="dxa"/>
          </w:tcPr>
          <w:p w14:paraId="555BBC11" w14:textId="402AF57E" w:rsidR="004C2927" w:rsidRPr="00705DA8" w:rsidRDefault="004C2927" w:rsidP="00CF2EEA">
            <w:pPr>
              <w:widowControl w:val="0"/>
              <w:tabs>
                <w:tab w:val="decimal" w:pos="342"/>
              </w:tabs>
              <w:rPr>
                <w:rFonts w:cs="Times New Roman"/>
                <w:sz w:val="20"/>
                <w:szCs w:val="20"/>
              </w:rPr>
            </w:pPr>
            <w:r>
              <w:rPr>
                <w:rFonts w:cs="Times New Roman"/>
                <w:sz w:val="20"/>
                <w:szCs w:val="20"/>
              </w:rPr>
              <w:t>18.6%</w:t>
            </w:r>
          </w:p>
        </w:tc>
        <w:tc>
          <w:tcPr>
            <w:tcW w:w="1350" w:type="dxa"/>
          </w:tcPr>
          <w:p w14:paraId="3B4AAB6C" w14:textId="4B18BF29" w:rsidR="004C2927" w:rsidRPr="00705DA8" w:rsidRDefault="004C2927" w:rsidP="00CF2EEA">
            <w:pPr>
              <w:widowControl w:val="0"/>
              <w:tabs>
                <w:tab w:val="decimal" w:pos="342"/>
              </w:tabs>
              <w:rPr>
                <w:rFonts w:cs="Times New Roman"/>
                <w:sz w:val="20"/>
                <w:szCs w:val="20"/>
              </w:rPr>
            </w:pPr>
            <w:r>
              <w:rPr>
                <w:rFonts w:cs="Times New Roman"/>
                <w:sz w:val="20"/>
                <w:szCs w:val="20"/>
              </w:rPr>
              <w:t>35.7%</w:t>
            </w:r>
          </w:p>
        </w:tc>
        <w:tc>
          <w:tcPr>
            <w:tcW w:w="1584" w:type="dxa"/>
          </w:tcPr>
          <w:p w14:paraId="3A9F2082" w14:textId="0F6A6050" w:rsidR="004C2927" w:rsidRPr="00705DA8" w:rsidRDefault="004C2927" w:rsidP="00CF2EEA">
            <w:pPr>
              <w:widowControl w:val="0"/>
              <w:tabs>
                <w:tab w:val="decimal" w:pos="342"/>
              </w:tabs>
              <w:rPr>
                <w:rFonts w:cs="Times New Roman"/>
                <w:sz w:val="20"/>
                <w:szCs w:val="20"/>
              </w:rPr>
            </w:pPr>
            <w:r w:rsidRPr="00705DA8">
              <w:rPr>
                <w:rFonts w:cs="Times New Roman"/>
                <w:sz w:val="20"/>
                <w:szCs w:val="20"/>
              </w:rPr>
              <w:t>27.1</w:t>
            </w:r>
            <w:r>
              <w:rPr>
                <w:rFonts w:cs="Times New Roman"/>
                <w:sz w:val="20"/>
                <w:szCs w:val="20"/>
              </w:rPr>
              <w:t>%</w:t>
            </w:r>
          </w:p>
        </w:tc>
        <w:tc>
          <w:tcPr>
            <w:tcW w:w="990" w:type="dxa"/>
          </w:tcPr>
          <w:p w14:paraId="05AEDFA4" w14:textId="7EFD9D6C" w:rsidR="004C2927" w:rsidRPr="00705DA8" w:rsidRDefault="004C2927" w:rsidP="00CF2EEA">
            <w:pPr>
              <w:widowControl w:val="0"/>
              <w:tabs>
                <w:tab w:val="decimal" w:pos="252"/>
              </w:tabs>
              <w:rPr>
                <w:rFonts w:cs="Times New Roman"/>
                <w:sz w:val="20"/>
                <w:szCs w:val="20"/>
              </w:rPr>
            </w:pPr>
            <w:r w:rsidRPr="00705DA8">
              <w:rPr>
                <w:rFonts w:cs="Times New Roman"/>
                <w:sz w:val="20"/>
                <w:szCs w:val="20"/>
              </w:rPr>
              <w:t>.</w:t>
            </w:r>
            <w:r>
              <w:rPr>
                <w:rFonts w:cs="Times New Roman"/>
                <w:sz w:val="20"/>
                <w:szCs w:val="20"/>
              </w:rPr>
              <w:t>15</w:t>
            </w:r>
          </w:p>
        </w:tc>
      </w:tr>
      <w:tr w:rsidR="004C2927" w:rsidRPr="00705DA8" w14:paraId="3B7FF733" w14:textId="77777777" w:rsidTr="006674C6">
        <w:trPr>
          <w:trHeight w:val="144"/>
        </w:trPr>
        <w:tc>
          <w:tcPr>
            <w:tcW w:w="3348" w:type="dxa"/>
          </w:tcPr>
          <w:p w14:paraId="7125377D" w14:textId="5EE6106B" w:rsidR="004C2927" w:rsidRPr="00705DA8" w:rsidRDefault="004C2927" w:rsidP="00CF2EEA">
            <w:pPr>
              <w:widowControl w:val="0"/>
              <w:ind w:left="288"/>
              <w:rPr>
                <w:rFonts w:cs="Times New Roman"/>
                <w:sz w:val="20"/>
                <w:szCs w:val="20"/>
              </w:rPr>
            </w:pPr>
            <w:r w:rsidRPr="00705DA8">
              <w:rPr>
                <w:rFonts w:cs="Times New Roman"/>
                <w:sz w:val="20"/>
                <w:szCs w:val="20"/>
              </w:rPr>
              <w:t>Two or more current comorbidities</w:t>
            </w:r>
          </w:p>
        </w:tc>
        <w:tc>
          <w:tcPr>
            <w:tcW w:w="1260" w:type="dxa"/>
          </w:tcPr>
          <w:p w14:paraId="3BCEB2F1" w14:textId="0CCF88D5" w:rsidR="004C2927" w:rsidRPr="00705DA8" w:rsidRDefault="004C2927" w:rsidP="00CF2EEA">
            <w:pPr>
              <w:widowControl w:val="0"/>
              <w:tabs>
                <w:tab w:val="decimal" w:pos="342"/>
              </w:tabs>
              <w:rPr>
                <w:rFonts w:cs="Times New Roman"/>
                <w:sz w:val="20"/>
                <w:szCs w:val="20"/>
              </w:rPr>
            </w:pPr>
            <w:r w:rsidRPr="00705DA8">
              <w:rPr>
                <w:rFonts w:cs="Times New Roman"/>
                <w:sz w:val="20"/>
                <w:szCs w:val="20"/>
              </w:rPr>
              <w:t>11.</w:t>
            </w:r>
            <w:r>
              <w:rPr>
                <w:rFonts w:cs="Times New Roman"/>
                <w:sz w:val="20"/>
                <w:szCs w:val="20"/>
              </w:rPr>
              <w:t>6%</w:t>
            </w:r>
          </w:p>
        </w:tc>
        <w:tc>
          <w:tcPr>
            <w:tcW w:w="1350" w:type="dxa"/>
          </w:tcPr>
          <w:p w14:paraId="03B39D33" w14:textId="59A9604A" w:rsidR="004C2927" w:rsidRPr="00705DA8" w:rsidRDefault="004C2927" w:rsidP="00CF2EEA">
            <w:pPr>
              <w:widowControl w:val="0"/>
              <w:tabs>
                <w:tab w:val="decimal" w:pos="342"/>
              </w:tabs>
              <w:rPr>
                <w:rFonts w:cs="Times New Roman"/>
                <w:sz w:val="20"/>
                <w:szCs w:val="20"/>
              </w:rPr>
            </w:pPr>
            <w:r w:rsidRPr="00705DA8">
              <w:rPr>
                <w:rFonts w:cs="Times New Roman"/>
                <w:sz w:val="20"/>
                <w:szCs w:val="20"/>
              </w:rPr>
              <w:t>14.</w:t>
            </w:r>
            <w:r>
              <w:rPr>
                <w:rFonts w:cs="Times New Roman"/>
                <w:sz w:val="20"/>
                <w:szCs w:val="20"/>
              </w:rPr>
              <w:t>3%</w:t>
            </w:r>
          </w:p>
        </w:tc>
        <w:tc>
          <w:tcPr>
            <w:tcW w:w="1584" w:type="dxa"/>
          </w:tcPr>
          <w:p w14:paraId="1CA2523F" w14:textId="11DB8071" w:rsidR="004C2927" w:rsidRPr="00705DA8" w:rsidRDefault="004C2927" w:rsidP="00CF2EEA">
            <w:pPr>
              <w:widowControl w:val="0"/>
              <w:tabs>
                <w:tab w:val="decimal" w:pos="342"/>
              </w:tabs>
              <w:rPr>
                <w:rFonts w:cs="Times New Roman"/>
                <w:sz w:val="20"/>
                <w:szCs w:val="20"/>
              </w:rPr>
            </w:pPr>
            <w:r w:rsidRPr="00705DA8">
              <w:rPr>
                <w:rFonts w:cs="Times New Roman"/>
                <w:sz w:val="20"/>
                <w:szCs w:val="20"/>
              </w:rPr>
              <w:t>12.9</w:t>
            </w:r>
            <w:r>
              <w:rPr>
                <w:rFonts w:cs="Times New Roman"/>
                <w:sz w:val="20"/>
                <w:szCs w:val="20"/>
              </w:rPr>
              <w:t>%</w:t>
            </w:r>
          </w:p>
        </w:tc>
        <w:tc>
          <w:tcPr>
            <w:tcW w:w="990" w:type="dxa"/>
          </w:tcPr>
          <w:p w14:paraId="1A39EE84" w14:textId="2CDB39D5" w:rsidR="004C2927" w:rsidRPr="00705DA8" w:rsidRDefault="004C2927" w:rsidP="00CF2EEA">
            <w:pPr>
              <w:widowControl w:val="0"/>
              <w:tabs>
                <w:tab w:val="decimal" w:pos="252"/>
              </w:tabs>
              <w:rPr>
                <w:rFonts w:cs="Times New Roman"/>
                <w:sz w:val="20"/>
                <w:szCs w:val="20"/>
              </w:rPr>
            </w:pPr>
          </w:p>
        </w:tc>
      </w:tr>
      <w:tr w:rsidR="004C2927" w:rsidRPr="00705DA8" w14:paraId="792531C5" w14:textId="77777777" w:rsidTr="006674C6">
        <w:trPr>
          <w:trHeight w:val="144"/>
        </w:trPr>
        <w:tc>
          <w:tcPr>
            <w:tcW w:w="3348" w:type="dxa"/>
          </w:tcPr>
          <w:p w14:paraId="373B30AD" w14:textId="33A3F7DE" w:rsidR="004C2927" w:rsidRPr="00705DA8" w:rsidRDefault="004C2927" w:rsidP="00CF2EEA">
            <w:pPr>
              <w:widowControl w:val="0"/>
              <w:ind w:left="288"/>
              <w:rPr>
                <w:rFonts w:cs="Times New Roman"/>
                <w:sz w:val="20"/>
                <w:szCs w:val="20"/>
              </w:rPr>
            </w:pPr>
            <w:r w:rsidRPr="00705DA8">
              <w:rPr>
                <w:rFonts w:cs="Times New Roman"/>
                <w:sz w:val="20"/>
                <w:szCs w:val="20"/>
              </w:rPr>
              <w:t>Obsessive-compulsive disorder</w:t>
            </w:r>
          </w:p>
        </w:tc>
        <w:tc>
          <w:tcPr>
            <w:tcW w:w="1260" w:type="dxa"/>
          </w:tcPr>
          <w:p w14:paraId="74C72BD2" w14:textId="33E573AC" w:rsidR="004C2927" w:rsidRPr="00705DA8" w:rsidRDefault="004C2927" w:rsidP="00CF2EEA">
            <w:pPr>
              <w:widowControl w:val="0"/>
              <w:tabs>
                <w:tab w:val="decimal" w:pos="342"/>
              </w:tabs>
              <w:rPr>
                <w:rFonts w:cs="Times New Roman"/>
                <w:sz w:val="20"/>
                <w:szCs w:val="20"/>
              </w:rPr>
            </w:pPr>
            <w:r w:rsidRPr="00705DA8">
              <w:rPr>
                <w:rFonts w:cs="Times New Roman"/>
                <w:sz w:val="20"/>
                <w:szCs w:val="20"/>
              </w:rPr>
              <w:t>2.3</w:t>
            </w:r>
            <w:r>
              <w:rPr>
                <w:rFonts w:cs="Times New Roman"/>
                <w:sz w:val="20"/>
                <w:szCs w:val="20"/>
              </w:rPr>
              <w:t>%</w:t>
            </w:r>
          </w:p>
        </w:tc>
        <w:tc>
          <w:tcPr>
            <w:tcW w:w="1350" w:type="dxa"/>
          </w:tcPr>
          <w:p w14:paraId="17E9025D" w14:textId="239F8778" w:rsidR="004C2927" w:rsidRPr="00705DA8" w:rsidRDefault="004C2927" w:rsidP="00CF2EEA">
            <w:pPr>
              <w:widowControl w:val="0"/>
              <w:tabs>
                <w:tab w:val="decimal" w:pos="342"/>
              </w:tabs>
              <w:rPr>
                <w:rFonts w:cs="Times New Roman"/>
                <w:sz w:val="20"/>
                <w:szCs w:val="20"/>
              </w:rPr>
            </w:pPr>
            <w:r w:rsidRPr="00705DA8">
              <w:rPr>
                <w:rFonts w:cs="Times New Roman"/>
                <w:sz w:val="20"/>
                <w:szCs w:val="20"/>
              </w:rPr>
              <w:t>7.</w:t>
            </w:r>
            <w:r>
              <w:rPr>
                <w:rFonts w:cs="Times New Roman"/>
                <w:sz w:val="20"/>
                <w:szCs w:val="20"/>
              </w:rPr>
              <w:t>1%</w:t>
            </w:r>
          </w:p>
        </w:tc>
        <w:tc>
          <w:tcPr>
            <w:tcW w:w="1584" w:type="dxa"/>
          </w:tcPr>
          <w:p w14:paraId="610C72FD" w14:textId="7BC78E73" w:rsidR="004C2927" w:rsidRPr="00705DA8" w:rsidRDefault="004C2927" w:rsidP="00CF2EEA">
            <w:pPr>
              <w:widowControl w:val="0"/>
              <w:tabs>
                <w:tab w:val="decimal" w:pos="342"/>
              </w:tabs>
              <w:rPr>
                <w:rFonts w:cs="Times New Roman"/>
                <w:sz w:val="20"/>
                <w:szCs w:val="20"/>
              </w:rPr>
            </w:pPr>
            <w:r w:rsidRPr="00705DA8">
              <w:rPr>
                <w:rFonts w:cs="Times New Roman"/>
                <w:sz w:val="20"/>
                <w:szCs w:val="20"/>
              </w:rPr>
              <w:t>4.7</w:t>
            </w:r>
            <w:r>
              <w:rPr>
                <w:rFonts w:cs="Times New Roman"/>
                <w:sz w:val="20"/>
                <w:szCs w:val="20"/>
              </w:rPr>
              <w:t>%</w:t>
            </w:r>
          </w:p>
        </w:tc>
        <w:tc>
          <w:tcPr>
            <w:tcW w:w="990" w:type="dxa"/>
          </w:tcPr>
          <w:p w14:paraId="35A43F82" w14:textId="31B0C073" w:rsidR="004C2927" w:rsidRPr="00705DA8" w:rsidRDefault="004C2927" w:rsidP="00CF2EEA">
            <w:pPr>
              <w:widowControl w:val="0"/>
              <w:tabs>
                <w:tab w:val="decimal" w:pos="252"/>
              </w:tabs>
              <w:rPr>
                <w:rFonts w:cs="Times New Roman"/>
                <w:sz w:val="20"/>
                <w:szCs w:val="20"/>
              </w:rPr>
            </w:pPr>
            <w:r w:rsidRPr="00705DA8">
              <w:rPr>
                <w:rFonts w:cs="Times New Roman"/>
                <w:sz w:val="20"/>
                <w:szCs w:val="20"/>
              </w:rPr>
              <w:t>.2</w:t>
            </w:r>
            <w:r>
              <w:rPr>
                <w:rFonts w:cs="Times New Roman"/>
                <w:sz w:val="20"/>
                <w:szCs w:val="20"/>
              </w:rPr>
              <w:t>9</w:t>
            </w:r>
          </w:p>
        </w:tc>
      </w:tr>
      <w:tr w:rsidR="004C2927" w:rsidRPr="00705DA8" w14:paraId="154AF3AC" w14:textId="77777777" w:rsidTr="006674C6">
        <w:trPr>
          <w:trHeight w:val="144"/>
        </w:trPr>
        <w:tc>
          <w:tcPr>
            <w:tcW w:w="3348" w:type="dxa"/>
          </w:tcPr>
          <w:p w14:paraId="22F340B7" w14:textId="299ACF68" w:rsidR="004C2927" w:rsidRPr="00705DA8" w:rsidRDefault="004C2927" w:rsidP="00CF2EEA">
            <w:pPr>
              <w:widowControl w:val="0"/>
              <w:ind w:left="288"/>
              <w:rPr>
                <w:rFonts w:cs="Times New Roman"/>
                <w:sz w:val="20"/>
                <w:szCs w:val="20"/>
              </w:rPr>
            </w:pPr>
            <w:r w:rsidRPr="00705DA8">
              <w:rPr>
                <w:rFonts w:cs="Times New Roman"/>
                <w:sz w:val="20"/>
                <w:szCs w:val="20"/>
              </w:rPr>
              <w:t>Generalized anxiety disorder</w:t>
            </w:r>
          </w:p>
        </w:tc>
        <w:tc>
          <w:tcPr>
            <w:tcW w:w="1260" w:type="dxa"/>
          </w:tcPr>
          <w:p w14:paraId="6906608E" w14:textId="0F532D7A" w:rsidR="004C2927" w:rsidRPr="00705DA8" w:rsidRDefault="004C2927" w:rsidP="00CF2EEA">
            <w:pPr>
              <w:widowControl w:val="0"/>
              <w:tabs>
                <w:tab w:val="decimal" w:pos="342"/>
              </w:tabs>
              <w:rPr>
                <w:rFonts w:cs="Times New Roman"/>
                <w:sz w:val="20"/>
                <w:szCs w:val="20"/>
              </w:rPr>
            </w:pPr>
            <w:r>
              <w:rPr>
                <w:rFonts w:cs="Times New Roman"/>
                <w:sz w:val="20"/>
                <w:szCs w:val="20"/>
              </w:rPr>
              <w:t>16.3%</w:t>
            </w:r>
          </w:p>
        </w:tc>
        <w:tc>
          <w:tcPr>
            <w:tcW w:w="1350" w:type="dxa"/>
          </w:tcPr>
          <w:p w14:paraId="34B30AA4" w14:textId="13891886" w:rsidR="004C2927" w:rsidRPr="00705DA8" w:rsidRDefault="004C2927" w:rsidP="00CF2EEA">
            <w:pPr>
              <w:widowControl w:val="0"/>
              <w:tabs>
                <w:tab w:val="decimal" w:pos="342"/>
              </w:tabs>
              <w:rPr>
                <w:rFonts w:cs="Times New Roman"/>
                <w:sz w:val="20"/>
                <w:szCs w:val="20"/>
              </w:rPr>
            </w:pPr>
            <w:r w:rsidRPr="00705DA8">
              <w:rPr>
                <w:rFonts w:cs="Times New Roman"/>
                <w:sz w:val="20"/>
                <w:szCs w:val="20"/>
              </w:rPr>
              <w:t>9.</w:t>
            </w:r>
            <w:r>
              <w:rPr>
                <w:rFonts w:cs="Times New Roman"/>
                <w:sz w:val="20"/>
                <w:szCs w:val="20"/>
              </w:rPr>
              <w:t>5%</w:t>
            </w:r>
          </w:p>
        </w:tc>
        <w:tc>
          <w:tcPr>
            <w:tcW w:w="1584" w:type="dxa"/>
          </w:tcPr>
          <w:p w14:paraId="53AC145D" w14:textId="4AD33B83" w:rsidR="004C2927" w:rsidRPr="00705DA8" w:rsidRDefault="004C2927" w:rsidP="00CF2EEA">
            <w:pPr>
              <w:widowControl w:val="0"/>
              <w:tabs>
                <w:tab w:val="decimal" w:pos="342"/>
              </w:tabs>
              <w:rPr>
                <w:rFonts w:cs="Times New Roman"/>
                <w:sz w:val="20"/>
                <w:szCs w:val="20"/>
              </w:rPr>
            </w:pPr>
            <w:r w:rsidRPr="00705DA8">
              <w:rPr>
                <w:rFonts w:cs="Times New Roman"/>
                <w:sz w:val="20"/>
                <w:szCs w:val="20"/>
              </w:rPr>
              <w:t>12.9</w:t>
            </w:r>
            <w:r>
              <w:rPr>
                <w:rFonts w:cs="Times New Roman"/>
                <w:sz w:val="20"/>
                <w:szCs w:val="20"/>
              </w:rPr>
              <w:t>%</w:t>
            </w:r>
          </w:p>
        </w:tc>
        <w:tc>
          <w:tcPr>
            <w:tcW w:w="990" w:type="dxa"/>
          </w:tcPr>
          <w:p w14:paraId="0B960503" w14:textId="7E6F1CD2" w:rsidR="004C2927" w:rsidRPr="00705DA8" w:rsidRDefault="004C2927" w:rsidP="00CF2EEA">
            <w:pPr>
              <w:widowControl w:val="0"/>
              <w:tabs>
                <w:tab w:val="decimal" w:pos="252"/>
              </w:tabs>
              <w:rPr>
                <w:rFonts w:cs="Times New Roman"/>
                <w:sz w:val="20"/>
                <w:szCs w:val="20"/>
              </w:rPr>
            </w:pPr>
            <w:r w:rsidRPr="00705DA8">
              <w:rPr>
                <w:rFonts w:cs="Times New Roman"/>
                <w:sz w:val="20"/>
                <w:szCs w:val="20"/>
              </w:rPr>
              <w:t>.</w:t>
            </w:r>
            <w:r>
              <w:rPr>
                <w:rFonts w:cs="Times New Roman"/>
                <w:sz w:val="20"/>
                <w:szCs w:val="20"/>
              </w:rPr>
              <w:t>35</w:t>
            </w:r>
          </w:p>
        </w:tc>
      </w:tr>
      <w:tr w:rsidR="004C2927" w:rsidRPr="00705DA8" w14:paraId="56B54D93" w14:textId="77777777" w:rsidTr="006674C6">
        <w:trPr>
          <w:trHeight w:val="144"/>
        </w:trPr>
        <w:tc>
          <w:tcPr>
            <w:tcW w:w="3348" w:type="dxa"/>
          </w:tcPr>
          <w:p w14:paraId="7772CE12" w14:textId="4580302D" w:rsidR="004C2927" w:rsidRPr="00705DA8" w:rsidRDefault="004C2927" w:rsidP="00CF2EEA">
            <w:pPr>
              <w:widowControl w:val="0"/>
              <w:ind w:left="288"/>
              <w:rPr>
                <w:rFonts w:cs="Times New Roman"/>
                <w:sz w:val="20"/>
                <w:szCs w:val="20"/>
              </w:rPr>
            </w:pPr>
            <w:r w:rsidRPr="00705DA8">
              <w:rPr>
                <w:rFonts w:cs="Times New Roman"/>
                <w:sz w:val="20"/>
                <w:szCs w:val="20"/>
              </w:rPr>
              <w:t xml:space="preserve">Social </w:t>
            </w:r>
            <w:r w:rsidR="00EA042B">
              <w:rPr>
                <w:rFonts w:cs="Times New Roman"/>
                <w:sz w:val="20"/>
                <w:szCs w:val="20"/>
              </w:rPr>
              <w:t>phobia</w:t>
            </w:r>
          </w:p>
        </w:tc>
        <w:tc>
          <w:tcPr>
            <w:tcW w:w="1260" w:type="dxa"/>
          </w:tcPr>
          <w:p w14:paraId="0A587869" w14:textId="52EF8646" w:rsidR="004C2927" w:rsidRPr="00705DA8" w:rsidRDefault="004C2927" w:rsidP="00CF2EEA">
            <w:pPr>
              <w:widowControl w:val="0"/>
              <w:tabs>
                <w:tab w:val="decimal" w:pos="342"/>
              </w:tabs>
              <w:rPr>
                <w:rFonts w:cs="Times New Roman"/>
                <w:sz w:val="20"/>
                <w:szCs w:val="20"/>
              </w:rPr>
            </w:pPr>
            <w:r w:rsidRPr="00705DA8">
              <w:rPr>
                <w:rFonts w:cs="Times New Roman"/>
                <w:sz w:val="20"/>
                <w:szCs w:val="20"/>
              </w:rPr>
              <w:t>4.</w:t>
            </w:r>
            <w:r>
              <w:rPr>
                <w:rFonts w:cs="Times New Roman"/>
                <w:sz w:val="20"/>
                <w:szCs w:val="20"/>
              </w:rPr>
              <w:t>6%</w:t>
            </w:r>
          </w:p>
        </w:tc>
        <w:tc>
          <w:tcPr>
            <w:tcW w:w="1350" w:type="dxa"/>
          </w:tcPr>
          <w:p w14:paraId="7F100EF6" w14:textId="58B34BA4" w:rsidR="004C2927" w:rsidRPr="00705DA8" w:rsidRDefault="004C2927" w:rsidP="00CF2EEA">
            <w:pPr>
              <w:widowControl w:val="0"/>
              <w:tabs>
                <w:tab w:val="decimal" w:pos="342"/>
              </w:tabs>
              <w:rPr>
                <w:rFonts w:cs="Times New Roman"/>
                <w:sz w:val="20"/>
                <w:szCs w:val="20"/>
              </w:rPr>
            </w:pPr>
            <w:r w:rsidRPr="00705DA8">
              <w:rPr>
                <w:rFonts w:cs="Times New Roman"/>
                <w:sz w:val="20"/>
                <w:szCs w:val="20"/>
              </w:rPr>
              <w:t>4.</w:t>
            </w:r>
            <w:r>
              <w:rPr>
                <w:rFonts w:cs="Times New Roman"/>
                <w:sz w:val="20"/>
                <w:szCs w:val="20"/>
              </w:rPr>
              <w:t>8%</w:t>
            </w:r>
          </w:p>
        </w:tc>
        <w:tc>
          <w:tcPr>
            <w:tcW w:w="1584" w:type="dxa"/>
          </w:tcPr>
          <w:p w14:paraId="261AE3C3" w14:textId="7FA3640C" w:rsidR="004C2927" w:rsidRPr="00705DA8" w:rsidRDefault="004C2927" w:rsidP="00CF2EEA">
            <w:pPr>
              <w:widowControl w:val="0"/>
              <w:tabs>
                <w:tab w:val="decimal" w:pos="342"/>
              </w:tabs>
              <w:rPr>
                <w:rFonts w:cs="Times New Roman"/>
                <w:sz w:val="20"/>
                <w:szCs w:val="20"/>
              </w:rPr>
            </w:pPr>
            <w:r w:rsidRPr="00705DA8">
              <w:rPr>
                <w:rFonts w:cs="Times New Roman"/>
                <w:sz w:val="20"/>
                <w:szCs w:val="20"/>
              </w:rPr>
              <w:t>4.7</w:t>
            </w:r>
            <w:r>
              <w:rPr>
                <w:rFonts w:cs="Times New Roman"/>
                <w:sz w:val="20"/>
                <w:szCs w:val="20"/>
              </w:rPr>
              <w:t>%</w:t>
            </w:r>
          </w:p>
        </w:tc>
        <w:tc>
          <w:tcPr>
            <w:tcW w:w="990" w:type="dxa"/>
          </w:tcPr>
          <w:p w14:paraId="70A074FF" w14:textId="13C5DEA2" w:rsidR="004C2927" w:rsidRPr="00705DA8" w:rsidRDefault="004C2927" w:rsidP="00CF2EEA">
            <w:pPr>
              <w:widowControl w:val="0"/>
              <w:tabs>
                <w:tab w:val="decimal" w:pos="252"/>
              </w:tabs>
              <w:rPr>
                <w:rFonts w:cs="Times New Roman"/>
                <w:sz w:val="20"/>
                <w:szCs w:val="20"/>
              </w:rPr>
            </w:pPr>
            <w:r w:rsidRPr="00705DA8">
              <w:rPr>
                <w:rFonts w:cs="Times New Roman"/>
                <w:sz w:val="20"/>
                <w:szCs w:val="20"/>
              </w:rPr>
              <w:t>.9</w:t>
            </w:r>
            <w:r>
              <w:rPr>
                <w:rFonts w:cs="Times New Roman"/>
                <w:sz w:val="20"/>
                <w:szCs w:val="20"/>
              </w:rPr>
              <w:t>8</w:t>
            </w:r>
          </w:p>
        </w:tc>
      </w:tr>
      <w:tr w:rsidR="004C2927" w:rsidRPr="00705DA8" w14:paraId="7A7E41B6" w14:textId="77777777" w:rsidTr="006674C6">
        <w:trPr>
          <w:trHeight w:val="144"/>
        </w:trPr>
        <w:tc>
          <w:tcPr>
            <w:tcW w:w="3348" w:type="dxa"/>
          </w:tcPr>
          <w:p w14:paraId="046DF2D2" w14:textId="55529569" w:rsidR="004C2927" w:rsidRPr="00705DA8" w:rsidRDefault="004C2927" w:rsidP="00CF2EEA">
            <w:pPr>
              <w:widowControl w:val="0"/>
              <w:ind w:left="288"/>
              <w:rPr>
                <w:rFonts w:cs="Times New Roman"/>
                <w:sz w:val="20"/>
                <w:szCs w:val="20"/>
              </w:rPr>
            </w:pPr>
            <w:r w:rsidRPr="00705DA8">
              <w:rPr>
                <w:rFonts w:cs="Times New Roman"/>
                <w:sz w:val="20"/>
                <w:szCs w:val="20"/>
              </w:rPr>
              <w:t>Major depression</w:t>
            </w:r>
          </w:p>
        </w:tc>
        <w:tc>
          <w:tcPr>
            <w:tcW w:w="1260" w:type="dxa"/>
          </w:tcPr>
          <w:p w14:paraId="090923C8" w14:textId="59190976" w:rsidR="004C2927" w:rsidRPr="00705DA8" w:rsidRDefault="004C2927" w:rsidP="00CF2EEA">
            <w:pPr>
              <w:widowControl w:val="0"/>
              <w:tabs>
                <w:tab w:val="decimal" w:pos="342"/>
              </w:tabs>
              <w:rPr>
                <w:rFonts w:cs="Times New Roman"/>
                <w:sz w:val="20"/>
                <w:szCs w:val="20"/>
              </w:rPr>
            </w:pPr>
            <w:r w:rsidRPr="00705DA8">
              <w:rPr>
                <w:rFonts w:cs="Times New Roman"/>
                <w:sz w:val="20"/>
                <w:szCs w:val="20"/>
              </w:rPr>
              <w:t>2.3</w:t>
            </w:r>
            <w:r>
              <w:rPr>
                <w:rFonts w:cs="Times New Roman"/>
                <w:sz w:val="20"/>
                <w:szCs w:val="20"/>
              </w:rPr>
              <w:t>%</w:t>
            </w:r>
          </w:p>
        </w:tc>
        <w:tc>
          <w:tcPr>
            <w:tcW w:w="1350" w:type="dxa"/>
          </w:tcPr>
          <w:p w14:paraId="3EAE59B1" w14:textId="26DBB1FC" w:rsidR="004C2927" w:rsidRPr="00705DA8" w:rsidRDefault="004C2927" w:rsidP="00CF2EEA">
            <w:pPr>
              <w:widowControl w:val="0"/>
              <w:tabs>
                <w:tab w:val="decimal" w:pos="342"/>
              </w:tabs>
              <w:rPr>
                <w:rFonts w:cs="Times New Roman"/>
                <w:sz w:val="20"/>
                <w:szCs w:val="20"/>
              </w:rPr>
            </w:pPr>
            <w:r w:rsidRPr="00705DA8">
              <w:rPr>
                <w:rFonts w:cs="Times New Roman"/>
                <w:sz w:val="20"/>
                <w:szCs w:val="20"/>
              </w:rPr>
              <w:t>4.</w:t>
            </w:r>
            <w:r>
              <w:rPr>
                <w:rFonts w:cs="Times New Roman"/>
                <w:sz w:val="20"/>
                <w:szCs w:val="20"/>
              </w:rPr>
              <w:t>8%</w:t>
            </w:r>
          </w:p>
        </w:tc>
        <w:tc>
          <w:tcPr>
            <w:tcW w:w="1584" w:type="dxa"/>
          </w:tcPr>
          <w:p w14:paraId="41B3B152" w14:textId="4128DE75" w:rsidR="004C2927" w:rsidRPr="00705DA8" w:rsidRDefault="004C2927" w:rsidP="00CF2EEA">
            <w:pPr>
              <w:widowControl w:val="0"/>
              <w:tabs>
                <w:tab w:val="decimal" w:pos="342"/>
              </w:tabs>
              <w:rPr>
                <w:rFonts w:cs="Times New Roman"/>
                <w:sz w:val="20"/>
                <w:szCs w:val="20"/>
              </w:rPr>
            </w:pPr>
            <w:r w:rsidRPr="00705DA8">
              <w:rPr>
                <w:rFonts w:cs="Times New Roman"/>
                <w:sz w:val="20"/>
                <w:szCs w:val="20"/>
              </w:rPr>
              <w:t>3.5</w:t>
            </w:r>
            <w:r>
              <w:rPr>
                <w:rFonts w:cs="Times New Roman"/>
                <w:sz w:val="20"/>
                <w:szCs w:val="20"/>
              </w:rPr>
              <w:t>%</w:t>
            </w:r>
          </w:p>
        </w:tc>
        <w:tc>
          <w:tcPr>
            <w:tcW w:w="990" w:type="dxa"/>
          </w:tcPr>
          <w:p w14:paraId="25A65E59" w14:textId="704CB6E3" w:rsidR="004C2927" w:rsidRPr="00705DA8" w:rsidRDefault="004C2927" w:rsidP="00CF2EEA">
            <w:pPr>
              <w:widowControl w:val="0"/>
              <w:tabs>
                <w:tab w:val="decimal" w:pos="252"/>
              </w:tabs>
              <w:rPr>
                <w:rFonts w:cs="Times New Roman"/>
                <w:sz w:val="20"/>
                <w:szCs w:val="20"/>
              </w:rPr>
            </w:pPr>
            <w:r w:rsidRPr="00705DA8">
              <w:rPr>
                <w:rFonts w:cs="Times New Roman"/>
                <w:sz w:val="20"/>
                <w:szCs w:val="20"/>
              </w:rPr>
              <w:t>.5</w:t>
            </w:r>
            <w:r>
              <w:rPr>
                <w:rFonts w:cs="Times New Roman"/>
                <w:sz w:val="20"/>
                <w:szCs w:val="20"/>
              </w:rPr>
              <w:t>4</w:t>
            </w:r>
          </w:p>
        </w:tc>
      </w:tr>
      <w:tr w:rsidR="009E51D2" w:rsidRPr="00705DA8" w14:paraId="34D849B8" w14:textId="77777777" w:rsidTr="006674C6">
        <w:trPr>
          <w:trHeight w:val="144"/>
        </w:trPr>
        <w:tc>
          <w:tcPr>
            <w:tcW w:w="3348" w:type="dxa"/>
          </w:tcPr>
          <w:p w14:paraId="26F2010B" w14:textId="12A387A0" w:rsidR="009E51D2" w:rsidRPr="00705DA8" w:rsidRDefault="009E51D2" w:rsidP="00CF2EEA">
            <w:pPr>
              <w:widowControl w:val="0"/>
              <w:rPr>
                <w:rFonts w:cs="Times New Roman"/>
                <w:sz w:val="20"/>
                <w:szCs w:val="20"/>
              </w:rPr>
            </w:pPr>
            <w:r>
              <w:rPr>
                <w:rFonts w:cs="Times New Roman"/>
                <w:sz w:val="20"/>
                <w:szCs w:val="20"/>
              </w:rPr>
              <w:t>Baseline anxiety (BAI)</w:t>
            </w:r>
          </w:p>
        </w:tc>
        <w:tc>
          <w:tcPr>
            <w:tcW w:w="1260" w:type="dxa"/>
          </w:tcPr>
          <w:p w14:paraId="2D1EDC16" w14:textId="3E004362" w:rsidR="009E51D2" w:rsidRPr="00705DA8" w:rsidRDefault="009E51D2" w:rsidP="00CF2EEA">
            <w:pPr>
              <w:widowControl w:val="0"/>
              <w:tabs>
                <w:tab w:val="decimal" w:pos="342"/>
              </w:tabs>
              <w:rPr>
                <w:rFonts w:cs="Times New Roman"/>
                <w:sz w:val="20"/>
                <w:szCs w:val="20"/>
              </w:rPr>
            </w:pPr>
            <w:r>
              <w:rPr>
                <w:rFonts w:cs="Times New Roman"/>
                <w:sz w:val="20"/>
                <w:szCs w:val="20"/>
              </w:rPr>
              <w:t>11.51 (9.53)</w:t>
            </w:r>
          </w:p>
        </w:tc>
        <w:tc>
          <w:tcPr>
            <w:tcW w:w="1350" w:type="dxa"/>
          </w:tcPr>
          <w:p w14:paraId="13EE10B6" w14:textId="5B22300B" w:rsidR="009E51D2" w:rsidRPr="00705DA8" w:rsidRDefault="009E51D2" w:rsidP="00CF2EEA">
            <w:pPr>
              <w:widowControl w:val="0"/>
              <w:tabs>
                <w:tab w:val="decimal" w:pos="342"/>
              </w:tabs>
              <w:rPr>
                <w:rFonts w:cs="Times New Roman"/>
                <w:sz w:val="20"/>
                <w:szCs w:val="20"/>
              </w:rPr>
            </w:pPr>
            <w:r>
              <w:rPr>
                <w:rFonts w:cs="Times New Roman"/>
                <w:sz w:val="20"/>
                <w:szCs w:val="20"/>
              </w:rPr>
              <w:t>12.76 (11.96)</w:t>
            </w:r>
          </w:p>
        </w:tc>
        <w:tc>
          <w:tcPr>
            <w:tcW w:w="1584" w:type="dxa"/>
          </w:tcPr>
          <w:p w14:paraId="2F03CBFE" w14:textId="3126C329" w:rsidR="009E51D2" w:rsidRPr="00705DA8" w:rsidRDefault="009E51D2" w:rsidP="00CF2EEA">
            <w:pPr>
              <w:widowControl w:val="0"/>
              <w:tabs>
                <w:tab w:val="decimal" w:pos="342"/>
              </w:tabs>
              <w:rPr>
                <w:rFonts w:cs="Times New Roman"/>
                <w:sz w:val="20"/>
                <w:szCs w:val="20"/>
              </w:rPr>
            </w:pPr>
            <w:r>
              <w:rPr>
                <w:rFonts w:cs="Times New Roman"/>
                <w:sz w:val="20"/>
                <w:szCs w:val="20"/>
              </w:rPr>
              <w:t>12.13 (10.76)</w:t>
            </w:r>
          </w:p>
        </w:tc>
        <w:tc>
          <w:tcPr>
            <w:tcW w:w="990" w:type="dxa"/>
          </w:tcPr>
          <w:p w14:paraId="3FB599C1" w14:textId="269C66A5" w:rsidR="009E51D2" w:rsidRPr="00705DA8" w:rsidRDefault="009E51D2" w:rsidP="00CF2EEA">
            <w:pPr>
              <w:widowControl w:val="0"/>
              <w:tabs>
                <w:tab w:val="decimal" w:pos="252"/>
              </w:tabs>
              <w:rPr>
                <w:rFonts w:cs="Times New Roman"/>
                <w:sz w:val="20"/>
                <w:szCs w:val="20"/>
              </w:rPr>
            </w:pPr>
            <w:r>
              <w:rPr>
                <w:rFonts w:cs="Times New Roman"/>
                <w:sz w:val="20"/>
                <w:szCs w:val="20"/>
              </w:rPr>
              <w:t>.60</w:t>
            </w:r>
          </w:p>
        </w:tc>
      </w:tr>
      <w:tr w:rsidR="009E51D2" w:rsidRPr="00705DA8" w14:paraId="3AF9868D" w14:textId="77777777" w:rsidTr="006674C6">
        <w:trPr>
          <w:trHeight w:val="144"/>
        </w:trPr>
        <w:tc>
          <w:tcPr>
            <w:tcW w:w="3348" w:type="dxa"/>
          </w:tcPr>
          <w:p w14:paraId="6890F20E" w14:textId="59D90663" w:rsidR="009E51D2" w:rsidRPr="00705DA8" w:rsidRDefault="009E51D2" w:rsidP="00CF2EEA">
            <w:pPr>
              <w:widowControl w:val="0"/>
              <w:rPr>
                <w:rFonts w:cs="Times New Roman"/>
                <w:sz w:val="20"/>
                <w:szCs w:val="20"/>
              </w:rPr>
            </w:pPr>
            <w:r>
              <w:rPr>
                <w:rFonts w:cs="Times New Roman"/>
                <w:sz w:val="20"/>
                <w:szCs w:val="20"/>
              </w:rPr>
              <w:t>Baseline depression (BDI)</w:t>
            </w:r>
          </w:p>
        </w:tc>
        <w:tc>
          <w:tcPr>
            <w:tcW w:w="1260" w:type="dxa"/>
          </w:tcPr>
          <w:p w14:paraId="1BA2F79A" w14:textId="7167E68D" w:rsidR="009E51D2" w:rsidRPr="00705DA8" w:rsidRDefault="009E51D2" w:rsidP="00CF2EEA">
            <w:pPr>
              <w:widowControl w:val="0"/>
              <w:tabs>
                <w:tab w:val="decimal" w:pos="342"/>
              </w:tabs>
              <w:rPr>
                <w:rFonts w:cs="Times New Roman"/>
                <w:sz w:val="20"/>
                <w:szCs w:val="20"/>
              </w:rPr>
            </w:pPr>
            <w:r>
              <w:rPr>
                <w:rFonts w:cs="Times New Roman"/>
                <w:sz w:val="20"/>
                <w:szCs w:val="20"/>
              </w:rPr>
              <w:t>11.56 (9.42)</w:t>
            </w:r>
          </w:p>
        </w:tc>
        <w:tc>
          <w:tcPr>
            <w:tcW w:w="1350" w:type="dxa"/>
          </w:tcPr>
          <w:p w14:paraId="560193BA" w14:textId="54625153" w:rsidR="009E51D2" w:rsidRPr="00705DA8" w:rsidRDefault="009E51D2" w:rsidP="00CF2EEA">
            <w:pPr>
              <w:widowControl w:val="0"/>
              <w:tabs>
                <w:tab w:val="decimal" w:pos="342"/>
              </w:tabs>
              <w:rPr>
                <w:rFonts w:cs="Times New Roman"/>
                <w:sz w:val="20"/>
                <w:szCs w:val="20"/>
              </w:rPr>
            </w:pPr>
            <w:r>
              <w:rPr>
                <w:rFonts w:cs="Times New Roman"/>
                <w:sz w:val="20"/>
                <w:szCs w:val="20"/>
              </w:rPr>
              <w:t>13.24 (10.38)</w:t>
            </w:r>
          </w:p>
        </w:tc>
        <w:tc>
          <w:tcPr>
            <w:tcW w:w="1584" w:type="dxa"/>
          </w:tcPr>
          <w:p w14:paraId="158D3D09" w14:textId="4F05B8B5" w:rsidR="009E51D2" w:rsidRPr="00705DA8" w:rsidRDefault="009E51D2" w:rsidP="00CF2EEA">
            <w:pPr>
              <w:widowControl w:val="0"/>
              <w:tabs>
                <w:tab w:val="decimal" w:pos="342"/>
              </w:tabs>
              <w:rPr>
                <w:rFonts w:cs="Times New Roman"/>
                <w:sz w:val="20"/>
                <w:szCs w:val="20"/>
              </w:rPr>
            </w:pPr>
            <w:r>
              <w:rPr>
                <w:rFonts w:cs="Times New Roman"/>
                <w:sz w:val="20"/>
                <w:szCs w:val="20"/>
              </w:rPr>
              <w:t>12.39 (9.88)</w:t>
            </w:r>
          </w:p>
        </w:tc>
        <w:tc>
          <w:tcPr>
            <w:tcW w:w="990" w:type="dxa"/>
          </w:tcPr>
          <w:p w14:paraId="666B3C69" w14:textId="6CC6D943" w:rsidR="009E51D2" w:rsidRPr="00705DA8" w:rsidRDefault="009E51D2" w:rsidP="00CF2EEA">
            <w:pPr>
              <w:widowControl w:val="0"/>
              <w:tabs>
                <w:tab w:val="decimal" w:pos="252"/>
              </w:tabs>
              <w:rPr>
                <w:rFonts w:cs="Times New Roman"/>
                <w:sz w:val="20"/>
                <w:szCs w:val="20"/>
              </w:rPr>
            </w:pPr>
            <w:r>
              <w:rPr>
                <w:rFonts w:cs="Times New Roman"/>
                <w:sz w:val="20"/>
                <w:szCs w:val="20"/>
              </w:rPr>
              <w:t>.44</w:t>
            </w:r>
          </w:p>
        </w:tc>
      </w:tr>
      <w:tr w:rsidR="004C2927" w:rsidRPr="00705DA8" w14:paraId="628BFF9D" w14:textId="77777777" w:rsidTr="006674C6">
        <w:trPr>
          <w:trHeight w:val="144"/>
        </w:trPr>
        <w:tc>
          <w:tcPr>
            <w:tcW w:w="3348" w:type="dxa"/>
          </w:tcPr>
          <w:p w14:paraId="58ABEAF6" w14:textId="0B0A92B9" w:rsidR="004C2927" w:rsidRPr="00705DA8" w:rsidRDefault="004C2927" w:rsidP="00CF2EEA">
            <w:pPr>
              <w:widowControl w:val="0"/>
              <w:rPr>
                <w:rFonts w:cs="Times New Roman"/>
                <w:sz w:val="20"/>
                <w:szCs w:val="20"/>
              </w:rPr>
            </w:pPr>
            <w:r w:rsidRPr="00705DA8">
              <w:rPr>
                <w:rFonts w:cs="Times New Roman"/>
                <w:sz w:val="20"/>
                <w:szCs w:val="20"/>
              </w:rPr>
              <w:t>Current psychotropic medication</w:t>
            </w:r>
          </w:p>
        </w:tc>
        <w:tc>
          <w:tcPr>
            <w:tcW w:w="1260" w:type="dxa"/>
          </w:tcPr>
          <w:p w14:paraId="5661C558" w14:textId="2FAB830C" w:rsidR="004C2927" w:rsidRPr="00705DA8" w:rsidRDefault="004C2927" w:rsidP="00CF2EEA">
            <w:pPr>
              <w:widowControl w:val="0"/>
              <w:tabs>
                <w:tab w:val="decimal" w:pos="342"/>
              </w:tabs>
              <w:rPr>
                <w:rFonts w:cs="Times New Roman"/>
                <w:sz w:val="20"/>
                <w:szCs w:val="20"/>
              </w:rPr>
            </w:pPr>
          </w:p>
        </w:tc>
        <w:tc>
          <w:tcPr>
            <w:tcW w:w="1350" w:type="dxa"/>
          </w:tcPr>
          <w:p w14:paraId="7FDCA2F9" w14:textId="61CF33E8" w:rsidR="004C2927" w:rsidRPr="00705DA8" w:rsidRDefault="004C2927" w:rsidP="00CF2EEA">
            <w:pPr>
              <w:widowControl w:val="0"/>
              <w:tabs>
                <w:tab w:val="decimal" w:pos="342"/>
              </w:tabs>
              <w:rPr>
                <w:rFonts w:cs="Times New Roman"/>
                <w:sz w:val="20"/>
                <w:szCs w:val="20"/>
              </w:rPr>
            </w:pPr>
          </w:p>
        </w:tc>
        <w:tc>
          <w:tcPr>
            <w:tcW w:w="1584" w:type="dxa"/>
          </w:tcPr>
          <w:p w14:paraId="4E651AC6" w14:textId="65072F3C" w:rsidR="004C2927" w:rsidRPr="00705DA8" w:rsidRDefault="004C2927" w:rsidP="00CF2EEA">
            <w:pPr>
              <w:widowControl w:val="0"/>
              <w:tabs>
                <w:tab w:val="decimal" w:pos="342"/>
              </w:tabs>
              <w:rPr>
                <w:rFonts w:cs="Times New Roman"/>
                <w:sz w:val="20"/>
                <w:szCs w:val="20"/>
              </w:rPr>
            </w:pPr>
          </w:p>
        </w:tc>
        <w:tc>
          <w:tcPr>
            <w:tcW w:w="990" w:type="dxa"/>
          </w:tcPr>
          <w:p w14:paraId="17C10290" w14:textId="5FABF679" w:rsidR="004C2927" w:rsidRPr="00705DA8" w:rsidRDefault="004C2927" w:rsidP="00CF2EEA">
            <w:pPr>
              <w:widowControl w:val="0"/>
              <w:tabs>
                <w:tab w:val="decimal" w:pos="252"/>
              </w:tabs>
              <w:rPr>
                <w:rFonts w:cs="Times New Roman"/>
                <w:sz w:val="20"/>
                <w:szCs w:val="20"/>
              </w:rPr>
            </w:pPr>
          </w:p>
        </w:tc>
      </w:tr>
      <w:tr w:rsidR="004C2927" w:rsidRPr="00705DA8" w14:paraId="018B907F" w14:textId="77777777" w:rsidTr="006674C6">
        <w:trPr>
          <w:trHeight w:val="144"/>
        </w:trPr>
        <w:tc>
          <w:tcPr>
            <w:tcW w:w="3348" w:type="dxa"/>
          </w:tcPr>
          <w:p w14:paraId="2FDA17CE" w14:textId="2E1C7895" w:rsidR="004C2927" w:rsidRPr="00705DA8" w:rsidRDefault="004C2927" w:rsidP="00CF2EEA">
            <w:pPr>
              <w:widowControl w:val="0"/>
              <w:ind w:left="288"/>
              <w:rPr>
                <w:rFonts w:cs="Times New Roman"/>
                <w:sz w:val="20"/>
                <w:szCs w:val="20"/>
              </w:rPr>
            </w:pPr>
            <w:r w:rsidRPr="00705DA8">
              <w:rPr>
                <w:rFonts w:cs="Times New Roman"/>
                <w:sz w:val="20"/>
                <w:szCs w:val="20"/>
              </w:rPr>
              <w:t>None</w:t>
            </w:r>
          </w:p>
        </w:tc>
        <w:tc>
          <w:tcPr>
            <w:tcW w:w="1260" w:type="dxa"/>
          </w:tcPr>
          <w:p w14:paraId="5CD017A5" w14:textId="154AA8D3" w:rsidR="004C2927" w:rsidRPr="00705DA8" w:rsidRDefault="004C2927" w:rsidP="00CF2EEA">
            <w:pPr>
              <w:widowControl w:val="0"/>
              <w:tabs>
                <w:tab w:val="decimal" w:pos="342"/>
              </w:tabs>
              <w:rPr>
                <w:rFonts w:cs="Times New Roman"/>
                <w:sz w:val="20"/>
                <w:szCs w:val="20"/>
              </w:rPr>
            </w:pPr>
            <w:r w:rsidRPr="00705DA8">
              <w:rPr>
                <w:rFonts w:cs="Times New Roman"/>
                <w:sz w:val="20"/>
                <w:szCs w:val="20"/>
              </w:rPr>
              <w:t>7</w:t>
            </w:r>
            <w:r>
              <w:rPr>
                <w:rFonts w:cs="Times New Roman"/>
                <w:sz w:val="20"/>
                <w:szCs w:val="20"/>
              </w:rPr>
              <w:t>1</w:t>
            </w:r>
            <w:r w:rsidRPr="00705DA8">
              <w:rPr>
                <w:rFonts w:cs="Times New Roman"/>
                <w:sz w:val="20"/>
                <w:szCs w:val="20"/>
              </w:rPr>
              <w:t>.4</w:t>
            </w:r>
            <w:r>
              <w:rPr>
                <w:rFonts w:cs="Times New Roman"/>
                <w:sz w:val="20"/>
                <w:szCs w:val="20"/>
              </w:rPr>
              <w:t>%</w:t>
            </w:r>
          </w:p>
        </w:tc>
        <w:tc>
          <w:tcPr>
            <w:tcW w:w="1350" w:type="dxa"/>
          </w:tcPr>
          <w:p w14:paraId="3627FEAB" w14:textId="6C3B5F12" w:rsidR="004C2927" w:rsidRPr="00705DA8" w:rsidRDefault="004C2927" w:rsidP="00CF2EEA">
            <w:pPr>
              <w:widowControl w:val="0"/>
              <w:tabs>
                <w:tab w:val="decimal" w:pos="342"/>
              </w:tabs>
              <w:rPr>
                <w:rFonts w:cs="Times New Roman"/>
                <w:sz w:val="20"/>
                <w:szCs w:val="20"/>
              </w:rPr>
            </w:pPr>
            <w:r w:rsidRPr="00705DA8">
              <w:rPr>
                <w:rFonts w:cs="Times New Roman"/>
                <w:sz w:val="20"/>
                <w:szCs w:val="20"/>
              </w:rPr>
              <w:t>70.</w:t>
            </w:r>
            <w:r>
              <w:rPr>
                <w:rFonts w:cs="Times New Roman"/>
                <w:sz w:val="20"/>
                <w:szCs w:val="20"/>
              </w:rPr>
              <w:t>0%</w:t>
            </w:r>
          </w:p>
        </w:tc>
        <w:tc>
          <w:tcPr>
            <w:tcW w:w="1584" w:type="dxa"/>
          </w:tcPr>
          <w:p w14:paraId="3761A4E9" w14:textId="3CBB2D20" w:rsidR="004C2927" w:rsidRPr="00705DA8" w:rsidRDefault="004C2927" w:rsidP="00CF2EEA">
            <w:pPr>
              <w:widowControl w:val="0"/>
              <w:tabs>
                <w:tab w:val="decimal" w:pos="342"/>
              </w:tabs>
              <w:rPr>
                <w:rFonts w:cs="Times New Roman"/>
                <w:sz w:val="20"/>
                <w:szCs w:val="20"/>
              </w:rPr>
            </w:pPr>
            <w:r w:rsidRPr="00705DA8">
              <w:rPr>
                <w:rFonts w:cs="Times New Roman"/>
                <w:sz w:val="20"/>
                <w:szCs w:val="20"/>
              </w:rPr>
              <w:t>70.6</w:t>
            </w:r>
            <w:r>
              <w:rPr>
                <w:rFonts w:cs="Times New Roman"/>
                <w:sz w:val="20"/>
                <w:szCs w:val="20"/>
              </w:rPr>
              <w:t>%</w:t>
            </w:r>
          </w:p>
        </w:tc>
        <w:tc>
          <w:tcPr>
            <w:tcW w:w="990" w:type="dxa"/>
          </w:tcPr>
          <w:p w14:paraId="380060BA" w14:textId="73BEFA91" w:rsidR="004C2927" w:rsidRPr="00705DA8" w:rsidRDefault="004C2927" w:rsidP="00CF2EEA">
            <w:pPr>
              <w:widowControl w:val="0"/>
              <w:tabs>
                <w:tab w:val="decimal" w:pos="252"/>
              </w:tabs>
              <w:rPr>
                <w:rFonts w:cs="Times New Roman"/>
                <w:sz w:val="20"/>
                <w:szCs w:val="20"/>
              </w:rPr>
            </w:pPr>
            <w:r w:rsidRPr="00705DA8">
              <w:rPr>
                <w:rFonts w:cs="Times New Roman"/>
                <w:sz w:val="20"/>
                <w:szCs w:val="20"/>
              </w:rPr>
              <w:t>.</w:t>
            </w:r>
            <w:r>
              <w:rPr>
                <w:rFonts w:cs="Times New Roman"/>
                <w:sz w:val="20"/>
                <w:szCs w:val="20"/>
              </w:rPr>
              <w:t>87</w:t>
            </w:r>
          </w:p>
        </w:tc>
      </w:tr>
      <w:tr w:rsidR="004C2927" w:rsidRPr="00705DA8" w14:paraId="609DF024" w14:textId="77777777" w:rsidTr="006674C6">
        <w:trPr>
          <w:trHeight w:val="144"/>
        </w:trPr>
        <w:tc>
          <w:tcPr>
            <w:tcW w:w="3348" w:type="dxa"/>
          </w:tcPr>
          <w:p w14:paraId="62331234" w14:textId="21CB2C4D" w:rsidR="004C2927" w:rsidRPr="00705DA8" w:rsidRDefault="003D0ED6" w:rsidP="00CF2EEA">
            <w:pPr>
              <w:widowControl w:val="0"/>
              <w:ind w:left="288"/>
              <w:rPr>
                <w:rFonts w:cs="Times New Roman"/>
                <w:sz w:val="20"/>
                <w:szCs w:val="20"/>
              </w:rPr>
            </w:pPr>
            <w:r>
              <w:rPr>
                <w:rFonts w:cs="Times New Roman"/>
                <w:sz w:val="20"/>
                <w:szCs w:val="20"/>
              </w:rPr>
              <w:t>SSRI</w:t>
            </w:r>
          </w:p>
        </w:tc>
        <w:tc>
          <w:tcPr>
            <w:tcW w:w="1260" w:type="dxa"/>
          </w:tcPr>
          <w:p w14:paraId="5C4E4C53" w14:textId="51583B29" w:rsidR="004C2927" w:rsidRPr="00705DA8" w:rsidRDefault="004C2927" w:rsidP="00CF2EEA">
            <w:pPr>
              <w:widowControl w:val="0"/>
              <w:tabs>
                <w:tab w:val="decimal" w:pos="342"/>
              </w:tabs>
              <w:rPr>
                <w:rFonts w:cs="Times New Roman"/>
                <w:sz w:val="20"/>
                <w:szCs w:val="20"/>
              </w:rPr>
            </w:pPr>
            <w:r w:rsidRPr="00705DA8">
              <w:rPr>
                <w:rFonts w:cs="Times New Roman"/>
                <w:sz w:val="20"/>
                <w:szCs w:val="20"/>
              </w:rPr>
              <w:t>20.</w:t>
            </w:r>
            <w:r>
              <w:rPr>
                <w:rFonts w:cs="Times New Roman"/>
                <w:sz w:val="20"/>
                <w:szCs w:val="20"/>
              </w:rPr>
              <w:t>9%</w:t>
            </w:r>
          </w:p>
        </w:tc>
        <w:tc>
          <w:tcPr>
            <w:tcW w:w="1350" w:type="dxa"/>
          </w:tcPr>
          <w:p w14:paraId="42D305FC" w14:textId="4C0B3AC6" w:rsidR="004C2927" w:rsidRPr="00705DA8" w:rsidRDefault="004C2927" w:rsidP="00CF2EEA">
            <w:pPr>
              <w:widowControl w:val="0"/>
              <w:tabs>
                <w:tab w:val="decimal" w:pos="342"/>
              </w:tabs>
              <w:rPr>
                <w:rFonts w:cs="Times New Roman"/>
                <w:sz w:val="20"/>
                <w:szCs w:val="20"/>
              </w:rPr>
            </w:pPr>
            <w:r w:rsidRPr="00705DA8">
              <w:rPr>
                <w:rFonts w:cs="Times New Roman"/>
                <w:sz w:val="20"/>
                <w:szCs w:val="20"/>
              </w:rPr>
              <w:t>26.</w:t>
            </w:r>
            <w:r>
              <w:rPr>
                <w:rFonts w:cs="Times New Roman"/>
                <w:sz w:val="20"/>
                <w:szCs w:val="20"/>
              </w:rPr>
              <w:t>2%</w:t>
            </w:r>
          </w:p>
        </w:tc>
        <w:tc>
          <w:tcPr>
            <w:tcW w:w="1584" w:type="dxa"/>
          </w:tcPr>
          <w:p w14:paraId="34997BB9" w14:textId="11448C7A" w:rsidR="004C2927" w:rsidRPr="00705DA8" w:rsidRDefault="004C2927" w:rsidP="00CF2EEA">
            <w:pPr>
              <w:widowControl w:val="0"/>
              <w:tabs>
                <w:tab w:val="decimal" w:pos="342"/>
              </w:tabs>
              <w:rPr>
                <w:rFonts w:cs="Times New Roman"/>
                <w:sz w:val="20"/>
                <w:szCs w:val="20"/>
              </w:rPr>
            </w:pPr>
            <w:r w:rsidRPr="00705DA8">
              <w:rPr>
                <w:rFonts w:cs="Times New Roman"/>
                <w:sz w:val="20"/>
                <w:szCs w:val="20"/>
              </w:rPr>
              <w:t>23.5</w:t>
            </w:r>
            <w:r>
              <w:rPr>
                <w:rFonts w:cs="Times New Roman"/>
                <w:sz w:val="20"/>
                <w:szCs w:val="20"/>
              </w:rPr>
              <w:t>%</w:t>
            </w:r>
          </w:p>
        </w:tc>
        <w:tc>
          <w:tcPr>
            <w:tcW w:w="990" w:type="dxa"/>
          </w:tcPr>
          <w:p w14:paraId="7F2C469D" w14:textId="306E95A8" w:rsidR="004C2927" w:rsidRPr="00705DA8" w:rsidRDefault="004C2927" w:rsidP="00CF2EEA">
            <w:pPr>
              <w:widowControl w:val="0"/>
              <w:tabs>
                <w:tab w:val="decimal" w:pos="252"/>
              </w:tabs>
              <w:rPr>
                <w:rFonts w:cs="Times New Roman"/>
                <w:sz w:val="20"/>
                <w:szCs w:val="20"/>
              </w:rPr>
            </w:pPr>
            <w:r w:rsidRPr="00705DA8">
              <w:rPr>
                <w:rFonts w:cs="Times New Roman"/>
                <w:sz w:val="20"/>
                <w:szCs w:val="20"/>
              </w:rPr>
              <w:t>.</w:t>
            </w:r>
            <w:r>
              <w:rPr>
                <w:rFonts w:cs="Times New Roman"/>
                <w:sz w:val="20"/>
                <w:szCs w:val="20"/>
              </w:rPr>
              <w:t>57</w:t>
            </w:r>
          </w:p>
        </w:tc>
      </w:tr>
      <w:tr w:rsidR="004C2927" w:rsidRPr="00705DA8" w14:paraId="0E15C39C" w14:textId="77777777" w:rsidTr="006674C6">
        <w:trPr>
          <w:trHeight w:val="144"/>
        </w:trPr>
        <w:tc>
          <w:tcPr>
            <w:tcW w:w="3348" w:type="dxa"/>
          </w:tcPr>
          <w:p w14:paraId="26127FB4" w14:textId="71B97310" w:rsidR="004C2927" w:rsidRPr="00705DA8" w:rsidRDefault="004C2927" w:rsidP="00CF2EEA">
            <w:pPr>
              <w:widowControl w:val="0"/>
              <w:ind w:left="288"/>
              <w:rPr>
                <w:rFonts w:cs="Times New Roman"/>
                <w:sz w:val="20"/>
                <w:szCs w:val="20"/>
              </w:rPr>
            </w:pPr>
            <w:r w:rsidRPr="00705DA8">
              <w:rPr>
                <w:rFonts w:cs="Times New Roman"/>
                <w:sz w:val="20"/>
                <w:szCs w:val="20"/>
              </w:rPr>
              <w:t>Atypical neuroleptics</w:t>
            </w:r>
          </w:p>
        </w:tc>
        <w:tc>
          <w:tcPr>
            <w:tcW w:w="1260" w:type="dxa"/>
          </w:tcPr>
          <w:p w14:paraId="2EB9E213" w14:textId="3715A930" w:rsidR="004C2927" w:rsidRPr="00705DA8" w:rsidRDefault="004C2927" w:rsidP="00CF2EEA">
            <w:pPr>
              <w:widowControl w:val="0"/>
              <w:tabs>
                <w:tab w:val="decimal" w:pos="342"/>
              </w:tabs>
              <w:rPr>
                <w:rFonts w:cs="Times New Roman"/>
                <w:sz w:val="20"/>
                <w:szCs w:val="20"/>
              </w:rPr>
            </w:pPr>
            <w:r w:rsidRPr="00705DA8">
              <w:rPr>
                <w:rFonts w:cs="Times New Roman"/>
                <w:sz w:val="20"/>
                <w:szCs w:val="20"/>
              </w:rPr>
              <w:t>4.</w:t>
            </w:r>
            <w:r>
              <w:rPr>
                <w:rFonts w:cs="Times New Roman"/>
                <w:sz w:val="20"/>
                <w:szCs w:val="20"/>
              </w:rPr>
              <w:t>6%</w:t>
            </w:r>
          </w:p>
        </w:tc>
        <w:tc>
          <w:tcPr>
            <w:tcW w:w="1350" w:type="dxa"/>
          </w:tcPr>
          <w:p w14:paraId="2C22C9E5" w14:textId="3F2CEC73" w:rsidR="004C2927" w:rsidRPr="00705DA8" w:rsidRDefault="004C2927" w:rsidP="00CF2EEA">
            <w:pPr>
              <w:widowControl w:val="0"/>
              <w:tabs>
                <w:tab w:val="decimal" w:pos="342"/>
              </w:tabs>
              <w:rPr>
                <w:rFonts w:cs="Times New Roman"/>
                <w:sz w:val="20"/>
                <w:szCs w:val="20"/>
              </w:rPr>
            </w:pPr>
            <w:r w:rsidRPr="00705DA8">
              <w:rPr>
                <w:rFonts w:cs="Times New Roman"/>
                <w:sz w:val="20"/>
                <w:szCs w:val="20"/>
              </w:rPr>
              <w:t>4.</w:t>
            </w:r>
            <w:r>
              <w:rPr>
                <w:rFonts w:cs="Times New Roman"/>
                <w:sz w:val="20"/>
                <w:szCs w:val="20"/>
              </w:rPr>
              <w:t>8%</w:t>
            </w:r>
          </w:p>
        </w:tc>
        <w:tc>
          <w:tcPr>
            <w:tcW w:w="1584" w:type="dxa"/>
          </w:tcPr>
          <w:p w14:paraId="4DA82B9C" w14:textId="437AFA0A" w:rsidR="004C2927" w:rsidRPr="00705DA8" w:rsidRDefault="004C2927" w:rsidP="00CF2EEA">
            <w:pPr>
              <w:widowControl w:val="0"/>
              <w:tabs>
                <w:tab w:val="decimal" w:pos="342"/>
              </w:tabs>
              <w:rPr>
                <w:rFonts w:cs="Times New Roman"/>
                <w:sz w:val="20"/>
                <w:szCs w:val="20"/>
              </w:rPr>
            </w:pPr>
            <w:r w:rsidRPr="00705DA8">
              <w:rPr>
                <w:rFonts w:cs="Times New Roman"/>
                <w:sz w:val="20"/>
                <w:szCs w:val="20"/>
              </w:rPr>
              <w:t>4.7</w:t>
            </w:r>
            <w:r>
              <w:rPr>
                <w:rFonts w:cs="Times New Roman"/>
                <w:sz w:val="20"/>
                <w:szCs w:val="20"/>
              </w:rPr>
              <w:t>%</w:t>
            </w:r>
          </w:p>
        </w:tc>
        <w:tc>
          <w:tcPr>
            <w:tcW w:w="990" w:type="dxa"/>
          </w:tcPr>
          <w:p w14:paraId="479DDC35" w14:textId="5A4FEDC9" w:rsidR="004C2927" w:rsidRPr="00705DA8" w:rsidRDefault="004C2927" w:rsidP="00CF2EEA">
            <w:pPr>
              <w:widowControl w:val="0"/>
              <w:tabs>
                <w:tab w:val="decimal" w:pos="252"/>
              </w:tabs>
              <w:rPr>
                <w:rFonts w:cs="Times New Roman"/>
                <w:sz w:val="20"/>
                <w:szCs w:val="20"/>
              </w:rPr>
            </w:pPr>
            <w:r w:rsidRPr="00705DA8">
              <w:rPr>
                <w:rFonts w:cs="Times New Roman"/>
                <w:sz w:val="20"/>
                <w:szCs w:val="20"/>
              </w:rPr>
              <w:t>.9</w:t>
            </w:r>
            <w:r>
              <w:rPr>
                <w:rFonts w:cs="Times New Roman"/>
                <w:sz w:val="20"/>
                <w:szCs w:val="20"/>
              </w:rPr>
              <w:t>8</w:t>
            </w:r>
          </w:p>
        </w:tc>
      </w:tr>
      <w:tr w:rsidR="004C2927" w:rsidRPr="00705DA8" w14:paraId="28FD2D47" w14:textId="77777777" w:rsidTr="006674C6">
        <w:trPr>
          <w:trHeight w:val="144"/>
        </w:trPr>
        <w:tc>
          <w:tcPr>
            <w:tcW w:w="3348" w:type="dxa"/>
          </w:tcPr>
          <w:p w14:paraId="73FDEFCA" w14:textId="1B78D263" w:rsidR="004C2927" w:rsidRPr="00705DA8" w:rsidRDefault="004C2927" w:rsidP="00CF2EEA">
            <w:pPr>
              <w:widowControl w:val="0"/>
              <w:ind w:left="288"/>
              <w:rPr>
                <w:rFonts w:cs="Times New Roman"/>
                <w:sz w:val="20"/>
                <w:szCs w:val="20"/>
              </w:rPr>
            </w:pPr>
            <w:r w:rsidRPr="00705DA8">
              <w:rPr>
                <w:rFonts w:cs="Times New Roman"/>
                <w:sz w:val="20"/>
                <w:szCs w:val="20"/>
              </w:rPr>
              <w:t>Mood stabilizer</w:t>
            </w:r>
          </w:p>
        </w:tc>
        <w:tc>
          <w:tcPr>
            <w:tcW w:w="1260" w:type="dxa"/>
          </w:tcPr>
          <w:p w14:paraId="6FE51A75" w14:textId="7CD72DAB" w:rsidR="004C2927" w:rsidRPr="00705DA8" w:rsidRDefault="004C2927" w:rsidP="00CF2EEA">
            <w:pPr>
              <w:widowControl w:val="0"/>
              <w:tabs>
                <w:tab w:val="decimal" w:pos="342"/>
              </w:tabs>
              <w:rPr>
                <w:rFonts w:cs="Times New Roman"/>
                <w:sz w:val="20"/>
                <w:szCs w:val="20"/>
              </w:rPr>
            </w:pPr>
            <w:r w:rsidRPr="00705DA8">
              <w:rPr>
                <w:rFonts w:cs="Times New Roman"/>
                <w:sz w:val="20"/>
                <w:szCs w:val="20"/>
              </w:rPr>
              <w:t>2.3</w:t>
            </w:r>
            <w:r>
              <w:rPr>
                <w:rFonts w:cs="Times New Roman"/>
                <w:sz w:val="20"/>
                <w:szCs w:val="20"/>
              </w:rPr>
              <w:t>%</w:t>
            </w:r>
          </w:p>
        </w:tc>
        <w:tc>
          <w:tcPr>
            <w:tcW w:w="1350" w:type="dxa"/>
          </w:tcPr>
          <w:p w14:paraId="4334E0EE" w14:textId="27A53B8F" w:rsidR="004C2927" w:rsidRPr="00705DA8" w:rsidRDefault="004C2927" w:rsidP="00CF2EEA">
            <w:pPr>
              <w:widowControl w:val="0"/>
              <w:tabs>
                <w:tab w:val="decimal" w:pos="342"/>
              </w:tabs>
              <w:rPr>
                <w:rFonts w:cs="Times New Roman"/>
                <w:sz w:val="20"/>
                <w:szCs w:val="20"/>
              </w:rPr>
            </w:pPr>
            <w:r w:rsidRPr="00705DA8">
              <w:rPr>
                <w:rFonts w:cs="Times New Roman"/>
                <w:sz w:val="20"/>
                <w:szCs w:val="20"/>
              </w:rPr>
              <w:t>0</w:t>
            </w:r>
          </w:p>
        </w:tc>
        <w:tc>
          <w:tcPr>
            <w:tcW w:w="1584" w:type="dxa"/>
          </w:tcPr>
          <w:p w14:paraId="5EA5EFFD" w14:textId="29EA14D0" w:rsidR="004C2927" w:rsidRPr="00705DA8" w:rsidRDefault="004C2927" w:rsidP="00CF2EEA">
            <w:pPr>
              <w:widowControl w:val="0"/>
              <w:tabs>
                <w:tab w:val="decimal" w:pos="342"/>
              </w:tabs>
              <w:rPr>
                <w:rFonts w:cs="Times New Roman"/>
                <w:sz w:val="20"/>
                <w:szCs w:val="20"/>
              </w:rPr>
            </w:pPr>
            <w:r w:rsidRPr="00705DA8">
              <w:rPr>
                <w:rFonts w:cs="Times New Roman"/>
                <w:sz w:val="20"/>
                <w:szCs w:val="20"/>
              </w:rPr>
              <w:t>1.2</w:t>
            </w:r>
            <w:r>
              <w:rPr>
                <w:rFonts w:cs="Times New Roman"/>
                <w:sz w:val="20"/>
                <w:szCs w:val="20"/>
              </w:rPr>
              <w:t>%</w:t>
            </w:r>
          </w:p>
        </w:tc>
        <w:tc>
          <w:tcPr>
            <w:tcW w:w="990" w:type="dxa"/>
          </w:tcPr>
          <w:p w14:paraId="1EF49B79" w14:textId="28182995" w:rsidR="004C2927" w:rsidRPr="00705DA8" w:rsidRDefault="004C2927" w:rsidP="00CF2EEA">
            <w:pPr>
              <w:widowControl w:val="0"/>
              <w:tabs>
                <w:tab w:val="decimal" w:pos="252"/>
              </w:tabs>
              <w:rPr>
                <w:rFonts w:cs="Times New Roman"/>
                <w:sz w:val="20"/>
                <w:szCs w:val="20"/>
              </w:rPr>
            </w:pPr>
            <w:r w:rsidRPr="00705DA8">
              <w:rPr>
                <w:rFonts w:cs="Times New Roman"/>
                <w:sz w:val="20"/>
                <w:szCs w:val="20"/>
              </w:rPr>
              <w:t>.3</w:t>
            </w:r>
            <w:r>
              <w:rPr>
                <w:rFonts w:cs="Times New Roman"/>
                <w:sz w:val="20"/>
                <w:szCs w:val="20"/>
              </w:rPr>
              <w:t>2</w:t>
            </w:r>
          </w:p>
        </w:tc>
      </w:tr>
      <w:tr w:rsidR="0098497F" w:rsidRPr="00705DA8" w14:paraId="077F9A06" w14:textId="77777777" w:rsidTr="006674C6">
        <w:trPr>
          <w:trHeight w:val="144"/>
        </w:trPr>
        <w:tc>
          <w:tcPr>
            <w:tcW w:w="3348" w:type="dxa"/>
          </w:tcPr>
          <w:p w14:paraId="313CBC5D" w14:textId="77777777" w:rsidR="0098497F" w:rsidRPr="00705DA8" w:rsidRDefault="0098497F" w:rsidP="00CF2EEA">
            <w:pPr>
              <w:widowControl w:val="0"/>
              <w:ind w:left="288"/>
              <w:rPr>
                <w:rFonts w:cs="Times New Roman"/>
                <w:sz w:val="20"/>
                <w:szCs w:val="20"/>
              </w:rPr>
            </w:pPr>
          </w:p>
        </w:tc>
        <w:tc>
          <w:tcPr>
            <w:tcW w:w="1260" w:type="dxa"/>
          </w:tcPr>
          <w:p w14:paraId="021319F9" w14:textId="77777777" w:rsidR="0098497F" w:rsidRPr="00705DA8" w:rsidRDefault="0098497F" w:rsidP="00CF2EEA">
            <w:pPr>
              <w:widowControl w:val="0"/>
              <w:tabs>
                <w:tab w:val="decimal" w:pos="342"/>
              </w:tabs>
              <w:rPr>
                <w:rFonts w:cs="Times New Roman"/>
                <w:sz w:val="20"/>
                <w:szCs w:val="20"/>
              </w:rPr>
            </w:pPr>
          </w:p>
        </w:tc>
        <w:tc>
          <w:tcPr>
            <w:tcW w:w="1350" w:type="dxa"/>
          </w:tcPr>
          <w:p w14:paraId="31D8254C" w14:textId="77777777" w:rsidR="0098497F" w:rsidRPr="00705DA8" w:rsidRDefault="0098497F" w:rsidP="00CF2EEA">
            <w:pPr>
              <w:widowControl w:val="0"/>
              <w:tabs>
                <w:tab w:val="decimal" w:pos="342"/>
              </w:tabs>
              <w:rPr>
                <w:rFonts w:cs="Times New Roman"/>
                <w:sz w:val="20"/>
                <w:szCs w:val="20"/>
              </w:rPr>
            </w:pPr>
          </w:p>
        </w:tc>
        <w:tc>
          <w:tcPr>
            <w:tcW w:w="1584" w:type="dxa"/>
          </w:tcPr>
          <w:p w14:paraId="4C1BA529" w14:textId="77777777" w:rsidR="0098497F" w:rsidRPr="00705DA8" w:rsidRDefault="0098497F" w:rsidP="00CF2EEA">
            <w:pPr>
              <w:widowControl w:val="0"/>
              <w:tabs>
                <w:tab w:val="decimal" w:pos="342"/>
              </w:tabs>
              <w:rPr>
                <w:rFonts w:cs="Times New Roman"/>
                <w:sz w:val="20"/>
                <w:szCs w:val="20"/>
              </w:rPr>
            </w:pPr>
          </w:p>
        </w:tc>
        <w:tc>
          <w:tcPr>
            <w:tcW w:w="990" w:type="dxa"/>
          </w:tcPr>
          <w:p w14:paraId="5B9BEA7D" w14:textId="77777777" w:rsidR="0098497F" w:rsidRPr="00705DA8" w:rsidRDefault="0098497F" w:rsidP="00CF2EEA">
            <w:pPr>
              <w:widowControl w:val="0"/>
              <w:tabs>
                <w:tab w:val="decimal" w:pos="252"/>
              </w:tabs>
              <w:rPr>
                <w:rFonts w:cs="Times New Roman"/>
                <w:sz w:val="20"/>
                <w:szCs w:val="20"/>
              </w:rPr>
            </w:pPr>
          </w:p>
        </w:tc>
      </w:tr>
      <w:tr w:rsidR="004C2927" w:rsidRPr="00705DA8" w14:paraId="7761594F" w14:textId="77777777" w:rsidTr="006674C6">
        <w:trPr>
          <w:trHeight w:val="144"/>
        </w:trPr>
        <w:tc>
          <w:tcPr>
            <w:tcW w:w="3348" w:type="dxa"/>
          </w:tcPr>
          <w:p w14:paraId="13BEB8BD" w14:textId="1740AD24" w:rsidR="004C2927" w:rsidRPr="0098497F" w:rsidRDefault="004C2927" w:rsidP="00CF2EEA">
            <w:pPr>
              <w:widowControl w:val="0"/>
              <w:rPr>
                <w:rFonts w:cs="Times New Roman"/>
                <w:sz w:val="20"/>
                <w:szCs w:val="20"/>
              </w:rPr>
            </w:pPr>
            <w:r w:rsidRPr="0098497F">
              <w:rPr>
                <w:rFonts w:cs="Times New Roman"/>
                <w:sz w:val="20"/>
                <w:szCs w:val="20"/>
              </w:rPr>
              <w:t>Observed cases</w:t>
            </w:r>
          </w:p>
        </w:tc>
        <w:tc>
          <w:tcPr>
            <w:tcW w:w="1260" w:type="dxa"/>
          </w:tcPr>
          <w:p w14:paraId="16C1EA21" w14:textId="273EF5D4" w:rsidR="004C2927" w:rsidRPr="00705DA8" w:rsidRDefault="004C2927" w:rsidP="00CF2EEA">
            <w:pPr>
              <w:widowControl w:val="0"/>
              <w:tabs>
                <w:tab w:val="decimal" w:pos="342"/>
              </w:tabs>
              <w:rPr>
                <w:rFonts w:cs="Times New Roman"/>
                <w:sz w:val="20"/>
                <w:szCs w:val="20"/>
              </w:rPr>
            </w:pPr>
          </w:p>
        </w:tc>
        <w:tc>
          <w:tcPr>
            <w:tcW w:w="1350" w:type="dxa"/>
          </w:tcPr>
          <w:p w14:paraId="283FA1B2" w14:textId="35697EE3" w:rsidR="004C2927" w:rsidRPr="00705DA8" w:rsidRDefault="004C2927" w:rsidP="00CF2EEA">
            <w:pPr>
              <w:widowControl w:val="0"/>
              <w:tabs>
                <w:tab w:val="decimal" w:pos="342"/>
              </w:tabs>
              <w:rPr>
                <w:rFonts w:cs="Times New Roman"/>
                <w:sz w:val="20"/>
                <w:szCs w:val="20"/>
              </w:rPr>
            </w:pPr>
          </w:p>
        </w:tc>
        <w:tc>
          <w:tcPr>
            <w:tcW w:w="1584" w:type="dxa"/>
          </w:tcPr>
          <w:p w14:paraId="2C2AFBDD" w14:textId="2B359F23" w:rsidR="004C2927" w:rsidRPr="00705DA8" w:rsidRDefault="004C2927" w:rsidP="00CF2EEA">
            <w:pPr>
              <w:widowControl w:val="0"/>
              <w:tabs>
                <w:tab w:val="decimal" w:pos="342"/>
              </w:tabs>
              <w:rPr>
                <w:rFonts w:cs="Times New Roman"/>
                <w:sz w:val="20"/>
                <w:szCs w:val="20"/>
              </w:rPr>
            </w:pPr>
          </w:p>
        </w:tc>
        <w:tc>
          <w:tcPr>
            <w:tcW w:w="990" w:type="dxa"/>
          </w:tcPr>
          <w:p w14:paraId="080D0ABB" w14:textId="4326BEEE" w:rsidR="004C2927" w:rsidRPr="00705DA8" w:rsidRDefault="004C2927" w:rsidP="00CF2EEA">
            <w:pPr>
              <w:widowControl w:val="0"/>
              <w:tabs>
                <w:tab w:val="decimal" w:pos="252"/>
              </w:tabs>
              <w:rPr>
                <w:rFonts w:cs="Times New Roman"/>
                <w:sz w:val="20"/>
                <w:szCs w:val="20"/>
              </w:rPr>
            </w:pPr>
          </w:p>
        </w:tc>
      </w:tr>
      <w:tr w:rsidR="004C2927" w:rsidRPr="00705DA8" w14:paraId="3270401E" w14:textId="77777777" w:rsidTr="006674C6">
        <w:trPr>
          <w:trHeight w:val="144"/>
        </w:trPr>
        <w:tc>
          <w:tcPr>
            <w:tcW w:w="3348" w:type="dxa"/>
          </w:tcPr>
          <w:p w14:paraId="6CAC206F" w14:textId="474EC322" w:rsidR="004C2927" w:rsidRPr="00705DA8" w:rsidRDefault="004C2927" w:rsidP="00CF2EEA">
            <w:pPr>
              <w:widowControl w:val="0"/>
              <w:ind w:left="288"/>
              <w:rPr>
                <w:rFonts w:cs="Times New Roman"/>
                <w:sz w:val="20"/>
                <w:szCs w:val="20"/>
              </w:rPr>
            </w:pPr>
            <w:r w:rsidRPr="00705DA8">
              <w:rPr>
                <w:rFonts w:cs="Times New Roman"/>
                <w:sz w:val="20"/>
                <w:szCs w:val="20"/>
              </w:rPr>
              <w:t>Baseline</w:t>
            </w:r>
          </w:p>
        </w:tc>
        <w:tc>
          <w:tcPr>
            <w:tcW w:w="1260" w:type="dxa"/>
          </w:tcPr>
          <w:p w14:paraId="22654287" w14:textId="33A0C7EB" w:rsidR="004C2927" w:rsidRPr="00705DA8" w:rsidRDefault="004C2927" w:rsidP="00CF2EEA">
            <w:pPr>
              <w:widowControl w:val="0"/>
              <w:tabs>
                <w:tab w:val="decimal" w:pos="342"/>
              </w:tabs>
              <w:rPr>
                <w:rFonts w:cs="Times New Roman"/>
                <w:sz w:val="20"/>
                <w:szCs w:val="20"/>
              </w:rPr>
            </w:pPr>
            <w:r w:rsidRPr="00705DA8">
              <w:rPr>
                <w:rFonts w:cs="Times New Roman"/>
                <w:sz w:val="20"/>
                <w:szCs w:val="20"/>
              </w:rPr>
              <w:t>4</w:t>
            </w:r>
            <w:r>
              <w:rPr>
                <w:rFonts w:cs="Times New Roman"/>
                <w:sz w:val="20"/>
                <w:szCs w:val="20"/>
              </w:rPr>
              <w:t>3</w:t>
            </w:r>
          </w:p>
        </w:tc>
        <w:tc>
          <w:tcPr>
            <w:tcW w:w="1350" w:type="dxa"/>
          </w:tcPr>
          <w:p w14:paraId="21B606CB" w14:textId="3A2250AC" w:rsidR="004C2927" w:rsidRPr="00705DA8" w:rsidRDefault="004C2927" w:rsidP="00CF2EEA">
            <w:pPr>
              <w:widowControl w:val="0"/>
              <w:tabs>
                <w:tab w:val="decimal" w:pos="342"/>
              </w:tabs>
              <w:rPr>
                <w:rFonts w:cs="Times New Roman"/>
                <w:sz w:val="20"/>
                <w:szCs w:val="20"/>
              </w:rPr>
            </w:pPr>
            <w:r w:rsidRPr="00705DA8">
              <w:rPr>
                <w:rFonts w:cs="Times New Roman"/>
                <w:sz w:val="20"/>
                <w:szCs w:val="20"/>
              </w:rPr>
              <w:t>4</w:t>
            </w:r>
            <w:r>
              <w:rPr>
                <w:rFonts w:cs="Times New Roman"/>
                <w:sz w:val="20"/>
                <w:szCs w:val="20"/>
              </w:rPr>
              <w:t>2</w:t>
            </w:r>
          </w:p>
        </w:tc>
        <w:tc>
          <w:tcPr>
            <w:tcW w:w="1584" w:type="dxa"/>
          </w:tcPr>
          <w:p w14:paraId="5F2F53BD" w14:textId="517DA934" w:rsidR="004C2927" w:rsidRPr="00705DA8" w:rsidRDefault="004C2927" w:rsidP="00CF2EEA">
            <w:pPr>
              <w:widowControl w:val="0"/>
              <w:tabs>
                <w:tab w:val="decimal" w:pos="342"/>
              </w:tabs>
              <w:rPr>
                <w:rFonts w:cs="Times New Roman"/>
                <w:sz w:val="20"/>
                <w:szCs w:val="20"/>
              </w:rPr>
            </w:pPr>
            <w:r w:rsidRPr="00705DA8">
              <w:rPr>
                <w:rFonts w:cs="Times New Roman"/>
                <w:sz w:val="20"/>
                <w:szCs w:val="20"/>
              </w:rPr>
              <w:t>85</w:t>
            </w:r>
          </w:p>
        </w:tc>
        <w:tc>
          <w:tcPr>
            <w:tcW w:w="990" w:type="dxa"/>
          </w:tcPr>
          <w:p w14:paraId="35AC6A21" w14:textId="77777777" w:rsidR="004C2927" w:rsidRPr="00705DA8" w:rsidRDefault="004C2927" w:rsidP="00CF2EEA">
            <w:pPr>
              <w:widowControl w:val="0"/>
              <w:tabs>
                <w:tab w:val="decimal" w:pos="252"/>
              </w:tabs>
              <w:rPr>
                <w:rFonts w:cs="Times New Roman"/>
                <w:sz w:val="20"/>
                <w:szCs w:val="20"/>
              </w:rPr>
            </w:pPr>
          </w:p>
        </w:tc>
      </w:tr>
      <w:tr w:rsidR="004C2927" w:rsidRPr="00705DA8" w14:paraId="3B5585AF" w14:textId="77777777" w:rsidTr="006674C6">
        <w:trPr>
          <w:trHeight w:val="144"/>
        </w:trPr>
        <w:tc>
          <w:tcPr>
            <w:tcW w:w="3348" w:type="dxa"/>
          </w:tcPr>
          <w:p w14:paraId="1758875B" w14:textId="5D7CF96D" w:rsidR="004C2927" w:rsidRPr="00705DA8" w:rsidRDefault="004C2927" w:rsidP="00CF2EEA">
            <w:pPr>
              <w:widowControl w:val="0"/>
              <w:ind w:left="288"/>
              <w:rPr>
                <w:rFonts w:cs="Times New Roman"/>
                <w:sz w:val="20"/>
                <w:szCs w:val="20"/>
              </w:rPr>
            </w:pPr>
            <w:r w:rsidRPr="00705DA8">
              <w:rPr>
                <w:rFonts w:cs="Times New Roman"/>
                <w:sz w:val="20"/>
                <w:szCs w:val="20"/>
              </w:rPr>
              <w:t>Week 6</w:t>
            </w:r>
          </w:p>
        </w:tc>
        <w:tc>
          <w:tcPr>
            <w:tcW w:w="1260" w:type="dxa"/>
          </w:tcPr>
          <w:p w14:paraId="3A4D7A56" w14:textId="4012BB68" w:rsidR="004C2927" w:rsidRPr="00705DA8" w:rsidRDefault="004C2927" w:rsidP="00CF2EEA">
            <w:pPr>
              <w:widowControl w:val="0"/>
              <w:tabs>
                <w:tab w:val="decimal" w:pos="342"/>
              </w:tabs>
              <w:rPr>
                <w:rFonts w:cs="Times New Roman"/>
                <w:sz w:val="20"/>
                <w:szCs w:val="20"/>
              </w:rPr>
            </w:pPr>
            <w:r w:rsidRPr="00705DA8">
              <w:rPr>
                <w:rFonts w:cs="Times New Roman"/>
                <w:sz w:val="20"/>
                <w:szCs w:val="20"/>
              </w:rPr>
              <w:t>42</w:t>
            </w:r>
          </w:p>
        </w:tc>
        <w:tc>
          <w:tcPr>
            <w:tcW w:w="1350" w:type="dxa"/>
          </w:tcPr>
          <w:p w14:paraId="495B0BA2" w14:textId="52C861AD" w:rsidR="004C2927" w:rsidRPr="00705DA8" w:rsidRDefault="004C2927" w:rsidP="00CF2EEA">
            <w:pPr>
              <w:widowControl w:val="0"/>
              <w:tabs>
                <w:tab w:val="decimal" w:pos="342"/>
              </w:tabs>
              <w:rPr>
                <w:rFonts w:cs="Times New Roman"/>
                <w:sz w:val="20"/>
                <w:szCs w:val="20"/>
              </w:rPr>
            </w:pPr>
            <w:r w:rsidRPr="00705DA8">
              <w:rPr>
                <w:rFonts w:cs="Times New Roman"/>
                <w:sz w:val="20"/>
                <w:szCs w:val="20"/>
              </w:rPr>
              <w:t>35</w:t>
            </w:r>
          </w:p>
        </w:tc>
        <w:tc>
          <w:tcPr>
            <w:tcW w:w="1584" w:type="dxa"/>
          </w:tcPr>
          <w:p w14:paraId="44DA3040" w14:textId="0A3E69D5" w:rsidR="004C2927" w:rsidRPr="00705DA8" w:rsidRDefault="004C2927" w:rsidP="00CF2EEA">
            <w:pPr>
              <w:widowControl w:val="0"/>
              <w:tabs>
                <w:tab w:val="decimal" w:pos="342"/>
              </w:tabs>
              <w:rPr>
                <w:rFonts w:cs="Times New Roman"/>
                <w:sz w:val="20"/>
                <w:szCs w:val="20"/>
              </w:rPr>
            </w:pPr>
            <w:r w:rsidRPr="00705DA8">
              <w:rPr>
                <w:rFonts w:cs="Times New Roman"/>
                <w:sz w:val="20"/>
                <w:szCs w:val="20"/>
              </w:rPr>
              <w:t>77</w:t>
            </w:r>
          </w:p>
        </w:tc>
        <w:tc>
          <w:tcPr>
            <w:tcW w:w="990" w:type="dxa"/>
          </w:tcPr>
          <w:p w14:paraId="0179DE65" w14:textId="77777777" w:rsidR="004C2927" w:rsidRPr="00705DA8" w:rsidRDefault="004C2927" w:rsidP="00CF2EEA">
            <w:pPr>
              <w:widowControl w:val="0"/>
              <w:tabs>
                <w:tab w:val="decimal" w:pos="252"/>
              </w:tabs>
              <w:rPr>
                <w:rFonts w:cs="Times New Roman"/>
                <w:sz w:val="20"/>
                <w:szCs w:val="20"/>
              </w:rPr>
            </w:pPr>
          </w:p>
        </w:tc>
      </w:tr>
      <w:tr w:rsidR="004C2927" w:rsidRPr="00705DA8" w14:paraId="37D22385" w14:textId="77777777" w:rsidTr="006674C6">
        <w:trPr>
          <w:trHeight w:val="144"/>
        </w:trPr>
        <w:tc>
          <w:tcPr>
            <w:tcW w:w="3348" w:type="dxa"/>
          </w:tcPr>
          <w:p w14:paraId="5AF65EDE" w14:textId="11C95E4D" w:rsidR="004C2927" w:rsidRPr="00705DA8" w:rsidRDefault="004C2927" w:rsidP="00CF2EEA">
            <w:pPr>
              <w:widowControl w:val="0"/>
              <w:ind w:left="288"/>
              <w:rPr>
                <w:rFonts w:cs="Times New Roman"/>
                <w:sz w:val="20"/>
                <w:szCs w:val="20"/>
              </w:rPr>
            </w:pPr>
            <w:r w:rsidRPr="00705DA8">
              <w:rPr>
                <w:rFonts w:cs="Times New Roman"/>
                <w:sz w:val="20"/>
                <w:szCs w:val="20"/>
              </w:rPr>
              <w:t>Week 12</w:t>
            </w:r>
          </w:p>
        </w:tc>
        <w:tc>
          <w:tcPr>
            <w:tcW w:w="1260" w:type="dxa"/>
          </w:tcPr>
          <w:p w14:paraId="38A25D37" w14:textId="4E3ED2AD" w:rsidR="004C2927" w:rsidRPr="00705DA8" w:rsidRDefault="004C2927" w:rsidP="00CF2EEA">
            <w:pPr>
              <w:widowControl w:val="0"/>
              <w:tabs>
                <w:tab w:val="decimal" w:pos="342"/>
              </w:tabs>
              <w:rPr>
                <w:rFonts w:cs="Times New Roman"/>
                <w:sz w:val="20"/>
                <w:szCs w:val="20"/>
              </w:rPr>
            </w:pPr>
            <w:r w:rsidRPr="00705DA8">
              <w:rPr>
                <w:rFonts w:cs="Times New Roman"/>
                <w:sz w:val="20"/>
                <w:szCs w:val="20"/>
              </w:rPr>
              <w:t>34</w:t>
            </w:r>
          </w:p>
        </w:tc>
        <w:tc>
          <w:tcPr>
            <w:tcW w:w="1350" w:type="dxa"/>
          </w:tcPr>
          <w:p w14:paraId="47DED668" w14:textId="36DE8E8B" w:rsidR="004C2927" w:rsidRPr="00705DA8" w:rsidRDefault="004C2927" w:rsidP="00CF2EEA">
            <w:pPr>
              <w:widowControl w:val="0"/>
              <w:tabs>
                <w:tab w:val="decimal" w:pos="342"/>
              </w:tabs>
              <w:rPr>
                <w:rFonts w:cs="Times New Roman"/>
                <w:sz w:val="20"/>
                <w:szCs w:val="20"/>
              </w:rPr>
            </w:pPr>
            <w:r w:rsidRPr="00705DA8">
              <w:rPr>
                <w:rFonts w:cs="Times New Roman"/>
                <w:sz w:val="20"/>
                <w:szCs w:val="20"/>
              </w:rPr>
              <w:t>34</w:t>
            </w:r>
          </w:p>
        </w:tc>
        <w:tc>
          <w:tcPr>
            <w:tcW w:w="1584" w:type="dxa"/>
          </w:tcPr>
          <w:p w14:paraId="4AD41BF0" w14:textId="4A30BAC3" w:rsidR="004C2927" w:rsidRPr="00705DA8" w:rsidRDefault="004C2927" w:rsidP="00CF2EEA">
            <w:pPr>
              <w:widowControl w:val="0"/>
              <w:tabs>
                <w:tab w:val="decimal" w:pos="342"/>
              </w:tabs>
              <w:rPr>
                <w:rFonts w:cs="Times New Roman"/>
                <w:sz w:val="20"/>
                <w:szCs w:val="20"/>
              </w:rPr>
            </w:pPr>
            <w:r w:rsidRPr="00705DA8">
              <w:rPr>
                <w:rFonts w:cs="Times New Roman"/>
                <w:sz w:val="20"/>
                <w:szCs w:val="20"/>
              </w:rPr>
              <w:t>68</w:t>
            </w:r>
          </w:p>
        </w:tc>
        <w:tc>
          <w:tcPr>
            <w:tcW w:w="990" w:type="dxa"/>
          </w:tcPr>
          <w:p w14:paraId="46409CF4" w14:textId="77777777" w:rsidR="004C2927" w:rsidRPr="00705DA8" w:rsidRDefault="004C2927" w:rsidP="00CF2EEA">
            <w:pPr>
              <w:widowControl w:val="0"/>
              <w:tabs>
                <w:tab w:val="decimal" w:pos="252"/>
              </w:tabs>
              <w:rPr>
                <w:rFonts w:cs="Times New Roman"/>
                <w:sz w:val="20"/>
                <w:szCs w:val="20"/>
              </w:rPr>
            </w:pPr>
          </w:p>
        </w:tc>
      </w:tr>
    </w:tbl>
    <w:p w14:paraId="6170BF24" w14:textId="445807C6" w:rsidR="003D0ED6" w:rsidRPr="00BB1BF0" w:rsidRDefault="003D0ED6" w:rsidP="00CF2EEA">
      <w:pPr>
        <w:pStyle w:val="NoSpacing"/>
        <w:widowControl w:val="0"/>
        <w:rPr>
          <w:rFonts w:ascii="Times New Roman" w:hAnsi="Times New Roman" w:cs="Times New Roman"/>
          <w:sz w:val="24"/>
          <w:szCs w:val="24"/>
        </w:rPr>
      </w:pPr>
      <w:r w:rsidRPr="003D0ED6">
        <w:rPr>
          <w:rFonts w:ascii="Times New Roman" w:hAnsi="Times New Roman" w:cs="Times New Roman"/>
          <w:i/>
          <w:sz w:val="24"/>
          <w:szCs w:val="24"/>
        </w:rPr>
        <w:t xml:space="preserve">Note. </w:t>
      </w:r>
      <w:r w:rsidR="00A359E2" w:rsidRPr="00A359E2">
        <w:rPr>
          <w:rFonts w:ascii="Times New Roman" w:hAnsi="Times New Roman" w:cs="Times New Roman"/>
          <w:sz w:val="24"/>
          <w:szCs w:val="24"/>
        </w:rPr>
        <w:t>AEBT-TTM = Acceptance-enhanced behavior therapy for trichotillomania; PST = Psychoeducation and supportive therapy</w:t>
      </w:r>
      <w:r w:rsidR="00A359E2">
        <w:rPr>
          <w:rFonts w:ascii="Times New Roman" w:hAnsi="Times New Roman" w:cs="Times New Roman"/>
          <w:sz w:val="24"/>
          <w:szCs w:val="24"/>
        </w:rPr>
        <w:t>;</w:t>
      </w:r>
      <w:r w:rsidR="00A359E2" w:rsidRPr="00A359E2">
        <w:rPr>
          <w:rFonts w:ascii="Times New Roman" w:hAnsi="Times New Roman" w:cs="Times New Roman"/>
          <w:sz w:val="24"/>
          <w:szCs w:val="24"/>
        </w:rPr>
        <w:t xml:space="preserve"> </w:t>
      </w:r>
      <w:r w:rsidRPr="003D0ED6">
        <w:rPr>
          <w:rFonts w:ascii="Times New Roman" w:hAnsi="Times New Roman" w:cs="Times New Roman"/>
          <w:sz w:val="24"/>
          <w:szCs w:val="24"/>
        </w:rPr>
        <w:t xml:space="preserve">WTAR = </w:t>
      </w:r>
      <w:r w:rsidRPr="003D0ED6">
        <w:rPr>
          <w:rFonts w:ascii="Times New Roman" w:eastAsia="Times New Roman" w:hAnsi="Times New Roman" w:cs="Times New Roman"/>
          <w:sz w:val="24"/>
          <w:szCs w:val="24"/>
        </w:rPr>
        <w:t>Wechsler Test of Adult Reading</w:t>
      </w:r>
      <w:r w:rsidRPr="00BB1BF0">
        <w:rPr>
          <w:rFonts w:ascii="Times New Roman" w:hAnsi="Times New Roman" w:cs="Times New Roman"/>
          <w:sz w:val="24"/>
          <w:szCs w:val="24"/>
        </w:rPr>
        <w:t>; MGH-HS = Massachusetts General Hospital</w:t>
      </w:r>
      <w:r w:rsidR="00A720AB">
        <w:rPr>
          <w:rFonts w:ascii="Times New Roman" w:hAnsi="Times New Roman" w:cs="Times New Roman"/>
          <w:sz w:val="24"/>
          <w:szCs w:val="24"/>
        </w:rPr>
        <w:t>-</w:t>
      </w:r>
      <w:r w:rsidRPr="00BB1BF0">
        <w:rPr>
          <w:rFonts w:ascii="Times New Roman" w:hAnsi="Times New Roman" w:cs="Times New Roman"/>
          <w:sz w:val="24"/>
          <w:szCs w:val="24"/>
        </w:rPr>
        <w:t>Hairpulling Scale; NIMH-TSS = National Institute of Mental Health Trichotillomania Severity Scale</w:t>
      </w:r>
      <w:r>
        <w:rPr>
          <w:rFonts w:ascii="Times New Roman" w:hAnsi="Times New Roman" w:cs="Times New Roman"/>
          <w:sz w:val="24"/>
          <w:szCs w:val="24"/>
        </w:rPr>
        <w:t>; SSRI = Selective serotonin reuptake inhibitor</w:t>
      </w:r>
      <w:r w:rsidR="00C172B2">
        <w:rPr>
          <w:rFonts w:ascii="Times New Roman" w:hAnsi="Times New Roman" w:cs="Times New Roman"/>
          <w:sz w:val="24"/>
          <w:szCs w:val="24"/>
        </w:rPr>
        <w:t>.</w:t>
      </w:r>
    </w:p>
    <w:p w14:paraId="58EA2D8F" w14:textId="77777777" w:rsidR="003D0ED6" w:rsidRDefault="003D0ED6" w:rsidP="00CF2EEA">
      <w:pPr>
        <w:widowControl w:val="0"/>
        <w:rPr>
          <w:rFonts w:eastAsia="Times New Roman" w:cs="Times New Roman"/>
          <w:b/>
          <w:szCs w:val="24"/>
        </w:rPr>
      </w:pPr>
    </w:p>
    <w:p w14:paraId="0BCD9B0C" w14:textId="77777777" w:rsidR="00A3301A" w:rsidRDefault="00A3301A" w:rsidP="00CF2EEA">
      <w:pPr>
        <w:widowControl w:val="0"/>
        <w:rPr>
          <w:rFonts w:eastAsia="Times New Roman" w:cs="Times New Roman"/>
          <w:b/>
          <w:szCs w:val="24"/>
        </w:rPr>
        <w:sectPr w:rsidR="00A3301A" w:rsidSect="006E68D1">
          <w:pgSz w:w="12240" w:h="15840"/>
          <w:pgMar w:top="1440" w:right="1440" w:bottom="1440" w:left="1440" w:header="720" w:footer="720" w:gutter="0"/>
          <w:cols w:space="720"/>
          <w:docGrid w:linePitch="360"/>
        </w:sectPr>
      </w:pPr>
    </w:p>
    <w:p w14:paraId="43DC3B5B" w14:textId="77777777" w:rsidR="005F314F" w:rsidRPr="00025A41" w:rsidRDefault="005F314F" w:rsidP="005F314F">
      <w:pPr>
        <w:pStyle w:val="Heading1"/>
        <w:keepNext w:val="0"/>
        <w:keepLines w:val="0"/>
        <w:widowControl w:val="0"/>
        <w:spacing w:line="480" w:lineRule="auto"/>
        <w:jc w:val="left"/>
      </w:pPr>
      <w:bookmarkStart w:id="7" w:name="_Hlk511480480"/>
      <w:r>
        <w:lastRenderedPageBreak/>
        <w:t>Table 2</w:t>
      </w:r>
    </w:p>
    <w:bookmarkEnd w:id="7"/>
    <w:p w14:paraId="72DDE035" w14:textId="77777777" w:rsidR="005F314F" w:rsidRPr="00A3301A" w:rsidRDefault="005F314F" w:rsidP="005F314F">
      <w:pPr>
        <w:widowControl w:val="0"/>
        <w:spacing w:line="480" w:lineRule="auto"/>
        <w:rPr>
          <w:rFonts w:eastAsia="Times New Roman" w:cs="Times New Roman"/>
          <w:szCs w:val="24"/>
        </w:rPr>
      </w:pPr>
      <w:r>
        <w:rPr>
          <w:rFonts w:eastAsia="Times New Roman" w:cs="Times New Roman"/>
          <w:szCs w:val="24"/>
        </w:rPr>
        <w:t>Group Specific Outcomes at Week 6 and 12</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8"/>
        <w:gridCol w:w="2160"/>
        <w:gridCol w:w="2070"/>
        <w:gridCol w:w="2160"/>
        <w:gridCol w:w="3420"/>
      </w:tblGrid>
      <w:tr w:rsidR="005F314F" w:rsidRPr="00962944" w14:paraId="5E2FA715" w14:textId="77777777" w:rsidTr="00F21646">
        <w:tc>
          <w:tcPr>
            <w:tcW w:w="2538" w:type="dxa"/>
            <w:tcBorders>
              <w:top w:val="single" w:sz="4" w:space="0" w:color="auto"/>
              <w:bottom w:val="single" w:sz="4" w:space="0" w:color="auto"/>
            </w:tcBorders>
            <w:vAlign w:val="center"/>
          </w:tcPr>
          <w:p w14:paraId="44EF3C67" w14:textId="77777777" w:rsidR="005F314F" w:rsidRPr="00962944" w:rsidRDefault="005F314F" w:rsidP="00F21646">
            <w:pPr>
              <w:widowControl w:val="0"/>
              <w:jc w:val="center"/>
              <w:rPr>
                <w:rFonts w:cs="Times New Roman"/>
                <w:sz w:val="20"/>
                <w:szCs w:val="20"/>
              </w:rPr>
            </w:pPr>
            <w:r w:rsidRPr="00962944">
              <w:rPr>
                <w:rFonts w:cs="Times New Roman"/>
                <w:sz w:val="20"/>
                <w:szCs w:val="20"/>
              </w:rPr>
              <w:t>Measure</w:t>
            </w:r>
            <w:r>
              <w:rPr>
                <w:rFonts w:cs="Times New Roman"/>
                <w:sz w:val="20"/>
                <w:szCs w:val="20"/>
              </w:rPr>
              <w:t>s</w:t>
            </w:r>
          </w:p>
        </w:tc>
        <w:tc>
          <w:tcPr>
            <w:tcW w:w="2160" w:type="dxa"/>
            <w:tcBorders>
              <w:top w:val="single" w:sz="4" w:space="0" w:color="auto"/>
              <w:bottom w:val="single" w:sz="4" w:space="0" w:color="auto"/>
            </w:tcBorders>
            <w:vAlign w:val="center"/>
          </w:tcPr>
          <w:p w14:paraId="28ED0BAB" w14:textId="77777777" w:rsidR="005F314F" w:rsidRPr="00962944" w:rsidRDefault="005F314F" w:rsidP="00F21646">
            <w:pPr>
              <w:widowControl w:val="0"/>
              <w:tabs>
                <w:tab w:val="decimal" w:pos="252"/>
              </w:tabs>
              <w:jc w:val="center"/>
              <w:rPr>
                <w:rFonts w:cs="Times New Roman"/>
                <w:sz w:val="20"/>
                <w:szCs w:val="20"/>
              </w:rPr>
            </w:pPr>
            <w:r w:rsidRPr="00962944">
              <w:rPr>
                <w:rFonts w:cs="Times New Roman"/>
                <w:sz w:val="20"/>
                <w:szCs w:val="20"/>
              </w:rPr>
              <w:t>AEBT</w:t>
            </w:r>
            <w:r>
              <w:rPr>
                <w:rFonts w:cs="Times New Roman"/>
                <w:sz w:val="20"/>
                <w:szCs w:val="20"/>
              </w:rPr>
              <w:t>-TTM</w:t>
            </w:r>
          </w:p>
        </w:tc>
        <w:tc>
          <w:tcPr>
            <w:tcW w:w="2070" w:type="dxa"/>
            <w:tcBorders>
              <w:top w:val="single" w:sz="4" w:space="0" w:color="auto"/>
              <w:bottom w:val="single" w:sz="4" w:space="0" w:color="auto"/>
            </w:tcBorders>
            <w:vAlign w:val="center"/>
          </w:tcPr>
          <w:p w14:paraId="28E56734" w14:textId="77777777" w:rsidR="005F314F" w:rsidRPr="00962944" w:rsidRDefault="005F314F" w:rsidP="00F21646">
            <w:pPr>
              <w:widowControl w:val="0"/>
              <w:tabs>
                <w:tab w:val="decimal" w:pos="432"/>
              </w:tabs>
              <w:jc w:val="center"/>
              <w:rPr>
                <w:rFonts w:cs="Times New Roman"/>
                <w:sz w:val="20"/>
                <w:szCs w:val="20"/>
              </w:rPr>
            </w:pPr>
            <w:r w:rsidRPr="00962944">
              <w:rPr>
                <w:rFonts w:cs="Times New Roman"/>
                <w:sz w:val="20"/>
                <w:szCs w:val="20"/>
              </w:rPr>
              <w:t>PST</w:t>
            </w:r>
          </w:p>
        </w:tc>
        <w:tc>
          <w:tcPr>
            <w:tcW w:w="2160" w:type="dxa"/>
            <w:tcBorders>
              <w:top w:val="single" w:sz="4" w:space="0" w:color="auto"/>
              <w:bottom w:val="single" w:sz="4" w:space="0" w:color="auto"/>
            </w:tcBorders>
          </w:tcPr>
          <w:p w14:paraId="03B505B1" w14:textId="77777777" w:rsidR="005F314F" w:rsidRPr="00962944" w:rsidRDefault="005F314F" w:rsidP="00F21646">
            <w:pPr>
              <w:widowControl w:val="0"/>
              <w:tabs>
                <w:tab w:val="decimal" w:pos="252"/>
              </w:tabs>
              <w:jc w:val="center"/>
              <w:rPr>
                <w:rFonts w:cs="Times New Roman"/>
                <w:sz w:val="20"/>
                <w:szCs w:val="20"/>
              </w:rPr>
            </w:pPr>
            <w:r>
              <w:rPr>
                <w:rFonts w:cs="Times New Roman"/>
                <w:sz w:val="20"/>
                <w:szCs w:val="20"/>
              </w:rPr>
              <w:t>Mean</w:t>
            </w:r>
            <w:r w:rsidRPr="00962944">
              <w:rPr>
                <w:rFonts w:cs="Times New Roman"/>
                <w:sz w:val="20"/>
                <w:szCs w:val="20"/>
              </w:rPr>
              <w:t xml:space="preserve"> Difference or</w:t>
            </w:r>
          </w:p>
          <w:p w14:paraId="52A81BEF" w14:textId="77777777" w:rsidR="005F314F" w:rsidRPr="00962944" w:rsidRDefault="005F314F" w:rsidP="00F21646">
            <w:pPr>
              <w:widowControl w:val="0"/>
              <w:tabs>
                <w:tab w:val="decimal" w:pos="252"/>
              </w:tabs>
              <w:jc w:val="center"/>
              <w:rPr>
                <w:rFonts w:cs="Times New Roman"/>
                <w:sz w:val="20"/>
                <w:szCs w:val="20"/>
              </w:rPr>
            </w:pPr>
            <w:r w:rsidRPr="00962944">
              <w:rPr>
                <w:rFonts w:cs="Times New Roman"/>
                <w:sz w:val="20"/>
                <w:szCs w:val="20"/>
              </w:rPr>
              <w:t>% Change</w:t>
            </w:r>
          </w:p>
        </w:tc>
        <w:tc>
          <w:tcPr>
            <w:tcW w:w="3420" w:type="dxa"/>
            <w:tcBorders>
              <w:top w:val="single" w:sz="4" w:space="0" w:color="auto"/>
              <w:bottom w:val="single" w:sz="4" w:space="0" w:color="auto"/>
            </w:tcBorders>
          </w:tcPr>
          <w:p w14:paraId="1644885A" w14:textId="77777777" w:rsidR="005F314F" w:rsidRPr="00A359E2" w:rsidRDefault="005F314F" w:rsidP="00F21646">
            <w:pPr>
              <w:widowControl w:val="0"/>
              <w:tabs>
                <w:tab w:val="decimal" w:pos="162"/>
              </w:tabs>
              <w:jc w:val="center"/>
              <w:rPr>
                <w:rFonts w:cs="Times New Roman"/>
                <w:sz w:val="20"/>
                <w:szCs w:val="20"/>
                <w:vertAlign w:val="superscript"/>
              </w:rPr>
            </w:pPr>
            <w:r w:rsidRPr="00962944">
              <w:rPr>
                <w:rFonts w:cs="Times New Roman"/>
                <w:sz w:val="20"/>
                <w:szCs w:val="20"/>
              </w:rPr>
              <w:t xml:space="preserve">Effect </w:t>
            </w:r>
            <w:proofErr w:type="spellStart"/>
            <w:r w:rsidRPr="00962944">
              <w:rPr>
                <w:rFonts w:cs="Times New Roman"/>
                <w:sz w:val="20"/>
                <w:szCs w:val="20"/>
              </w:rPr>
              <w:t>Size</w:t>
            </w:r>
            <w:r w:rsidRPr="00A359E2">
              <w:rPr>
                <w:rFonts w:cs="Times New Roman"/>
                <w:sz w:val="20"/>
                <w:szCs w:val="20"/>
                <w:vertAlign w:val="superscript"/>
              </w:rPr>
              <w:t>c</w:t>
            </w:r>
            <w:proofErr w:type="spellEnd"/>
            <w:r>
              <w:rPr>
                <w:rFonts w:cs="Times New Roman"/>
                <w:sz w:val="20"/>
                <w:szCs w:val="20"/>
              </w:rPr>
              <w:t xml:space="preserve"> or </w:t>
            </w:r>
            <w:r>
              <w:rPr>
                <w:rFonts w:cs="Times New Roman"/>
                <w:sz w:val="20"/>
                <w:szCs w:val="20"/>
              </w:rPr>
              <w:br/>
            </w:r>
            <w:proofErr w:type="gramStart"/>
            <w:r>
              <w:rPr>
                <w:rFonts w:cs="Times New Roman"/>
                <w:sz w:val="20"/>
                <w:szCs w:val="20"/>
              </w:rPr>
              <w:t>NNT(</w:t>
            </w:r>
            <w:proofErr w:type="gramEnd"/>
            <w:r>
              <w:rPr>
                <w:rFonts w:cs="Times New Roman"/>
                <w:sz w:val="20"/>
                <w:szCs w:val="20"/>
              </w:rPr>
              <w:t>harm/benefit)</w:t>
            </w:r>
            <w:r>
              <w:rPr>
                <w:rFonts w:cs="Times New Roman"/>
                <w:sz w:val="20"/>
                <w:szCs w:val="20"/>
                <w:vertAlign w:val="superscript"/>
              </w:rPr>
              <w:t>d</w:t>
            </w:r>
          </w:p>
        </w:tc>
      </w:tr>
      <w:tr w:rsidR="005F314F" w:rsidRPr="00962944" w14:paraId="561A0347" w14:textId="77777777" w:rsidTr="00F21646">
        <w:tc>
          <w:tcPr>
            <w:tcW w:w="2538" w:type="dxa"/>
            <w:tcBorders>
              <w:top w:val="single" w:sz="4" w:space="0" w:color="auto"/>
            </w:tcBorders>
          </w:tcPr>
          <w:p w14:paraId="6529A7EB" w14:textId="77777777" w:rsidR="005F314F" w:rsidRPr="00962944" w:rsidRDefault="005F314F" w:rsidP="00F21646">
            <w:pPr>
              <w:widowControl w:val="0"/>
              <w:rPr>
                <w:rFonts w:cs="Times New Roman"/>
                <w:sz w:val="20"/>
                <w:szCs w:val="20"/>
              </w:rPr>
            </w:pPr>
            <w:r>
              <w:rPr>
                <w:rFonts w:cs="Times New Roman"/>
                <w:sz w:val="20"/>
                <w:szCs w:val="20"/>
              </w:rPr>
              <w:t xml:space="preserve">Responder </w:t>
            </w:r>
            <w:proofErr w:type="spellStart"/>
            <w:r>
              <w:rPr>
                <w:rFonts w:cs="Times New Roman"/>
                <w:sz w:val="20"/>
                <w:szCs w:val="20"/>
              </w:rPr>
              <w:t>Status</w:t>
            </w:r>
            <w:r>
              <w:rPr>
                <w:rFonts w:cs="Times New Roman"/>
                <w:sz w:val="20"/>
                <w:szCs w:val="20"/>
                <w:vertAlign w:val="superscript"/>
              </w:rPr>
              <w:t>a</w:t>
            </w:r>
            <w:proofErr w:type="spellEnd"/>
            <w:r>
              <w:rPr>
                <w:rFonts w:cs="Times New Roman"/>
                <w:sz w:val="20"/>
                <w:szCs w:val="20"/>
                <w:vertAlign w:val="superscript"/>
              </w:rPr>
              <w:t>, b</w:t>
            </w:r>
          </w:p>
        </w:tc>
        <w:tc>
          <w:tcPr>
            <w:tcW w:w="2160" w:type="dxa"/>
            <w:tcBorders>
              <w:top w:val="single" w:sz="4" w:space="0" w:color="auto"/>
            </w:tcBorders>
          </w:tcPr>
          <w:p w14:paraId="0A1BD3AB" w14:textId="77777777" w:rsidR="005F314F" w:rsidRPr="00962944" w:rsidRDefault="005F314F" w:rsidP="00F21646">
            <w:pPr>
              <w:widowControl w:val="0"/>
              <w:tabs>
                <w:tab w:val="decimal" w:pos="252"/>
              </w:tabs>
              <w:jc w:val="center"/>
              <w:rPr>
                <w:rFonts w:cs="Times New Roman"/>
                <w:sz w:val="20"/>
                <w:szCs w:val="20"/>
              </w:rPr>
            </w:pPr>
          </w:p>
        </w:tc>
        <w:tc>
          <w:tcPr>
            <w:tcW w:w="2070" w:type="dxa"/>
            <w:tcBorders>
              <w:top w:val="single" w:sz="4" w:space="0" w:color="auto"/>
            </w:tcBorders>
          </w:tcPr>
          <w:p w14:paraId="6893ECCF" w14:textId="77777777" w:rsidR="005F314F" w:rsidRPr="00962944" w:rsidRDefault="005F314F" w:rsidP="00F21646">
            <w:pPr>
              <w:widowControl w:val="0"/>
              <w:tabs>
                <w:tab w:val="decimal" w:pos="432"/>
              </w:tabs>
              <w:jc w:val="center"/>
              <w:rPr>
                <w:rFonts w:cs="Times New Roman"/>
                <w:sz w:val="20"/>
                <w:szCs w:val="20"/>
              </w:rPr>
            </w:pPr>
          </w:p>
        </w:tc>
        <w:tc>
          <w:tcPr>
            <w:tcW w:w="2160" w:type="dxa"/>
            <w:tcBorders>
              <w:top w:val="single" w:sz="4" w:space="0" w:color="auto"/>
            </w:tcBorders>
          </w:tcPr>
          <w:p w14:paraId="0DF0A90E" w14:textId="77777777" w:rsidR="005F314F" w:rsidRPr="00962944" w:rsidRDefault="005F314F" w:rsidP="00F21646">
            <w:pPr>
              <w:widowControl w:val="0"/>
              <w:tabs>
                <w:tab w:val="decimal" w:pos="252"/>
              </w:tabs>
              <w:jc w:val="center"/>
              <w:rPr>
                <w:rFonts w:cs="Times New Roman"/>
                <w:sz w:val="20"/>
                <w:szCs w:val="20"/>
              </w:rPr>
            </w:pPr>
          </w:p>
        </w:tc>
        <w:tc>
          <w:tcPr>
            <w:tcW w:w="3420" w:type="dxa"/>
            <w:tcBorders>
              <w:top w:val="single" w:sz="4" w:space="0" w:color="auto"/>
            </w:tcBorders>
          </w:tcPr>
          <w:p w14:paraId="6492281E" w14:textId="77777777" w:rsidR="005F314F" w:rsidRPr="00962944" w:rsidRDefault="005F314F" w:rsidP="00F21646">
            <w:pPr>
              <w:widowControl w:val="0"/>
              <w:tabs>
                <w:tab w:val="decimal" w:pos="162"/>
              </w:tabs>
              <w:jc w:val="center"/>
              <w:rPr>
                <w:rFonts w:cs="Times New Roman"/>
                <w:sz w:val="20"/>
                <w:szCs w:val="20"/>
              </w:rPr>
            </w:pPr>
          </w:p>
        </w:tc>
      </w:tr>
      <w:tr w:rsidR="005F314F" w:rsidRPr="00962944" w14:paraId="0BC8FBCD" w14:textId="77777777" w:rsidTr="00F21646">
        <w:tc>
          <w:tcPr>
            <w:tcW w:w="2538" w:type="dxa"/>
          </w:tcPr>
          <w:p w14:paraId="3EFCA8B7" w14:textId="77777777" w:rsidR="005F314F" w:rsidRPr="00962944" w:rsidRDefault="005F314F" w:rsidP="00F21646">
            <w:pPr>
              <w:widowControl w:val="0"/>
              <w:ind w:left="288"/>
              <w:rPr>
                <w:rFonts w:cs="Times New Roman"/>
                <w:sz w:val="20"/>
                <w:szCs w:val="20"/>
              </w:rPr>
            </w:pPr>
            <w:r w:rsidRPr="00962944">
              <w:rPr>
                <w:rFonts w:cs="Times New Roman"/>
                <w:sz w:val="20"/>
                <w:szCs w:val="20"/>
              </w:rPr>
              <w:t>Week 6</w:t>
            </w:r>
          </w:p>
        </w:tc>
        <w:tc>
          <w:tcPr>
            <w:tcW w:w="2160" w:type="dxa"/>
          </w:tcPr>
          <w:p w14:paraId="7DE139DC" w14:textId="77777777" w:rsidR="005F314F" w:rsidRPr="00962944" w:rsidRDefault="005F314F" w:rsidP="00F21646">
            <w:pPr>
              <w:widowControl w:val="0"/>
              <w:tabs>
                <w:tab w:val="decimal" w:pos="252"/>
              </w:tabs>
              <w:jc w:val="center"/>
              <w:rPr>
                <w:rFonts w:cs="Times New Roman"/>
                <w:sz w:val="20"/>
                <w:szCs w:val="20"/>
              </w:rPr>
            </w:pPr>
            <w:r>
              <w:rPr>
                <w:rFonts w:cs="Times New Roman"/>
                <w:sz w:val="20"/>
                <w:szCs w:val="20"/>
              </w:rPr>
              <w:t>48.10</w:t>
            </w:r>
            <w:r w:rsidRPr="00962944">
              <w:rPr>
                <w:rFonts w:cs="Times New Roman"/>
                <w:sz w:val="20"/>
                <w:szCs w:val="20"/>
              </w:rPr>
              <w:t xml:space="preserve"> (</w:t>
            </w:r>
            <w:r>
              <w:rPr>
                <w:rFonts w:cs="Times New Roman"/>
                <w:sz w:val="20"/>
                <w:szCs w:val="20"/>
              </w:rPr>
              <w:t>33.60</w:t>
            </w:r>
            <w:r w:rsidRPr="00962944">
              <w:rPr>
                <w:rFonts w:cs="Times New Roman"/>
                <w:sz w:val="20"/>
                <w:szCs w:val="20"/>
              </w:rPr>
              <w:t xml:space="preserve"> to </w:t>
            </w:r>
            <w:r>
              <w:rPr>
                <w:rFonts w:cs="Times New Roman"/>
                <w:sz w:val="20"/>
                <w:szCs w:val="20"/>
              </w:rPr>
              <w:t>62.93</w:t>
            </w:r>
            <w:r w:rsidRPr="00962944">
              <w:rPr>
                <w:rFonts w:cs="Times New Roman"/>
                <w:sz w:val="20"/>
                <w:szCs w:val="20"/>
              </w:rPr>
              <w:t>)</w:t>
            </w:r>
          </w:p>
        </w:tc>
        <w:tc>
          <w:tcPr>
            <w:tcW w:w="2070" w:type="dxa"/>
          </w:tcPr>
          <w:p w14:paraId="4475B4C4" w14:textId="77777777" w:rsidR="005F314F" w:rsidRPr="00962944" w:rsidRDefault="005F314F" w:rsidP="00F21646">
            <w:pPr>
              <w:widowControl w:val="0"/>
              <w:tabs>
                <w:tab w:val="decimal" w:pos="432"/>
              </w:tabs>
              <w:jc w:val="center"/>
              <w:rPr>
                <w:rFonts w:cs="Times New Roman"/>
                <w:sz w:val="20"/>
                <w:szCs w:val="20"/>
              </w:rPr>
            </w:pPr>
            <w:r>
              <w:rPr>
                <w:rFonts w:cs="Times New Roman"/>
                <w:sz w:val="20"/>
                <w:szCs w:val="20"/>
              </w:rPr>
              <w:t>27.67</w:t>
            </w:r>
            <w:r w:rsidRPr="00962944">
              <w:rPr>
                <w:rFonts w:cs="Times New Roman"/>
                <w:sz w:val="20"/>
                <w:szCs w:val="20"/>
              </w:rPr>
              <w:t xml:space="preserve"> (</w:t>
            </w:r>
            <w:r>
              <w:rPr>
                <w:rFonts w:cs="Times New Roman"/>
                <w:sz w:val="20"/>
                <w:szCs w:val="20"/>
              </w:rPr>
              <w:t>13.90</w:t>
            </w:r>
            <w:r w:rsidRPr="00962944">
              <w:rPr>
                <w:rFonts w:cs="Times New Roman"/>
                <w:sz w:val="20"/>
                <w:szCs w:val="20"/>
              </w:rPr>
              <w:t xml:space="preserve"> to </w:t>
            </w:r>
            <w:r>
              <w:rPr>
                <w:rFonts w:cs="Times New Roman"/>
                <w:sz w:val="20"/>
                <w:szCs w:val="20"/>
              </w:rPr>
              <w:t>47.53</w:t>
            </w:r>
            <w:r w:rsidRPr="00962944">
              <w:rPr>
                <w:rFonts w:cs="Times New Roman"/>
                <w:sz w:val="20"/>
                <w:szCs w:val="20"/>
              </w:rPr>
              <w:t>)</w:t>
            </w:r>
          </w:p>
        </w:tc>
        <w:tc>
          <w:tcPr>
            <w:tcW w:w="2160" w:type="dxa"/>
          </w:tcPr>
          <w:p w14:paraId="72A4A92E" w14:textId="77777777" w:rsidR="005F314F" w:rsidRPr="00962944" w:rsidRDefault="005F314F" w:rsidP="00F21646">
            <w:pPr>
              <w:widowControl w:val="0"/>
              <w:tabs>
                <w:tab w:val="decimal" w:pos="252"/>
              </w:tabs>
              <w:jc w:val="center"/>
              <w:rPr>
                <w:rFonts w:cs="Times New Roman"/>
                <w:sz w:val="20"/>
                <w:szCs w:val="20"/>
              </w:rPr>
            </w:pPr>
            <w:r>
              <w:rPr>
                <w:rFonts w:cs="Times New Roman"/>
                <w:sz w:val="20"/>
                <w:szCs w:val="20"/>
              </w:rPr>
              <w:t>20.43</w:t>
            </w:r>
            <w:r w:rsidRPr="00962944">
              <w:rPr>
                <w:rFonts w:cs="Times New Roman"/>
                <w:sz w:val="20"/>
                <w:szCs w:val="20"/>
              </w:rPr>
              <w:t xml:space="preserve"> </w:t>
            </w:r>
            <w:r>
              <w:rPr>
                <w:rFonts w:cs="Times New Roman"/>
                <w:sz w:val="20"/>
                <w:szCs w:val="20"/>
              </w:rPr>
              <w:t>(12.96 to 53.35)</w:t>
            </w:r>
          </w:p>
        </w:tc>
        <w:tc>
          <w:tcPr>
            <w:tcW w:w="3420" w:type="dxa"/>
            <w:vAlign w:val="center"/>
          </w:tcPr>
          <w:p w14:paraId="31FB2BB8" w14:textId="77777777" w:rsidR="005F314F" w:rsidRPr="00962944" w:rsidRDefault="005F314F" w:rsidP="00F21646">
            <w:pPr>
              <w:widowControl w:val="0"/>
              <w:tabs>
                <w:tab w:val="decimal" w:pos="162"/>
              </w:tabs>
              <w:jc w:val="center"/>
              <w:rPr>
                <w:rFonts w:cs="Times New Roman"/>
                <w:sz w:val="20"/>
                <w:szCs w:val="20"/>
              </w:rPr>
            </w:pPr>
            <w:r>
              <w:rPr>
                <w:rFonts w:cs="Times New Roman"/>
                <w:sz w:val="20"/>
                <w:szCs w:val="20"/>
              </w:rPr>
              <w:t>3.4</w:t>
            </w:r>
            <w:r w:rsidRPr="008A7B88">
              <w:rPr>
                <w:rFonts w:cs="Times New Roman"/>
                <w:sz w:val="20"/>
                <w:szCs w:val="20"/>
              </w:rPr>
              <w:t xml:space="preserve"> (</w:t>
            </w:r>
            <w:r>
              <w:rPr>
                <w:rFonts w:cs="Times New Roman"/>
                <w:sz w:val="20"/>
                <w:szCs w:val="20"/>
              </w:rPr>
              <w:t>1.8 to 7.7</w:t>
            </w:r>
            <w:r w:rsidRPr="008A7B88">
              <w:rPr>
                <w:rFonts w:cs="Times New Roman"/>
                <w:sz w:val="20"/>
                <w:szCs w:val="20"/>
              </w:rPr>
              <w:t>)</w:t>
            </w:r>
          </w:p>
        </w:tc>
      </w:tr>
      <w:tr w:rsidR="005F314F" w:rsidRPr="00962944" w14:paraId="44AF3B97" w14:textId="77777777" w:rsidTr="00F21646">
        <w:tc>
          <w:tcPr>
            <w:tcW w:w="2538" w:type="dxa"/>
          </w:tcPr>
          <w:p w14:paraId="3870A5AA" w14:textId="77777777" w:rsidR="005F314F" w:rsidRPr="00B433AE" w:rsidRDefault="005F314F" w:rsidP="00F21646">
            <w:pPr>
              <w:widowControl w:val="0"/>
              <w:ind w:left="288"/>
              <w:rPr>
                <w:rFonts w:cs="Times New Roman"/>
                <w:b/>
                <w:sz w:val="20"/>
                <w:szCs w:val="20"/>
              </w:rPr>
            </w:pPr>
            <w:r w:rsidRPr="00B433AE">
              <w:rPr>
                <w:rFonts w:cs="Times New Roman"/>
                <w:b/>
                <w:sz w:val="20"/>
                <w:szCs w:val="20"/>
              </w:rPr>
              <w:t>Week 12</w:t>
            </w:r>
          </w:p>
        </w:tc>
        <w:tc>
          <w:tcPr>
            <w:tcW w:w="2160" w:type="dxa"/>
          </w:tcPr>
          <w:p w14:paraId="54903B74" w14:textId="77777777" w:rsidR="005F314F" w:rsidRPr="00B433AE" w:rsidRDefault="005F314F" w:rsidP="00F21646">
            <w:pPr>
              <w:widowControl w:val="0"/>
              <w:tabs>
                <w:tab w:val="decimal" w:pos="252"/>
              </w:tabs>
              <w:jc w:val="center"/>
              <w:rPr>
                <w:rFonts w:cs="Times New Roman"/>
                <w:b/>
                <w:sz w:val="20"/>
                <w:szCs w:val="20"/>
              </w:rPr>
            </w:pPr>
            <w:r w:rsidRPr="00B433AE">
              <w:rPr>
                <w:rFonts w:cs="Times New Roman"/>
                <w:b/>
                <w:sz w:val="20"/>
                <w:szCs w:val="20"/>
              </w:rPr>
              <w:t>64.</w:t>
            </w:r>
            <w:r>
              <w:rPr>
                <w:rFonts w:cs="Times New Roman"/>
                <w:b/>
                <w:sz w:val="20"/>
                <w:szCs w:val="20"/>
              </w:rPr>
              <w:t>17</w:t>
            </w:r>
            <w:r w:rsidRPr="00B433AE">
              <w:rPr>
                <w:rFonts w:cs="Times New Roman"/>
                <w:b/>
                <w:sz w:val="20"/>
                <w:szCs w:val="20"/>
              </w:rPr>
              <w:t xml:space="preserve"> (</w:t>
            </w:r>
            <w:r>
              <w:rPr>
                <w:rFonts w:cs="Times New Roman"/>
                <w:b/>
                <w:sz w:val="20"/>
                <w:szCs w:val="20"/>
              </w:rPr>
              <w:t>48</w:t>
            </w:r>
            <w:r w:rsidRPr="00B433AE">
              <w:rPr>
                <w:rFonts w:cs="Times New Roman"/>
                <w:b/>
                <w:sz w:val="20"/>
                <w:szCs w:val="20"/>
              </w:rPr>
              <w:t>.</w:t>
            </w:r>
            <w:r>
              <w:rPr>
                <w:rFonts w:cs="Times New Roman"/>
                <w:b/>
                <w:sz w:val="20"/>
                <w:szCs w:val="20"/>
              </w:rPr>
              <w:t>05</w:t>
            </w:r>
            <w:r w:rsidRPr="00B433AE">
              <w:rPr>
                <w:rFonts w:cs="Times New Roman"/>
                <w:b/>
                <w:sz w:val="20"/>
                <w:szCs w:val="20"/>
              </w:rPr>
              <w:t xml:space="preserve"> to </w:t>
            </w:r>
            <w:r>
              <w:rPr>
                <w:rFonts w:cs="Times New Roman"/>
                <w:b/>
                <w:sz w:val="20"/>
                <w:szCs w:val="20"/>
              </w:rPr>
              <w:t>77.62</w:t>
            </w:r>
            <w:r w:rsidRPr="00B433AE">
              <w:rPr>
                <w:rFonts w:cs="Times New Roman"/>
                <w:b/>
                <w:sz w:val="20"/>
                <w:szCs w:val="20"/>
              </w:rPr>
              <w:t>)</w:t>
            </w:r>
          </w:p>
        </w:tc>
        <w:tc>
          <w:tcPr>
            <w:tcW w:w="2070" w:type="dxa"/>
          </w:tcPr>
          <w:p w14:paraId="3C45C308" w14:textId="77777777" w:rsidR="005F314F" w:rsidRPr="00B433AE" w:rsidRDefault="005F314F" w:rsidP="00F21646">
            <w:pPr>
              <w:widowControl w:val="0"/>
              <w:tabs>
                <w:tab w:val="decimal" w:pos="432"/>
              </w:tabs>
              <w:jc w:val="center"/>
              <w:rPr>
                <w:rFonts w:cs="Times New Roman"/>
                <w:b/>
                <w:sz w:val="20"/>
                <w:szCs w:val="20"/>
              </w:rPr>
            </w:pPr>
            <w:r w:rsidRPr="00B433AE">
              <w:rPr>
                <w:rFonts w:cs="Times New Roman"/>
                <w:b/>
                <w:sz w:val="20"/>
                <w:szCs w:val="20"/>
              </w:rPr>
              <w:t>3</w:t>
            </w:r>
            <w:r>
              <w:rPr>
                <w:rFonts w:cs="Times New Roman"/>
                <w:b/>
                <w:sz w:val="20"/>
                <w:szCs w:val="20"/>
              </w:rPr>
              <w:t>7</w:t>
            </w:r>
            <w:r w:rsidRPr="00B433AE">
              <w:rPr>
                <w:rFonts w:cs="Times New Roman"/>
                <w:b/>
                <w:sz w:val="20"/>
                <w:szCs w:val="20"/>
              </w:rPr>
              <w:t>.</w:t>
            </w:r>
            <w:r>
              <w:rPr>
                <w:rFonts w:cs="Times New Roman"/>
                <w:b/>
                <w:sz w:val="20"/>
                <w:szCs w:val="20"/>
              </w:rPr>
              <w:t>68</w:t>
            </w:r>
            <w:r w:rsidRPr="00B433AE">
              <w:rPr>
                <w:rFonts w:cs="Times New Roman"/>
                <w:b/>
                <w:sz w:val="20"/>
                <w:szCs w:val="20"/>
              </w:rPr>
              <w:t xml:space="preserve"> (2</w:t>
            </w:r>
            <w:r>
              <w:rPr>
                <w:rFonts w:cs="Times New Roman"/>
                <w:b/>
                <w:sz w:val="20"/>
                <w:szCs w:val="20"/>
              </w:rPr>
              <w:t>3</w:t>
            </w:r>
            <w:r w:rsidRPr="00B433AE">
              <w:rPr>
                <w:rFonts w:cs="Times New Roman"/>
                <w:b/>
                <w:sz w:val="20"/>
                <w:szCs w:val="20"/>
              </w:rPr>
              <w:t>.</w:t>
            </w:r>
            <w:r>
              <w:rPr>
                <w:rFonts w:cs="Times New Roman"/>
                <w:b/>
                <w:sz w:val="20"/>
                <w:szCs w:val="20"/>
              </w:rPr>
              <w:t>60</w:t>
            </w:r>
            <w:r w:rsidRPr="00B433AE">
              <w:rPr>
                <w:rFonts w:cs="Times New Roman"/>
                <w:b/>
                <w:sz w:val="20"/>
                <w:szCs w:val="20"/>
              </w:rPr>
              <w:t xml:space="preserve"> to 5</w:t>
            </w:r>
            <w:r>
              <w:rPr>
                <w:rFonts w:cs="Times New Roman"/>
                <w:b/>
                <w:sz w:val="20"/>
                <w:szCs w:val="20"/>
              </w:rPr>
              <w:t>4</w:t>
            </w:r>
            <w:r w:rsidRPr="00B433AE">
              <w:rPr>
                <w:rFonts w:cs="Times New Roman"/>
                <w:b/>
                <w:sz w:val="20"/>
                <w:szCs w:val="20"/>
              </w:rPr>
              <w:t>.</w:t>
            </w:r>
            <w:r>
              <w:rPr>
                <w:rFonts w:cs="Times New Roman"/>
                <w:b/>
                <w:sz w:val="20"/>
                <w:szCs w:val="20"/>
              </w:rPr>
              <w:t>21</w:t>
            </w:r>
            <w:r w:rsidRPr="00B433AE">
              <w:rPr>
                <w:rFonts w:cs="Times New Roman"/>
                <w:b/>
                <w:sz w:val="20"/>
                <w:szCs w:val="20"/>
              </w:rPr>
              <w:t>)</w:t>
            </w:r>
          </w:p>
        </w:tc>
        <w:tc>
          <w:tcPr>
            <w:tcW w:w="2160" w:type="dxa"/>
          </w:tcPr>
          <w:p w14:paraId="5B57E757" w14:textId="77777777" w:rsidR="005F314F" w:rsidRPr="00B433AE" w:rsidRDefault="005F314F" w:rsidP="00F21646">
            <w:pPr>
              <w:widowControl w:val="0"/>
              <w:tabs>
                <w:tab w:val="decimal" w:pos="252"/>
              </w:tabs>
              <w:jc w:val="center"/>
              <w:rPr>
                <w:rFonts w:cs="Times New Roman"/>
                <w:b/>
                <w:sz w:val="20"/>
                <w:szCs w:val="20"/>
              </w:rPr>
            </w:pPr>
            <w:r>
              <w:rPr>
                <w:rFonts w:cs="Times New Roman"/>
                <w:b/>
                <w:sz w:val="20"/>
                <w:szCs w:val="20"/>
              </w:rPr>
              <w:t>26.49</w:t>
            </w:r>
            <w:r w:rsidRPr="00B433AE">
              <w:rPr>
                <w:rFonts w:cs="Times New Roman"/>
                <w:b/>
                <w:sz w:val="20"/>
                <w:szCs w:val="20"/>
              </w:rPr>
              <w:t xml:space="preserve"> (</w:t>
            </w:r>
            <w:r>
              <w:rPr>
                <w:rFonts w:cs="Times New Roman"/>
                <w:b/>
                <w:sz w:val="20"/>
                <w:szCs w:val="20"/>
              </w:rPr>
              <w:t>12.02</w:t>
            </w:r>
            <w:r w:rsidRPr="00B433AE">
              <w:rPr>
                <w:rFonts w:cs="Times New Roman"/>
                <w:b/>
                <w:sz w:val="20"/>
                <w:szCs w:val="20"/>
              </w:rPr>
              <w:t xml:space="preserve"> to 4</w:t>
            </w:r>
            <w:r>
              <w:rPr>
                <w:rFonts w:cs="Times New Roman"/>
                <w:b/>
                <w:sz w:val="20"/>
                <w:szCs w:val="20"/>
              </w:rPr>
              <w:t>5</w:t>
            </w:r>
            <w:r w:rsidRPr="00B433AE">
              <w:rPr>
                <w:rFonts w:cs="Times New Roman"/>
                <w:b/>
                <w:sz w:val="20"/>
                <w:szCs w:val="20"/>
              </w:rPr>
              <w:t>.</w:t>
            </w:r>
            <w:r>
              <w:rPr>
                <w:rFonts w:cs="Times New Roman"/>
                <w:b/>
                <w:sz w:val="20"/>
                <w:szCs w:val="20"/>
              </w:rPr>
              <w:t>47</w:t>
            </w:r>
            <w:r w:rsidRPr="00B433AE">
              <w:rPr>
                <w:rFonts w:cs="Times New Roman"/>
                <w:b/>
                <w:sz w:val="20"/>
                <w:szCs w:val="20"/>
              </w:rPr>
              <w:t>)</w:t>
            </w:r>
          </w:p>
        </w:tc>
        <w:tc>
          <w:tcPr>
            <w:tcW w:w="3420" w:type="dxa"/>
          </w:tcPr>
          <w:p w14:paraId="5652E1DA" w14:textId="77777777" w:rsidR="005F314F" w:rsidRPr="00B433AE" w:rsidRDefault="005F314F" w:rsidP="00F21646">
            <w:pPr>
              <w:widowControl w:val="0"/>
              <w:tabs>
                <w:tab w:val="decimal" w:pos="162"/>
              </w:tabs>
              <w:jc w:val="center"/>
              <w:rPr>
                <w:rFonts w:cs="Times New Roman"/>
                <w:b/>
                <w:sz w:val="20"/>
                <w:szCs w:val="20"/>
              </w:rPr>
            </w:pPr>
            <w:r>
              <w:rPr>
                <w:rFonts w:cs="Times New Roman"/>
                <w:b/>
                <w:sz w:val="20"/>
                <w:szCs w:val="20"/>
              </w:rPr>
              <w:t>4.0</w:t>
            </w:r>
            <w:r w:rsidRPr="00B433AE">
              <w:rPr>
                <w:rFonts w:cs="Times New Roman"/>
                <w:b/>
                <w:sz w:val="20"/>
                <w:szCs w:val="20"/>
              </w:rPr>
              <w:t xml:space="preserve"> (2.2 to </w:t>
            </w:r>
            <w:r>
              <w:rPr>
                <w:rFonts w:cs="Times New Roman"/>
                <w:b/>
                <w:sz w:val="20"/>
                <w:szCs w:val="20"/>
              </w:rPr>
              <w:t>8.3</w:t>
            </w:r>
            <w:r w:rsidRPr="00B433AE">
              <w:rPr>
                <w:rFonts w:cs="Times New Roman"/>
                <w:b/>
                <w:sz w:val="20"/>
                <w:szCs w:val="20"/>
              </w:rPr>
              <w:t>)</w:t>
            </w:r>
          </w:p>
        </w:tc>
      </w:tr>
      <w:tr w:rsidR="005F314F" w:rsidRPr="00962944" w14:paraId="684C3DD7" w14:textId="77777777" w:rsidTr="00F21646">
        <w:tc>
          <w:tcPr>
            <w:tcW w:w="2538" w:type="dxa"/>
          </w:tcPr>
          <w:p w14:paraId="118DF011" w14:textId="77777777" w:rsidR="005F314F" w:rsidRPr="00962944" w:rsidRDefault="005F314F" w:rsidP="00F21646">
            <w:pPr>
              <w:widowControl w:val="0"/>
              <w:rPr>
                <w:rFonts w:cs="Times New Roman"/>
                <w:sz w:val="20"/>
                <w:szCs w:val="20"/>
              </w:rPr>
            </w:pPr>
            <w:r>
              <w:rPr>
                <w:rFonts w:cs="Times New Roman"/>
                <w:sz w:val="20"/>
                <w:szCs w:val="20"/>
              </w:rPr>
              <w:t xml:space="preserve">Trichotillomania </w:t>
            </w:r>
            <w:proofErr w:type="spellStart"/>
            <w:r>
              <w:rPr>
                <w:rFonts w:cs="Times New Roman"/>
                <w:sz w:val="20"/>
                <w:szCs w:val="20"/>
              </w:rPr>
              <w:t>Diagnosis</w:t>
            </w:r>
            <w:r>
              <w:rPr>
                <w:rFonts w:cs="Times New Roman"/>
                <w:sz w:val="20"/>
                <w:szCs w:val="20"/>
                <w:vertAlign w:val="superscript"/>
              </w:rPr>
              <w:t>b</w:t>
            </w:r>
            <w:proofErr w:type="spellEnd"/>
          </w:p>
        </w:tc>
        <w:tc>
          <w:tcPr>
            <w:tcW w:w="2160" w:type="dxa"/>
          </w:tcPr>
          <w:p w14:paraId="0D3F7859" w14:textId="77777777" w:rsidR="005F314F" w:rsidRPr="00962944" w:rsidRDefault="005F314F" w:rsidP="00F21646">
            <w:pPr>
              <w:widowControl w:val="0"/>
              <w:tabs>
                <w:tab w:val="decimal" w:pos="252"/>
              </w:tabs>
              <w:jc w:val="center"/>
              <w:rPr>
                <w:rFonts w:cs="Times New Roman"/>
                <w:sz w:val="20"/>
                <w:szCs w:val="20"/>
              </w:rPr>
            </w:pPr>
          </w:p>
        </w:tc>
        <w:tc>
          <w:tcPr>
            <w:tcW w:w="2070" w:type="dxa"/>
          </w:tcPr>
          <w:p w14:paraId="56F89C56" w14:textId="77777777" w:rsidR="005F314F" w:rsidRPr="00962944" w:rsidRDefault="005F314F" w:rsidP="00F21646">
            <w:pPr>
              <w:widowControl w:val="0"/>
              <w:tabs>
                <w:tab w:val="decimal" w:pos="432"/>
              </w:tabs>
              <w:jc w:val="center"/>
              <w:rPr>
                <w:rFonts w:cs="Times New Roman"/>
                <w:sz w:val="20"/>
                <w:szCs w:val="20"/>
              </w:rPr>
            </w:pPr>
          </w:p>
        </w:tc>
        <w:tc>
          <w:tcPr>
            <w:tcW w:w="2160" w:type="dxa"/>
          </w:tcPr>
          <w:p w14:paraId="1A927D51" w14:textId="77777777" w:rsidR="005F314F" w:rsidRPr="00962944" w:rsidRDefault="005F314F" w:rsidP="00F21646">
            <w:pPr>
              <w:widowControl w:val="0"/>
              <w:tabs>
                <w:tab w:val="decimal" w:pos="252"/>
              </w:tabs>
              <w:jc w:val="center"/>
              <w:rPr>
                <w:rFonts w:cs="Times New Roman"/>
                <w:sz w:val="20"/>
                <w:szCs w:val="20"/>
              </w:rPr>
            </w:pPr>
          </w:p>
        </w:tc>
        <w:tc>
          <w:tcPr>
            <w:tcW w:w="3420" w:type="dxa"/>
          </w:tcPr>
          <w:p w14:paraId="00DE3963" w14:textId="77777777" w:rsidR="005F314F" w:rsidRPr="00962944" w:rsidRDefault="005F314F" w:rsidP="00F21646">
            <w:pPr>
              <w:widowControl w:val="0"/>
              <w:tabs>
                <w:tab w:val="decimal" w:pos="162"/>
              </w:tabs>
              <w:jc w:val="center"/>
              <w:rPr>
                <w:rFonts w:cs="Times New Roman"/>
                <w:sz w:val="20"/>
                <w:szCs w:val="20"/>
              </w:rPr>
            </w:pPr>
          </w:p>
        </w:tc>
      </w:tr>
      <w:tr w:rsidR="005F314F" w:rsidRPr="00962944" w14:paraId="6830A780" w14:textId="77777777" w:rsidTr="00F21646">
        <w:tc>
          <w:tcPr>
            <w:tcW w:w="2538" w:type="dxa"/>
            <w:vAlign w:val="center"/>
          </w:tcPr>
          <w:p w14:paraId="4FED47C2" w14:textId="77777777" w:rsidR="005F314F" w:rsidRPr="00962944" w:rsidRDefault="005F314F" w:rsidP="00F21646">
            <w:pPr>
              <w:widowControl w:val="0"/>
              <w:ind w:left="288"/>
              <w:rPr>
                <w:rFonts w:cs="Times New Roman"/>
                <w:sz w:val="20"/>
                <w:szCs w:val="20"/>
              </w:rPr>
            </w:pPr>
            <w:r w:rsidRPr="00962944">
              <w:rPr>
                <w:rFonts w:cs="Times New Roman"/>
                <w:sz w:val="20"/>
                <w:szCs w:val="20"/>
              </w:rPr>
              <w:t>Week 6</w:t>
            </w:r>
          </w:p>
        </w:tc>
        <w:tc>
          <w:tcPr>
            <w:tcW w:w="2160" w:type="dxa"/>
            <w:vAlign w:val="center"/>
          </w:tcPr>
          <w:p w14:paraId="5CE6BCEF" w14:textId="77777777" w:rsidR="005F314F" w:rsidRPr="00962944" w:rsidRDefault="005F314F" w:rsidP="00F21646">
            <w:pPr>
              <w:widowControl w:val="0"/>
              <w:tabs>
                <w:tab w:val="decimal" w:pos="252"/>
              </w:tabs>
              <w:jc w:val="center"/>
              <w:rPr>
                <w:rFonts w:cs="Times New Roman"/>
                <w:sz w:val="20"/>
                <w:szCs w:val="20"/>
              </w:rPr>
            </w:pPr>
            <w:r>
              <w:rPr>
                <w:rFonts w:cs="Times New Roman"/>
                <w:sz w:val="20"/>
                <w:szCs w:val="20"/>
              </w:rPr>
              <w:t>53.52 (37.00 to 69.31)</w:t>
            </w:r>
          </w:p>
        </w:tc>
        <w:tc>
          <w:tcPr>
            <w:tcW w:w="2070" w:type="dxa"/>
            <w:vAlign w:val="center"/>
          </w:tcPr>
          <w:p w14:paraId="1AEB0667" w14:textId="77777777" w:rsidR="005F314F" w:rsidRPr="00962944" w:rsidRDefault="005F314F" w:rsidP="00F21646">
            <w:pPr>
              <w:widowControl w:val="0"/>
              <w:tabs>
                <w:tab w:val="decimal" w:pos="432"/>
              </w:tabs>
              <w:jc w:val="center"/>
              <w:rPr>
                <w:rFonts w:cs="Times New Roman"/>
                <w:sz w:val="20"/>
                <w:szCs w:val="20"/>
              </w:rPr>
            </w:pPr>
            <w:r>
              <w:rPr>
                <w:rFonts w:cs="Times New Roman"/>
                <w:sz w:val="20"/>
                <w:szCs w:val="20"/>
              </w:rPr>
              <w:t>69.94 (48.35 to 85.26)</w:t>
            </w:r>
          </w:p>
        </w:tc>
        <w:tc>
          <w:tcPr>
            <w:tcW w:w="2160" w:type="dxa"/>
            <w:vAlign w:val="center"/>
          </w:tcPr>
          <w:p w14:paraId="45614E45" w14:textId="77777777" w:rsidR="005F314F" w:rsidRPr="00962944" w:rsidRDefault="005F314F" w:rsidP="00F21646">
            <w:pPr>
              <w:widowControl w:val="0"/>
              <w:tabs>
                <w:tab w:val="decimal" w:pos="252"/>
              </w:tabs>
              <w:jc w:val="center"/>
              <w:rPr>
                <w:rFonts w:cs="Times New Roman"/>
                <w:sz w:val="20"/>
                <w:szCs w:val="20"/>
              </w:rPr>
            </w:pPr>
            <w:r>
              <w:rPr>
                <w:rFonts w:cs="Times New Roman"/>
                <w:sz w:val="20"/>
                <w:szCs w:val="20"/>
              </w:rPr>
              <w:t>16.48 (-8.45 to 41.41)</w:t>
            </w:r>
          </w:p>
        </w:tc>
        <w:tc>
          <w:tcPr>
            <w:tcW w:w="3420" w:type="dxa"/>
            <w:vAlign w:val="center"/>
          </w:tcPr>
          <w:p w14:paraId="41049764" w14:textId="77777777" w:rsidR="005F314F" w:rsidRPr="00962944" w:rsidRDefault="005F314F" w:rsidP="00F21646">
            <w:pPr>
              <w:widowControl w:val="0"/>
              <w:tabs>
                <w:tab w:val="decimal" w:pos="162"/>
              </w:tabs>
              <w:jc w:val="center"/>
              <w:rPr>
                <w:rFonts w:cs="Times New Roman"/>
                <w:sz w:val="20"/>
                <w:szCs w:val="20"/>
              </w:rPr>
            </w:pPr>
            <w:r w:rsidRPr="008A7B88">
              <w:rPr>
                <w:rFonts w:cs="Times New Roman"/>
                <w:sz w:val="20"/>
                <w:szCs w:val="20"/>
              </w:rPr>
              <w:t>6.</w:t>
            </w:r>
            <w:r>
              <w:rPr>
                <w:rFonts w:cs="Times New Roman"/>
                <w:sz w:val="20"/>
                <w:szCs w:val="20"/>
              </w:rPr>
              <w:t>1</w:t>
            </w:r>
            <w:r w:rsidRPr="008A7B88">
              <w:rPr>
                <w:rFonts w:cs="Times New Roman"/>
                <w:sz w:val="20"/>
                <w:szCs w:val="20"/>
              </w:rPr>
              <w:t xml:space="preserve"> (NNTH </w:t>
            </w:r>
            <w:r>
              <w:rPr>
                <w:rFonts w:cs="Times New Roman"/>
                <w:sz w:val="20"/>
                <w:szCs w:val="20"/>
              </w:rPr>
              <w:t>11.8</w:t>
            </w:r>
            <w:r w:rsidRPr="008A7B88">
              <w:rPr>
                <w:rFonts w:cs="Times New Roman"/>
                <w:sz w:val="20"/>
                <w:szCs w:val="20"/>
              </w:rPr>
              <w:t xml:space="preserve"> to </w:t>
            </w:r>
            <w:r w:rsidRPr="008A7B88">
              <w:rPr>
                <w:rFonts w:cs="Times New Roman"/>
                <w:sz w:val="18"/>
                <w:szCs w:val="18"/>
              </w:rPr>
              <w:t>∞</w:t>
            </w:r>
            <w:r w:rsidRPr="008A7B88">
              <w:rPr>
                <w:rFonts w:cs="Times New Roman"/>
                <w:sz w:val="20"/>
                <w:szCs w:val="20"/>
              </w:rPr>
              <w:t xml:space="preserve"> to NNTB 2.</w:t>
            </w:r>
            <w:r>
              <w:rPr>
                <w:rFonts w:cs="Times New Roman"/>
                <w:sz w:val="20"/>
                <w:szCs w:val="20"/>
              </w:rPr>
              <w:t>4</w:t>
            </w:r>
            <w:r w:rsidRPr="008A7B88">
              <w:rPr>
                <w:rFonts w:cs="Times New Roman"/>
                <w:sz w:val="20"/>
                <w:szCs w:val="20"/>
              </w:rPr>
              <w:t>)</w:t>
            </w:r>
          </w:p>
        </w:tc>
      </w:tr>
      <w:tr w:rsidR="005F314F" w:rsidRPr="00962944" w14:paraId="32697185" w14:textId="77777777" w:rsidTr="00F21646">
        <w:tc>
          <w:tcPr>
            <w:tcW w:w="2538" w:type="dxa"/>
          </w:tcPr>
          <w:p w14:paraId="2D96C0FA" w14:textId="77777777" w:rsidR="005F314F" w:rsidRPr="00962944" w:rsidRDefault="005F314F" w:rsidP="00F21646">
            <w:pPr>
              <w:widowControl w:val="0"/>
              <w:ind w:left="288"/>
              <w:rPr>
                <w:rFonts w:cs="Times New Roman"/>
                <w:sz w:val="20"/>
                <w:szCs w:val="20"/>
              </w:rPr>
            </w:pPr>
            <w:r w:rsidRPr="00962944">
              <w:rPr>
                <w:rFonts w:cs="Times New Roman"/>
                <w:sz w:val="20"/>
                <w:szCs w:val="20"/>
              </w:rPr>
              <w:t>Week 12</w:t>
            </w:r>
          </w:p>
        </w:tc>
        <w:tc>
          <w:tcPr>
            <w:tcW w:w="2160" w:type="dxa"/>
          </w:tcPr>
          <w:p w14:paraId="0B760ABE" w14:textId="77777777" w:rsidR="005F314F" w:rsidRPr="00962944" w:rsidRDefault="005F314F" w:rsidP="00F21646">
            <w:pPr>
              <w:widowControl w:val="0"/>
              <w:tabs>
                <w:tab w:val="decimal" w:pos="252"/>
              </w:tabs>
              <w:jc w:val="center"/>
              <w:rPr>
                <w:rFonts w:cs="Times New Roman"/>
                <w:sz w:val="20"/>
                <w:szCs w:val="20"/>
              </w:rPr>
            </w:pPr>
            <w:r>
              <w:rPr>
                <w:rFonts w:cs="Times New Roman"/>
                <w:sz w:val="20"/>
                <w:szCs w:val="20"/>
              </w:rPr>
              <w:t>40.42 (18.67 to 66.73)</w:t>
            </w:r>
          </w:p>
        </w:tc>
        <w:tc>
          <w:tcPr>
            <w:tcW w:w="2070" w:type="dxa"/>
          </w:tcPr>
          <w:p w14:paraId="4A86DF48" w14:textId="77777777" w:rsidR="005F314F" w:rsidRPr="00962944" w:rsidRDefault="005F314F" w:rsidP="00F21646">
            <w:pPr>
              <w:widowControl w:val="0"/>
              <w:tabs>
                <w:tab w:val="decimal" w:pos="432"/>
              </w:tabs>
              <w:jc w:val="center"/>
              <w:rPr>
                <w:rFonts w:cs="Times New Roman"/>
                <w:sz w:val="20"/>
                <w:szCs w:val="20"/>
              </w:rPr>
            </w:pPr>
            <w:r>
              <w:rPr>
                <w:rFonts w:cs="Times New Roman"/>
                <w:sz w:val="20"/>
                <w:szCs w:val="20"/>
              </w:rPr>
              <w:t>49.19 (24.47 to 74.31)</w:t>
            </w:r>
          </w:p>
        </w:tc>
        <w:tc>
          <w:tcPr>
            <w:tcW w:w="2160" w:type="dxa"/>
          </w:tcPr>
          <w:p w14:paraId="3330B934" w14:textId="77777777" w:rsidR="005F314F" w:rsidRPr="00962944" w:rsidRDefault="005F314F" w:rsidP="00F21646">
            <w:pPr>
              <w:widowControl w:val="0"/>
              <w:tabs>
                <w:tab w:val="decimal" w:pos="252"/>
              </w:tabs>
              <w:jc w:val="center"/>
              <w:rPr>
                <w:rFonts w:cs="Times New Roman"/>
                <w:sz w:val="20"/>
                <w:szCs w:val="20"/>
              </w:rPr>
            </w:pPr>
            <w:r>
              <w:rPr>
                <w:rFonts w:cs="Times New Roman"/>
                <w:sz w:val="20"/>
                <w:szCs w:val="20"/>
              </w:rPr>
              <w:t>8.76 (-17.78 to 35.31)</w:t>
            </w:r>
          </w:p>
        </w:tc>
        <w:tc>
          <w:tcPr>
            <w:tcW w:w="3420" w:type="dxa"/>
          </w:tcPr>
          <w:p w14:paraId="6F3DD6E1" w14:textId="77777777" w:rsidR="005F314F" w:rsidRPr="00962944" w:rsidRDefault="005F314F" w:rsidP="00F21646">
            <w:pPr>
              <w:widowControl w:val="0"/>
              <w:tabs>
                <w:tab w:val="decimal" w:pos="162"/>
              </w:tabs>
              <w:jc w:val="center"/>
              <w:rPr>
                <w:rFonts w:cs="Times New Roman"/>
                <w:sz w:val="20"/>
                <w:szCs w:val="20"/>
              </w:rPr>
            </w:pPr>
            <w:r>
              <w:rPr>
                <w:rFonts w:cs="Times New Roman"/>
                <w:sz w:val="20"/>
                <w:szCs w:val="20"/>
              </w:rPr>
              <w:t xml:space="preserve">11.4 (NNTH 5.6 </w:t>
            </w:r>
            <w:r w:rsidRPr="008A7B88">
              <w:rPr>
                <w:rFonts w:cs="Times New Roman"/>
                <w:sz w:val="20"/>
                <w:szCs w:val="20"/>
              </w:rPr>
              <w:t xml:space="preserve">to </w:t>
            </w:r>
            <w:r w:rsidRPr="008A7B88">
              <w:rPr>
                <w:rFonts w:cs="Times New Roman"/>
                <w:sz w:val="18"/>
                <w:szCs w:val="18"/>
              </w:rPr>
              <w:t>∞</w:t>
            </w:r>
            <w:r w:rsidRPr="008A7B88">
              <w:rPr>
                <w:rFonts w:cs="Times New Roman"/>
                <w:sz w:val="20"/>
                <w:szCs w:val="20"/>
              </w:rPr>
              <w:t xml:space="preserve"> to NNTB </w:t>
            </w:r>
            <w:r>
              <w:rPr>
                <w:rFonts w:cs="Times New Roman"/>
                <w:sz w:val="20"/>
                <w:szCs w:val="20"/>
              </w:rPr>
              <w:t>2.8</w:t>
            </w:r>
            <w:r w:rsidRPr="008A7B88">
              <w:rPr>
                <w:rFonts w:cs="Times New Roman"/>
                <w:sz w:val="20"/>
                <w:szCs w:val="20"/>
              </w:rPr>
              <w:t>)</w:t>
            </w:r>
          </w:p>
        </w:tc>
      </w:tr>
      <w:tr w:rsidR="005F314F" w:rsidRPr="00962944" w14:paraId="3C6013BE" w14:textId="77777777" w:rsidTr="00F21646">
        <w:tc>
          <w:tcPr>
            <w:tcW w:w="2538" w:type="dxa"/>
          </w:tcPr>
          <w:p w14:paraId="1234D7DB" w14:textId="77777777" w:rsidR="005F314F" w:rsidRPr="00962944" w:rsidRDefault="005F314F" w:rsidP="00F21646">
            <w:pPr>
              <w:widowControl w:val="0"/>
              <w:rPr>
                <w:rFonts w:cs="Times New Roman"/>
                <w:sz w:val="20"/>
                <w:szCs w:val="20"/>
              </w:rPr>
            </w:pPr>
            <w:r w:rsidRPr="00962944">
              <w:rPr>
                <w:rFonts w:cs="Times New Roman"/>
                <w:sz w:val="20"/>
                <w:szCs w:val="20"/>
              </w:rPr>
              <w:t>NIMH-TSS</w:t>
            </w:r>
          </w:p>
        </w:tc>
        <w:tc>
          <w:tcPr>
            <w:tcW w:w="2160" w:type="dxa"/>
          </w:tcPr>
          <w:p w14:paraId="1049AC8D" w14:textId="77777777" w:rsidR="005F314F" w:rsidRPr="00962944" w:rsidRDefault="005F314F" w:rsidP="00F21646">
            <w:pPr>
              <w:widowControl w:val="0"/>
              <w:tabs>
                <w:tab w:val="decimal" w:pos="252"/>
              </w:tabs>
              <w:jc w:val="center"/>
              <w:rPr>
                <w:rFonts w:cs="Times New Roman"/>
                <w:sz w:val="20"/>
                <w:szCs w:val="20"/>
              </w:rPr>
            </w:pPr>
          </w:p>
        </w:tc>
        <w:tc>
          <w:tcPr>
            <w:tcW w:w="2070" w:type="dxa"/>
          </w:tcPr>
          <w:p w14:paraId="756D5557" w14:textId="77777777" w:rsidR="005F314F" w:rsidRPr="00962944" w:rsidRDefault="005F314F" w:rsidP="00F21646">
            <w:pPr>
              <w:widowControl w:val="0"/>
              <w:tabs>
                <w:tab w:val="decimal" w:pos="432"/>
              </w:tabs>
              <w:jc w:val="center"/>
              <w:rPr>
                <w:rFonts w:cs="Times New Roman"/>
                <w:sz w:val="20"/>
                <w:szCs w:val="20"/>
              </w:rPr>
            </w:pPr>
          </w:p>
        </w:tc>
        <w:tc>
          <w:tcPr>
            <w:tcW w:w="2160" w:type="dxa"/>
          </w:tcPr>
          <w:p w14:paraId="7E6FECAD" w14:textId="77777777" w:rsidR="005F314F" w:rsidRPr="00962944" w:rsidRDefault="005F314F" w:rsidP="00F21646">
            <w:pPr>
              <w:widowControl w:val="0"/>
              <w:tabs>
                <w:tab w:val="decimal" w:pos="252"/>
              </w:tabs>
              <w:jc w:val="center"/>
              <w:rPr>
                <w:rFonts w:cs="Times New Roman"/>
                <w:sz w:val="20"/>
                <w:szCs w:val="20"/>
              </w:rPr>
            </w:pPr>
          </w:p>
        </w:tc>
        <w:tc>
          <w:tcPr>
            <w:tcW w:w="3420" w:type="dxa"/>
          </w:tcPr>
          <w:p w14:paraId="26D7B5A4" w14:textId="77777777" w:rsidR="005F314F" w:rsidRPr="00962944" w:rsidRDefault="005F314F" w:rsidP="00F21646">
            <w:pPr>
              <w:widowControl w:val="0"/>
              <w:tabs>
                <w:tab w:val="decimal" w:pos="162"/>
              </w:tabs>
              <w:jc w:val="center"/>
              <w:rPr>
                <w:rFonts w:cs="Times New Roman"/>
                <w:sz w:val="20"/>
                <w:szCs w:val="20"/>
              </w:rPr>
            </w:pPr>
          </w:p>
        </w:tc>
      </w:tr>
      <w:tr w:rsidR="005F314F" w:rsidRPr="004E0089" w14:paraId="6FAA49DB" w14:textId="77777777" w:rsidTr="00F21646">
        <w:tc>
          <w:tcPr>
            <w:tcW w:w="2538" w:type="dxa"/>
          </w:tcPr>
          <w:p w14:paraId="4CE23E95" w14:textId="77777777" w:rsidR="005F314F" w:rsidRPr="0060570D" w:rsidRDefault="005F314F" w:rsidP="00F21646">
            <w:pPr>
              <w:widowControl w:val="0"/>
              <w:ind w:left="288"/>
              <w:rPr>
                <w:rFonts w:cs="Times New Roman"/>
                <w:b/>
                <w:bCs/>
                <w:sz w:val="20"/>
                <w:szCs w:val="20"/>
              </w:rPr>
            </w:pPr>
            <w:r w:rsidRPr="0060570D">
              <w:rPr>
                <w:rFonts w:cs="Times New Roman"/>
                <w:b/>
                <w:bCs/>
                <w:sz w:val="20"/>
                <w:szCs w:val="20"/>
              </w:rPr>
              <w:t>Week 6</w:t>
            </w:r>
          </w:p>
        </w:tc>
        <w:tc>
          <w:tcPr>
            <w:tcW w:w="2160" w:type="dxa"/>
          </w:tcPr>
          <w:p w14:paraId="1E87BCD0" w14:textId="77777777" w:rsidR="005F314F" w:rsidRPr="0060570D" w:rsidRDefault="005F314F" w:rsidP="00F21646">
            <w:pPr>
              <w:widowControl w:val="0"/>
              <w:tabs>
                <w:tab w:val="decimal" w:pos="252"/>
              </w:tabs>
              <w:jc w:val="center"/>
              <w:rPr>
                <w:rFonts w:cs="Times New Roman"/>
                <w:b/>
                <w:bCs/>
                <w:sz w:val="20"/>
                <w:szCs w:val="20"/>
              </w:rPr>
            </w:pPr>
            <w:r w:rsidRPr="0060570D">
              <w:rPr>
                <w:rFonts w:cs="Times New Roman"/>
                <w:b/>
                <w:bCs/>
                <w:sz w:val="20"/>
                <w:szCs w:val="20"/>
              </w:rPr>
              <w:t>8.5</w:t>
            </w:r>
            <w:r>
              <w:rPr>
                <w:rFonts w:cs="Times New Roman"/>
                <w:b/>
                <w:bCs/>
                <w:sz w:val="20"/>
                <w:szCs w:val="20"/>
              </w:rPr>
              <w:t xml:space="preserve">6 </w:t>
            </w:r>
            <w:r w:rsidRPr="0060570D">
              <w:rPr>
                <w:rFonts w:cs="Times New Roman"/>
                <w:b/>
                <w:bCs/>
                <w:sz w:val="20"/>
                <w:szCs w:val="20"/>
              </w:rPr>
              <w:t>(7.</w:t>
            </w:r>
            <w:r>
              <w:rPr>
                <w:rFonts w:cs="Times New Roman"/>
                <w:b/>
                <w:bCs/>
                <w:sz w:val="20"/>
                <w:szCs w:val="20"/>
              </w:rPr>
              <w:t>08</w:t>
            </w:r>
            <w:r w:rsidRPr="0060570D">
              <w:rPr>
                <w:rFonts w:cs="Times New Roman"/>
                <w:b/>
                <w:bCs/>
                <w:sz w:val="20"/>
                <w:szCs w:val="20"/>
              </w:rPr>
              <w:t xml:space="preserve"> to </w:t>
            </w:r>
            <w:r>
              <w:rPr>
                <w:rFonts w:cs="Times New Roman"/>
                <w:b/>
                <w:bCs/>
                <w:sz w:val="20"/>
                <w:szCs w:val="20"/>
              </w:rPr>
              <w:t>10.03</w:t>
            </w:r>
            <w:r w:rsidRPr="0060570D">
              <w:rPr>
                <w:rFonts w:cs="Times New Roman"/>
                <w:b/>
                <w:bCs/>
                <w:sz w:val="20"/>
                <w:szCs w:val="20"/>
              </w:rPr>
              <w:t>)</w:t>
            </w:r>
          </w:p>
        </w:tc>
        <w:tc>
          <w:tcPr>
            <w:tcW w:w="2070" w:type="dxa"/>
          </w:tcPr>
          <w:p w14:paraId="58633381" w14:textId="77777777" w:rsidR="005F314F" w:rsidRPr="0060570D" w:rsidRDefault="005F314F" w:rsidP="00F21646">
            <w:pPr>
              <w:widowControl w:val="0"/>
              <w:tabs>
                <w:tab w:val="decimal" w:pos="432"/>
              </w:tabs>
              <w:jc w:val="center"/>
              <w:rPr>
                <w:rFonts w:cs="Times New Roman"/>
                <w:b/>
                <w:bCs/>
                <w:sz w:val="20"/>
                <w:szCs w:val="20"/>
              </w:rPr>
            </w:pPr>
            <w:r w:rsidRPr="0060570D">
              <w:rPr>
                <w:rFonts w:cs="Times New Roman"/>
                <w:b/>
                <w:bCs/>
                <w:sz w:val="20"/>
                <w:szCs w:val="20"/>
              </w:rPr>
              <w:t>10.</w:t>
            </w:r>
            <w:r>
              <w:rPr>
                <w:rFonts w:cs="Times New Roman"/>
                <w:b/>
                <w:bCs/>
                <w:sz w:val="20"/>
                <w:szCs w:val="20"/>
              </w:rPr>
              <w:t>97</w:t>
            </w:r>
            <w:r w:rsidRPr="0060570D">
              <w:rPr>
                <w:rFonts w:cs="Times New Roman"/>
                <w:b/>
                <w:bCs/>
                <w:sz w:val="20"/>
                <w:szCs w:val="20"/>
              </w:rPr>
              <w:t xml:space="preserve"> (</w:t>
            </w:r>
            <w:r>
              <w:rPr>
                <w:rFonts w:cs="Times New Roman"/>
                <w:b/>
                <w:bCs/>
                <w:sz w:val="20"/>
                <w:szCs w:val="20"/>
              </w:rPr>
              <w:t>9.09</w:t>
            </w:r>
            <w:r w:rsidRPr="0060570D">
              <w:rPr>
                <w:rFonts w:cs="Times New Roman"/>
                <w:b/>
                <w:bCs/>
                <w:sz w:val="20"/>
                <w:szCs w:val="20"/>
              </w:rPr>
              <w:t xml:space="preserve"> to 12.</w:t>
            </w:r>
            <w:r>
              <w:rPr>
                <w:rFonts w:cs="Times New Roman"/>
                <w:b/>
                <w:bCs/>
                <w:sz w:val="20"/>
                <w:szCs w:val="20"/>
              </w:rPr>
              <w:t>84</w:t>
            </w:r>
            <w:r w:rsidRPr="0060570D">
              <w:rPr>
                <w:rFonts w:cs="Times New Roman"/>
                <w:b/>
                <w:bCs/>
                <w:sz w:val="20"/>
                <w:szCs w:val="20"/>
              </w:rPr>
              <w:t>)</w:t>
            </w:r>
          </w:p>
        </w:tc>
        <w:tc>
          <w:tcPr>
            <w:tcW w:w="2160" w:type="dxa"/>
          </w:tcPr>
          <w:p w14:paraId="70BBC1B0" w14:textId="77777777" w:rsidR="005F314F" w:rsidRPr="0060570D" w:rsidRDefault="005F314F" w:rsidP="00F21646">
            <w:pPr>
              <w:widowControl w:val="0"/>
              <w:tabs>
                <w:tab w:val="decimal" w:pos="252"/>
              </w:tabs>
              <w:jc w:val="center"/>
              <w:rPr>
                <w:rFonts w:cs="Times New Roman"/>
                <w:b/>
                <w:bCs/>
                <w:sz w:val="20"/>
                <w:szCs w:val="20"/>
              </w:rPr>
            </w:pPr>
            <w:r w:rsidRPr="0060570D">
              <w:rPr>
                <w:rFonts w:cs="Times New Roman"/>
                <w:b/>
                <w:bCs/>
                <w:sz w:val="20"/>
                <w:szCs w:val="20"/>
              </w:rPr>
              <w:t>-2.</w:t>
            </w:r>
            <w:r>
              <w:rPr>
                <w:rFonts w:cs="Times New Roman"/>
                <w:b/>
                <w:bCs/>
                <w:sz w:val="20"/>
                <w:szCs w:val="20"/>
              </w:rPr>
              <w:t>41</w:t>
            </w:r>
            <w:r w:rsidRPr="0060570D">
              <w:rPr>
                <w:rFonts w:cs="Times New Roman"/>
                <w:b/>
                <w:bCs/>
                <w:sz w:val="20"/>
                <w:szCs w:val="20"/>
              </w:rPr>
              <w:t xml:space="preserve"> (-4.</w:t>
            </w:r>
            <w:r>
              <w:rPr>
                <w:rFonts w:cs="Times New Roman"/>
                <w:b/>
                <w:bCs/>
                <w:sz w:val="20"/>
                <w:szCs w:val="20"/>
              </w:rPr>
              <w:t>62</w:t>
            </w:r>
            <w:r w:rsidRPr="0060570D">
              <w:rPr>
                <w:rFonts w:cs="Times New Roman"/>
                <w:b/>
                <w:bCs/>
                <w:sz w:val="20"/>
                <w:szCs w:val="20"/>
              </w:rPr>
              <w:t xml:space="preserve"> to -0.</w:t>
            </w:r>
            <w:r>
              <w:rPr>
                <w:rFonts w:cs="Times New Roman"/>
                <w:b/>
                <w:bCs/>
                <w:sz w:val="20"/>
                <w:szCs w:val="20"/>
              </w:rPr>
              <w:t>20</w:t>
            </w:r>
            <w:r w:rsidRPr="0060570D">
              <w:rPr>
                <w:rFonts w:cs="Times New Roman"/>
                <w:b/>
                <w:bCs/>
                <w:sz w:val="20"/>
                <w:szCs w:val="20"/>
              </w:rPr>
              <w:t>)</w:t>
            </w:r>
          </w:p>
        </w:tc>
        <w:tc>
          <w:tcPr>
            <w:tcW w:w="3420" w:type="dxa"/>
          </w:tcPr>
          <w:p w14:paraId="6E02775E" w14:textId="77777777" w:rsidR="005F314F" w:rsidRPr="00A96B9B" w:rsidRDefault="005F314F" w:rsidP="00F21646">
            <w:pPr>
              <w:widowControl w:val="0"/>
              <w:tabs>
                <w:tab w:val="decimal" w:pos="162"/>
              </w:tabs>
              <w:jc w:val="center"/>
              <w:rPr>
                <w:rFonts w:cs="Times New Roman"/>
                <w:b/>
                <w:bCs/>
                <w:sz w:val="20"/>
                <w:szCs w:val="20"/>
              </w:rPr>
            </w:pPr>
            <w:r w:rsidRPr="0060570D">
              <w:rPr>
                <w:rFonts w:cs="Times New Roman"/>
                <w:b/>
                <w:bCs/>
                <w:sz w:val="20"/>
                <w:szCs w:val="20"/>
              </w:rPr>
              <w:t>0.4</w:t>
            </w:r>
            <w:r>
              <w:rPr>
                <w:rFonts w:cs="Times New Roman"/>
                <w:b/>
                <w:bCs/>
                <w:sz w:val="20"/>
                <w:szCs w:val="20"/>
              </w:rPr>
              <w:t>9</w:t>
            </w:r>
            <w:r w:rsidRPr="00A96B9B">
              <w:rPr>
                <w:rFonts w:cs="Times New Roman"/>
                <w:b/>
                <w:bCs/>
                <w:sz w:val="20"/>
                <w:szCs w:val="20"/>
              </w:rPr>
              <w:t xml:space="preserve"> (0.0</w:t>
            </w:r>
            <w:r>
              <w:rPr>
                <w:rFonts w:cs="Times New Roman"/>
                <w:b/>
                <w:bCs/>
                <w:sz w:val="20"/>
                <w:szCs w:val="20"/>
              </w:rPr>
              <w:t>4</w:t>
            </w:r>
            <w:r w:rsidRPr="00A96B9B">
              <w:rPr>
                <w:rFonts w:cs="Times New Roman"/>
                <w:b/>
                <w:bCs/>
                <w:sz w:val="20"/>
                <w:szCs w:val="20"/>
              </w:rPr>
              <w:t xml:space="preserve"> to 0.9</w:t>
            </w:r>
            <w:r>
              <w:rPr>
                <w:rFonts w:cs="Times New Roman"/>
                <w:b/>
                <w:bCs/>
                <w:sz w:val="20"/>
                <w:szCs w:val="20"/>
              </w:rPr>
              <w:t>5</w:t>
            </w:r>
            <w:r w:rsidRPr="00A96B9B">
              <w:rPr>
                <w:rFonts w:cs="Times New Roman"/>
                <w:b/>
                <w:bCs/>
                <w:sz w:val="20"/>
                <w:szCs w:val="20"/>
              </w:rPr>
              <w:t>)</w:t>
            </w:r>
          </w:p>
        </w:tc>
      </w:tr>
      <w:tr w:rsidR="005F314F" w:rsidRPr="00962944" w14:paraId="2F8E34E2" w14:textId="77777777" w:rsidTr="00F21646">
        <w:tc>
          <w:tcPr>
            <w:tcW w:w="2538" w:type="dxa"/>
          </w:tcPr>
          <w:p w14:paraId="72E0485F" w14:textId="77777777" w:rsidR="005F314F" w:rsidRPr="00A722FF" w:rsidRDefault="005F314F" w:rsidP="00F21646">
            <w:pPr>
              <w:widowControl w:val="0"/>
              <w:ind w:left="288"/>
              <w:rPr>
                <w:rFonts w:cs="Times New Roman"/>
                <w:b/>
                <w:sz w:val="20"/>
                <w:szCs w:val="20"/>
              </w:rPr>
            </w:pPr>
            <w:r w:rsidRPr="00A722FF">
              <w:rPr>
                <w:rFonts w:cs="Times New Roman"/>
                <w:b/>
                <w:sz w:val="20"/>
                <w:szCs w:val="20"/>
              </w:rPr>
              <w:t>Week 12</w:t>
            </w:r>
          </w:p>
        </w:tc>
        <w:tc>
          <w:tcPr>
            <w:tcW w:w="2160" w:type="dxa"/>
          </w:tcPr>
          <w:p w14:paraId="2145616B" w14:textId="77777777" w:rsidR="005F314F" w:rsidRPr="00A722FF" w:rsidRDefault="005F314F" w:rsidP="00F21646">
            <w:pPr>
              <w:widowControl w:val="0"/>
              <w:tabs>
                <w:tab w:val="decimal" w:pos="187"/>
              </w:tabs>
              <w:jc w:val="center"/>
              <w:rPr>
                <w:rFonts w:cs="Times New Roman"/>
                <w:b/>
                <w:sz w:val="20"/>
                <w:szCs w:val="20"/>
              </w:rPr>
            </w:pPr>
            <w:r>
              <w:rPr>
                <w:rFonts w:cs="Times New Roman"/>
                <w:b/>
                <w:sz w:val="20"/>
                <w:szCs w:val="20"/>
              </w:rPr>
              <w:t>6.72</w:t>
            </w:r>
            <w:r w:rsidRPr="00A722FF">
              <w:rPr>
                <w:rFonts w:cs="Times New Roman"/>
                <w:b/>
                <w:sz w:val="20"/>
                <w:szCs w:val="20"/>
              </w:rPr>
              <w:t xml:space="preserve"> (</w:t>
            </w:r>
            <w:r>
              <w:rPr>
                <w:rFonts w:cs="Times New Roman"/>
                <w:b/>
                <w:sz w:val="20"/>
                <w:szCs w:val="20"/>
              </w:rPr>
              <w:t>4.77</w:t>
            </w:r>
            <w:r w:rsidRPr="00A722FF">
              <w:rPr>
                <w:rFonts w:cs="Times New Roman"/>
                <w:b/>
                <w:sz w:val="20"/>
                <w:szCs w:val="20"/>
              </w:rPr>
              <w:t xml:space="preserve"> to </w:t>
            </w:r>
            <w:r>
              <w:rPr>
                <w:rFonts w:cs="Times New Roman"/>
                <w:b/>
                <w:sz w:val="20"/>
                <w:szCs w:val="20"/>
              </w:rPr>
              <w:t>8.67</w:t>
            </w:r>
            <w:r w:rsidRPr="00A722FF">
              <w:rPr>
                <w:rFonts w:cs="Times New Roman"/>
                <w:b/>
                <w:sz w:val="20"/>
                <w:szCs w:val="20"/>
              </w:rPr>
              <w:t>)</w:t>
            </w:r>
          </w:p>
        </w:tc>
        <w:tc>
          <w:tcPr>
            <w:tcW w:w="2070" w:type="dxa"/>
          </w:tcPr>
          <w:p w14:paraId="7DB717EA" w14:textId="77777777" w:rsidR="005F314F" w:rsidRPr="00A722FF" w:rsidRDefault="005F314F" w:rsidP="00F21646">
            <w:pPr>
              <w:widowControl w:val="0"/>
              <w:tabs>
                <w:tab w:val="decimal" w:pos="187"/>
              </w:tabs>
              <w:jc w:val="center"/>
              <w:rPr>
                <w:rFonts w:cs="Times New Roman"/>
                <w:b/>
                <w:sz w:val="20"/>
                <w:szCs w:val="20"/>
              </w:rPr>
            </w:pPr>
            <w:r w:rsidRPr="00A722FF">
              <w:rPr>
                <w:rFonts w:cs="Times New Roman"/>
                <w:b/>
                <w:sz w:val="20"/>
                <w:szCs w:val="20"/>
              </w:rPr>
              <w:t>9.</w:t>
            </w:r>
            <w:r w:rsidRPr="00624E6A">
              <w:rPr>
                <w:rFonts w:cs="Times New Roman"/>
                <w:b/>
                <w:sz w:val="20"/>
                <w:szCs w:val="20"/>
              </w:rPr>
              <w:t>6</w:t>
            </w:r>
            <w:r>
              <w:rPr>
                <w:rFonts w:cs="Times New Roman"/>
                <w:b/>
                <w:sz w:val="20"/>
                <w:szCs w:val="20"/>
              </w:rPr>
              <w:t>3</w:t>
            </w:r>
            <w:r w:rsidRPr="00A722FF">
              <w:rPr>
                <w:rFonts w:cs="Times New Roman"/>
                <w:b/>
                <w:sz w:val="20"/>
                <w:szCs w:val="20"/>
              </w:rPr>
              <w:t xml:space="preserve"> (7.</w:t>
            </w:r>
            <w:r>
              <w:rPr>
                <w:rFonts w:cs="Times New Roman"/>
                <w:b/>
                <w:sz w:val="20"/>
                <w:szCs w:val="20"/>
              </w:rPr>
              <w:t>65</w:t>
            </w:r>
            <w:r w:rsidRPr="00A722FF">
              <w:rPr>
                <w:rFonts w:cs="Times New Roman"/>
                <w:b/>
                <w:sz w:val="20"/>
                <w:szCs w:val="20"/>
              </w:rPr>
              <w:t xml:space="preserve"> to 11.</w:t>
            </w:r>
            <w:r>
              <w:rPr>
                <w:rFonts w:cs="Times New Roman"/>
                <w:b/>
                <w:sz w:val="20"/>
                <w:szCs w:val="20"/>
              </w:rPr>
              <w:t>61</w:t>
            </w:r>
            <w:r w:rsidRPr="00A722FF">
              <w:rPr>
                <w:rFonts w:cs="Times New Roman"/>
                <w:b/>
                <w:sz w:val="20"/>
                <w:szCs w:val="20"/>
              </w:rPr>
              <w:t>)</w:t>
            </w:r>
          </w:p>
        </w:tc>
        <w:tc>
          <w:tcPr>
            <w:tcW w:w="2160" w:type="dxa"/>
          </w:tcPr>
          <w:p w14:paraId="741D683C" w14:textId="77777777" w:rsidR="005F314F" w:rsidRPr="00A722FF" w:rsidRDefault="005F314F" w:rsidP="00F21646">
            <w:pPr>
              <w:widowControl w:val="0"/>
              <w:tabs>
                <w:tab w:val="decimal" w:pos="187"/>
              </w:tabs>
              <w:jc w:val="center"/>
              <w:rPr>
                <w:rFonts w:cs="Times New Roman"/>
                <w:b/>
                <w:sz w:val="20"/>
                <w:szCs w:val="20"/>
              </w:rPr>
            </w:pPr>
            <w:r w:rsidRPr="00A722FF">
              <w:rPr>
                <w:rFonts w:cs="Times New Roman"/>
                <w:b/>
                <w:sz w:val="20"/>
                <w:szCs w:val="20"/>
              </w:rPr>
              <w:t>-2.4</w:t>
            </w:r>
            <w:r w:rsidRPr="00624E6A">
              <w:rPr>
                <w:rFonts w:cs="Times New Roman"/>
                <w:b/>
                <w:sz w:val="20"/>
                <w:szCs w:val="20"/>
              </w:rPr>
              <w:t>9</w:t>
            </w:r>
            <w:r w:rsidRPr="00A722FF">
              <w:rPr>
                <w:rFonts w:cs="Times New Roman"/>
                <w:b/>
                <w:sz w:val="20"/>
                <w:szCs w:val="20"/>
              </w:rPr>
              <w:t xml:space="preserve"> (-4.</w:t>
            </w:r>
            <w:r w:rsidRPr="00624E6A">
              <w:rPr>
                <w:rFonts w:cs="Times New Roman"/>
                <w:b/>
                <w:sz w:val="20"/>
                <w:szCs w:val="20"/>
              </w:rPr>
              <w:t>73</w:t>
            </w:r>
            <w:r w:rsidRPr="00A722FF">
              <w:rPr>
                <w:rFonts w:cs="Times New Roman"/>
                <w:b/>
                <w:sz w:val="20"/>
                <w:szCs w:val="20"/>
              </w:rPr>
              <w:t xml:space="preserve"> to -0.2</w:t>
            </w:r>
            <w:r w:rsidRPr="00624E6A">
              <w:rPr>
                <w:rFonts w:cs="Times New Roman"/>
                <w:b/>
                <w:sz w:val="20"/>
                <w:szCs w:val="20"/>
              </w:rPr>
              <w:t>5</w:t>
            </w:r>
            <w:r w:rsidRPr="00A722FF">
              <w:rPr>
                <w:rFonts w:cs="Times New Roman"/>
                <w:b/>
                <w:sz w:val="20"/>
                <w:szCs w:val="20"/>
              </w:rPr>
              <w:t>)</w:t>
            </w:r>
          </w:p>
        </w:tc>
        <w:tc>
          <w:tcPr>
            <w:tcW w:w="3420" w:type="dxa"/>
          </w:tcPr>
          <w:p w14:paraId="2734CC4C" w14:textId="77777777" w:rsidR="005F314F" w:rsidRPr="00A722FF" w:rsidRDefault="005F314F" w:rsidP="00F21646">
            <w:pPr>
              <w:widowControl w:val="0"/>
              <w:tabs>
                <w:tab w:val="decimal" w:pos="187"/>
              </w:tabs>
              <w:jc w:val="center"/>
              <w:rPr>
                <w:rFonts w:cs="Times New Roman"/>
                <w:b/>
                <w:sz w:val="20"/>
                <w:szCs w:val="20"/>
              </w:rPr>
            </w:pPr>
            <w:r w:rsidRPr="00A722FF">
              <w:rPr>
                <w:rFonts w:cs="Times New Roman"/>
                <w:b/>
                <w:sz w:val="20"/>
                <w:szCs w:val="20"/>
              </w:rPr>
              <w:t>0.5</w:t>
            </w:r>
            <w:r>
              <w:rPr>
                <w:rFonts w:cs="Times New Roman"/>
                <w:b/>
                <w:sz w:val="20"/>
                <w:szCs w:val="20"/>
              </w:rPr>
              <w:t>9</w:t>
            </w:r>
            <w:r w:rsidRPr="00A722FF">
              <w:rPr>
                <w:rFonts w:cs="Times New Roman"/>
                <w:b/>
                <w:sz w:val="20"/>
                <w:szCs w:val="20"/>
              </w:rPr>
              <w:t xml:space="preserve"> (0.</w:t>
            </w:r>
            <w:r>
              <w:rPr>
                <w:rFonts w:cs="Times New Roman"/>
                <w:b/>
                <w:sz w:val="20"/>
                <w:szCs w:val="20"/>
              </w:rPr>
              <w:t>1</w:t>
            </w:r>
            <w:r w:rsidRPr="00624E6A">
              <w:rPr>
                <w:rFonts w:cs="Times New Roman"/>
                <w:b/>
                <w:sz w:val="20"/>
                <w:szCs w:val="20"/>
              </w:rPr>
              <w:t>5</w:t>
            </w:r>
            <w:r w:rsidRPr="00A722FF">
              <w:rPr>
                <w:rFonts w:cs="Times New Roman"/>
                <w:b/>
                <w:sz w:val="20"/>
                <w:szCs w:val="20"/>
              </w:rPr>
              <w:t xml:space="preserve"> to </w:t>
            </w:r>
            <w:r>
              <w:rPr>
                <w:rFonts w:cs="Times New Roman"/>
                <w:b/>
                <w:sz w:val="20"/>
                <w:szCs w:val="20"/>
              </w:rPr>
              <w:t>1.04</w:t>
            </w:r>
            <w:r w:rsidRPr="00A722FF">
              <w:rPr>
                <w:rFonts w:cs="Times New Roman"/>
                <w:b/>
                <w:sz w:val="20"/>
                <w:szCs w:val="20"/>
              </w:rPr>
              <w:t>)</w:t>
            </w:r>
          </w:p>
        </w:tc>
      </w:tr>
      <w:tr w:rsidR="005F314F" w:rsidRPr="00962944" w14:paraId="79E4394D" w14:textId="77777777" w:rsidTr="00F21646">
        <w:tc>
          <w:tcPr>
            <w:tcW w:w="2538" w:type="dxa"/>
          </w:tcPr>
          <w:p w14:paraId="7D8FA18F" w14:textId="77777777" w:rsidR="005F314F" w:rsidRPr="00962944" w:rsidRDefault="005F314F" w:rsidP="00F21646">
            <w:pPr>
              <w:widowControl w:val="0"/>
              <w:rPr>
                <w:rFonts w:cs="Times New Roman"/>
                <w:sz w:val="20"/>
                <w:szCs w:val="20"/>
              </w:rPr>
            </w:pPr>
            <w:r w:rsidRPr="00962944">
              <w:rPr>
                <w:rFonts w:cs="Times New Roman"/>
                <w:sz w:val="20"/>
                <w:szCs w:val="20"/>
              </w:rPr>
              <w:t>MGH-HS</w:t>
            </w:r>
          </w:p>
        </w:tc>
        <w:tc>
          <w:tcPr>
            <w:tcW w:w="2160" w:type="dxa"/>
          </w:tcPr>
          <w:p w14:paraId="0A35D487" w14:textId="77777777" w:rsidR="005F314F" w:rsidRPr="00962944" w:rsidRDefault="005F314F" w:rsidP="00F21646">
            <w:pPr>
              <w:widowControl w:val="0"/>
              <w:tabs>
                <w:tab w:val="decimal" w:pos="187"/>
              </w:tabs>
              <w:jc w:val="center"/>
              <w:rPr>
                <w:rFonts w:cs="Times New Roman"/>
                <w:sz w:val="20"/>
                <w:szCs w:val="20"/>
              </w:rPr>
            </w:pPr>
          </w:p>
        </w:tc>
        <w:tc>
          <w:tcPr>
            <w:tcW w:w="2070" w:type="dxa"/>
          </w:tcPr>
          <w:p w14:paraId="4E26EFF8" w14:textId="77777777" w:rsidR="005F314F" w:rsidRPr="00962944" w:rsidRDefault="005F314F" w:rsidP="00F21646">
            <w:pPr>
              <w:widowControl w:val="0"/>
              <w:tabs>
                <w:tab w:val="decimal" w:pos="187"/>
              </w:tabs>
              <w:jc w:val="center"/>
              <w:rPr>
                <w:rFonts w:cs="Times New Roman"/>
                <w:sz w:val="20"/>
                <w:szCs w:val="20"/>
              </w:rPr>
            </w:pPr>
          </w:p>
        </w:tc>
        <w:tc>
          <w:tcPr>
            <w:tcW w:w="2160" w:type="dxa"/>
          </w:tcPr>
          <w:p w14:paraId="46D0EE63" w14:textId="77777777" w:rsidR="005F314F" w:rsidRPr="00962944" w:rsidRDefault="005F314F" w:rsidP="00F21646">
            <w:pPr>
              <w:widowControl w:val="0"/>
              <w:tabs>
                <w:tab w:val="decimal" w:pos="187"/>
              </w:tabs>
              <w:jc w:val="center"/>
              <w:rPr>
                <w:rFonts w:cs="Times New Roman"/>
                <w:sz w:val="20"/>
                <w:szCs w:val="20"/>
              </w:rPr>
            </w:pPr>
          </w:p>
        </w:tc>
        <w:tc>
          <w:tcPr>
            <w:tcW w:w="3420" w:type="dxa"/>
          </w:tcPr>
          <w:p w14:paraId="58561804" w14:textId="77777777" w:rsidR="005F314F" w:rsidRPr="00962944" w:rsidRDefault="005F314F" w:rsidP="00F21646">
            <w:pPr>
              <w:widowControl w:val="0"/>
              <w:tabs>
                <w:tab w:val="decimal" w:pos="187"/>
              </w:tabs>
              <w:jc w:val="center"/>
              <w:rPr>
                <w:rFonts w:cs="Times New Roman"/>
                <w:sz w:val="20"/>
                <w:szCs w:val="20"/>
              </w:rPr>
            </w:pPr>
          </w:p>
        </w:tc>
      </w:tr>
      <w:tr w:rsidR="005F314F" w:rsidRPr="00962944" w14:paraId="270866D3" w14:textId="77777777" w:rsidTr="00F21646">
        <w:tc>
          <w:tcPr>
            <w:tcW w:w="2538" w:type="dxa"/>
          </w:tcPr>
          <w:p w14:paraId="437735BC" w14:textId="77777777" w:rsidR="005F314F" w:rsidRPr="00962944" w:rsidRDefault="005F314F" w:rsidP="00F21646">
            <w:pPr>
              <w:widowControl w:val="0"/>
              <w:ind w:left="288"/>
              <w:rPr>
                <w:rFonts w:cs="Times New Roman"/>
                <w:sz w:val="20"/>
                <w:szCs w:val="20"/>
              </w:rPr>
            </w:pPr>
            <w:r w:rsidRPr="00962944">
              <w:rPr>
                <w:rFonts w:cs="Times New Roman"/>
                <w:sz w:val="20"/>
                <w:szCs w:val="20"/>
              </w:rPr>
              <w:t>Week 6</w:t>
            </w:r>
          </w:p>
        </w:tc>
        <w:tc>
          <w:tcPr>
            <w:tcW w:w="2160" w:type="dxa"/>
          </w:tcPr>
          <w:p w14:paraId="4F554364" w14:textId="77777777" w:rsidR="005F314F" w:rsidRPr="00962944" w:rsidRDefault="005F314F" w:rsidP="00F21646">
            <w:pPr>
              <w:widowControl w:val="0"/>
              <w:tabs>
                <w:tab w:val="decimal" w:pos="252"/>
              </w:tabs>
              <w:jc w:val="center"/>
              <w:rPr>
                <w:rFonts w:cs="Times New Roman"/>
                <w:sz w:val="20"/>
                <w:szCs w:val="20"/>
              </w:rPr>
            </w:pPr>
            <w:r w:rsidRPr="00962944">
              <w:rPr>
                <w:rFonts w:cs="Times New Roman"/>
                <w:sz w:val="20"/>
                <w:szCs w:val="20"/>
              </w:rPr>
              <w:t>10.</w:t>
            </w:r>
            <w:r>
              <w:rPr>
                <w:rFonts w:cs="Times New Roman"/>
                <w:sz w:val="20"/>
                <w:szCs w:val="20"/>
              </w:rPr>
              <w:t>36</w:t>
            </w:r>
            <w:r w:rsidRPr="00962944">
              <w:rPr>
                <w:rFonts w:cs="Times New Roman"/>
                <w:sz w:val="20"/>
                <w:szCs w:val="20"/>
              </w:rPr>
              <w:t xml:space="preserve"> (8.</w:t>
            </w:r>
            <w:r>
              <w:rPr>
                <w:rFonts w:cs="Times New Roman"/>
                <w:sz w:val="20"/>
                <w:szCs w:val="20"/>
              </w:rPr>
              <w:t>77</w:t>
            </w:r>
            <w:r w:rsidRPr="00962944">
              <w:rPr>
                <w:rFonts w:cs="Times New Roman"/>
                <w:sz w:val="20"/>
                <w:szCs w:val="20"/>
              </w:rPr>
              <w:t xml:space="preserve"> to 11.</w:t>
            </w:r>
            <w:r>
              <w:rPr>
                <w:rFonts w:cs="Times New Roman"/>
                <w:sz w:val="20"/>
                <w:szCs w:val="20"/>
              </w:rPr>
              <w:t>95</w:t>
            </w:r>
            <w:r w:rsidRPr="00962944">
              <w:rPr>
                <w:rFonts w:cs="Times New Roman"/>
                <w:sz w:val="20"/>
                <w:szCs w:val="20"/>
              </w:rPr>
              <w:t>)</w:t>
            </w:r>
          </w:p>
        </w:tc>
        <w:tc>
          <w:tcPr>
            <w:tcW w:w="2070" w:type="dxa"/>
          </w:tcPr>
          <w:p w14:paraId="150721DB" w14:textId="77777777" w:rsidR="005F314F" w:rsidRPr="00962944" w:rsidRDefault="005F314F" w:rsidP="00F21646">
            <w:pPr>
              <w:widowControl w:val="0"/>
              <w:tabs>
                <w:tab w:val="decimal" w:pos="432"/>
              </w:tabs>
              <w:jc w:val="center"/>
              <w:rPr>
                <w:rFonts w:cs="Times New Roman"/>
                <w:sz w:val="20"/>
                <w:szCs w:val="20"/>
              </w:rPr>
            </w:pPr>
            <w:r w:rsidRPr="00962944">
              <w:rPr>
                <w:rFonts w:cs="Times New Roman"/>
                <w:sz w:val="20"/>
                <w:szCs w:val="20"/>
              </w:rPr>
              <w:t>10.</w:t>
            </w:r>
            <w:r>
              <w:rPr>
                <w:rFonts w:cs="Times New Roman"/>
                <w:sz w:val="20"/>
                <w:szCs w:val="20"/>
              </w:rPr>
              <w:t>67</w:t>
            </w:r>
            <w:r w:rsidRPr="00962944">
              <w:rPr>
                <w:rFonts w:cs="Times New Roman"/>
                <w:sz w:val="20"/>
                <w:szCs w:val="20"/>
              </w:rPr>
              <w:t xml:space="preserve"> (8.</w:t>
            </w:r>
            <w:r>
              <w:rPr>
                <w:rFonts w:cs="Times New Roman"/>
                <w:sz w:val="20"/>
                <w:szCs w:val="20"/>
              </w:rPr>
              <w:t>71</w:t>
            </w:r>
            <w:r w:rsidRPr="00962944">
              <w:rPr>
                <w:rFonts w:cs="Times New Roman"/>
                <w:sz w:val="20"/>
                <w:szCs w:val="20"/>
              </w:rPr>
              <w:t xml:space="preserve"> to 12.</w:t>
            </w:r>
            <w:r>
              <w:rPr>
                <w:rFonts w:cs="Times New Roman"/>
                <w:sz w:val="20"/>
                <w:szCs w:val="20"/>
              </w:rPr>
              <w:t>60</w:t>
            </w:r>
            <w:r w:rsidRPr="00962944">
              <w:rPr>
                <w:rFonts w:cs="Times New Roman"/>
                <w:sz w:val="20"/>
                <w:szCs w:val="20"/>
              </w:rPr>
              <w:t>)</w:t>
            </w:r>
          </w:p>
        </w:tc>
        <w:tc>
          <w:tcPr>
            <w:tcW w:w="2160" w:type="dxa"/>
          </w:tcPr>
          <w:p w14:paraId="4DAA8FD2" w14:textId="77777777" w:rsidR="005F314F" w:rsidRPr="00962944" w:rsidRDefault="005F314F" w:rsidP="00F21646">
            <w:pPr>
              <w:widowControl w:val="0"/>
              <w:tabs>
                <w:tab w:val="decimal" w:pos="252"/>
              </w:tabs>
              <w:jc w:val="center"/>
              <w:rPr>
                <w:rFonts w:cs="Times New Roman"/>
                <w:sz w:val="20"/>
                <w:szCs w:val="20"/>
              </w:rPr>
            </w:pPr>
            <w:r>
              <w:rPr>
                <w:rFonts w:cs="Times New Roman"/>
                <w:sz w:val="20"/>
                <w:szCs w:val="20"/>
              </w:rPr>
              <w:t>-0.31</w:t>
            </w:r>
            <w:r w:rsidRPr="00962944">
              <w:rPr>
                <w:rFonts w:cs="Times New Roman"/>
                <w:sz w:val="20"/>
                <w:szCs w:val="20"/>
              </w:rPr>
              <w:t xml:space="preserve"> (-2.</w:t>
            </w:r>
            <w:r>
              <w:rPr>
                <w:rFonts w:cs="Times New Roman"/>
                <w:sz w:val="20"/>
                <w:szCs w:val="20"/>
              </w:rPr>
              <w:t>74</w:t>
            </w:r>
            <w:r w:rsidRPr="00962944">
              <w:rPr>
                <w:rFonts w:cs="Times New Roman"/>
                <w:sz w:val="20"/>
                <w:szCs w:val="20"/>
              </w:rPr>
              <w:t xml:space="preserve"> to </w:t>
            </w:r>
            <w:r>
              <w:rPr>
                <w:rFonts w:cs="Times New Roman"/>
                <w:sz w:val="20"/>
                <w:szCs w:val="20"/>
              </w:rPr>
              <w:t>1.23</w:t>
            </w:r>
            <w:r w:rsidRPr="00962944">
              <w:rPr>
                <w:rFonts w:cs="Times New Roman"/>
                <w:sz w:val="20"/>
                <w:szCs w:val="20"/>
              </w:rPr>
              <w:t>)</w:t>
            </w:r>
          </w:p>
        </w:tc>
        <w:tc>
          <w:tcPr>
            <w:tcW w:w="3420" w:type="dxa"/>
          </w:tcPr>
          <w:p w14:paraId="235C4D26" w14:textId="77777777" w:rsidR="005F314F" w:rsidRPr="00962944" w:rsidRDefault="005F314F" w:rsidP="00F21646">
            <w:pPr>
              <w:widowControl w:val="0"/>
              <w:tabs>
                <w:tab w:val="decimal" w:pos="162"/>
              </w:tabs>
              <w:jc w:val="center"/>
              <w:rPr>
                <w:rFonts w:cs="Times New Roman"/>
                <w:sz w:val="20"/>
                <w:szCs w:val="20"/>
              </w:rPr>
            </w:pPr>
            <w:r w:rsidRPr="00962944">
              <w:rPr>
                <w:rFonts w:cs="Times New Roman"/>
                <w:sz w:val="20"/>
                <w:szCs w:val="20"/>
              </w:rPr>
              <w:t>0.0</w:t>
            </w:r>
            <w:r>
              <w:rPr>
                <w:rFonts w:cs="Times New Roman"/>
                <w:sz w:val="20"/>
                <w:szCs w:val="20"/>
              </w:rPr>
              <w:t>6</w:t>
            </w:r>
            <w:r w:rsidRPr="00962944">
              <w:rPr>
                <w:rFonts w:cs="Times New Roman"/>
                <w:sz w:val="20"/>
                <w:szCs w:val="20"/>
              </w:rPr>
              <w:t xml:space="preserve"> (-0.</w:t>
            </w:r>
            <w:r>
              <w:rPr>
                <w:rFonts w:cs="Times New Roman"/>
                <w:sz w:val="20"/>
                <w:szCs w:val="20"/>
              </w:rPr>
              <w:t xml:space="preserve">53 </w:t>
            </w:r>
            <w:r w:rsidRPr="00962944">
              <w:rPr>
                <w:rFonts w:cs="Times New Roman"/>
                <w:sz w:val="20"/>
                <w:szCs w:val="20"/>
              </w:rPr>
              <w:t>to 0.</w:t>
            </w:r>
            <w:r>
              <w:rPr>
                <w:rFonts w:cs="Times New Roman"/>
                <w:sz w:val="20"/>
                <w:szCs w:val="20"/>
              </w:rPr>
              <w:t>41</w:t>
            </w:r>
            <w:r w:rsidRPr="00962944">
              <w:rPr>
                <w:rFonts w:cs="Times New Roman"/>
                <w:sz w:val="20"/>
                <w:szCs w:val="20"/>
              </w:rPr>
              <w:t>)</w:t>
            </w:r>
          </w:p>
        </w:tc>
      </w:tr>
      <w:tr w:rsidR="005F314F" w:rsidRPr="007E7EBB" w14:paraId="72E44EE2" w14:textId="77777777" w:rsidTr="00F21646">
        <w:tc>
          <w:tcPr>
            <w:tcW w:w="2538" w:type="dxa"/>
          </w:tcPr>
          <w:p w14:paraId="085D7317" w14:textId="77777777" w:rsidR="005F314F" w:rsidRPr="00A96B9B" w:rsidRDefault="005F314F" w:rsidP="00F21646">
            <w:pPr>
              <w:widowControl w:val="0"/>
              <w:ind w:left="288"/>
              <w:rPr>
                <w:rFonts w:cs="Times New Roman"/>
                <w:b/>
                <w:bCs/>
                <w:sz w:val="20"/>
                <w:szCs w:val="20"/>
              </w:rPr>
            </w:pPr>
            <w:r w:rsidRPr="00A96B9B">
              <w:rPr>
                <w:rFonts w:cs="Times New Roman"/>
                <w:b/>
                <w:bCs/>
                <w:sz w:val="20"/>
                <w:szCs w:val="20"/>
              </w:rPr>
              <w:t>Week 12</w:t>
            </w:r>
          </w:p>
        </w:tc>
        <w:tc>
          <w:tcPr>
            <w:tcW w:w="2160" w:type="dxa"/>
          </w:tcPr>
          <w:p w14:paraId="0414E2F2" w14:textId="77777777" w:rsidR="005F314F" w:rsidRPr="00A96B9B" w:rsidRDefault="005F314F" w:rsidP="00F21646">
            <w:pPr>
              <w:widowControl w:val="0"/>
              <w:tabs>
                <w:tab w:val="decimal" w:pos="252"/>
              </w:tabs>
              <w:jc w:val="center"/>
              <w:rPr>
                <w:rFonts w:cs="Times New Roman"/>
                <w:b/>
                <w:bCs/>
                <w:sz w:val="20"/>
                <w:szCs w:val="20"/>
              </w:rPr>
            </w:pPr>
            <w:r w:rsidRPr="00A96B9B">
              <w:rPr>
                <w:rFonts w:cs="Times New Roman"/>
                <w:b/>
                <w:bCs/>
                <w:sz w:val="20"/>
                <w:szCs w:val="20"/>
              </w:rPr>
              <w:t>6.88 (4.52 to 9.23)</w:t>
            </w:r>
          </w:p>
        </w:tc>
        <w:tc>
          <w:tcPr>
            <w:tcW w:w="2070" w:type="dxa"/>
          </w:tcPr>
          <w:p w14:paraId="30530A1F" w14:textId="77777777" w:rsidR="005F314F" w:rsidRPr="00A96B9B" w:rsidRDefault="005F314F" w:rsidP="00F21646">
            <w:pPr>
              <w:widowControl w:val="0"/>
              <w:tabs>
                <w:tab w:val="decimal" w:pos="432"/>
              </w:tabs>
              <w:jc w:val="center"/>
              <w:rPr>
                <w:rFonts w:cs="Times New Roman"/>
                <w:b/>
                <w:bCs/>
                <w:sz w:val="20"/>
                <w:szCs w:val="20"/>
              </w:rPr>
            </w:pPr>
            <w:r w:rsidRPr="00A96B9B">
              <w:rPr>
                <w:rFonts w:cs="Times New Roman"/>
                <w:b/>
                <w:bCs/>
                <w:sz w:val="20"/>
                <w:szCs w:val="20"/>
              </w:rPr>
              <w:t>9.94 (7.51 to 12.36)</w:t>
            </w:r>
          </w:p>
        </w:tc>
        <w:tc>
          <w:tcPr>
            <w:tcW w:w="2160" w:type="dxa"/>
          </w:tcPr>
          <w:p w14:paraId="7CB8278B" w14:textId="77777777" w:rsidR="005F314F" w:rsidRPr="00A96B9B" w:rsidRDefault="005F314F" w:rsidP="00F21646">
            <w:pPr>
              <w:widowControl w:val="0"/>
              <w:tabs>
                <w:tab w:val="decimal" w:pos="252"/>
              </w:tabs>
              <w:jc w:val="center"/>
              <w:rPr>
                <w:rFonts w:cs="Times New Roman"/>
                <w:b/>
                <w:bCs/>
                <w:sz w:val="20"/>
                <w:szCs w:val="20"/>
              </w:rPr>
            </w:pPr>
            <w:r w:rsidRPr="00A96B9B">
              <w:rPr>
                <w:rFonts w:cs="Times New Roman"/>
                <w:b/>
                <w:bCs/>
                <w:sz w:val="20"/>
                <w:szCs w:val="20"/>
              </w:rPr>
              <w:t>-3.06 (-5.80 to 0.33)</w:t>
            </w:r>
          </w:p>
        </w:tc>
        <w:tc>
          <w:tcPr>
            <w:tcW w:w="3420" w:type="dxa"/>
          </w:tcPr>
          <w:p w14:paraId="3FD1E8FF" w14:textId="77777777" w:rsidR="005F314F" w:rsidRPr="00A96B9B" w:rsidRDefault="005F314F" w:rsidP="00F21646">
            <w:pPr>
              <w:widowControl w:val="0"/>
              <w:tabs>
                <w:tab w:val="decimal" w:pos="162"/>
              </w:tabs>
              <w:jc w:val="center"/>
              <w:rPr>
                <w:rFonts w:cs="Times New Roman"/>
                <w:b/>
                <w:bCs/>
                <w:sz w:val="20"/>
                <w:szCs w:val="20"/>
              </w:rPr>
            </w:pPr>
            <w:r w:rsidRPr="00A96B9B">
              <w:rPr>
                <w:rFonts w:cs="Times New Roman"/>
                <w:b/>
                <w:bCs/>
                <w:sz w:val="20"/>
                <w:szCs w:val="20"/>
              </w:rPr>
              <w:t>0.46 (0.05 to 0.86)</w:t>
            </w:r>
          </w:p>
        </w:tc>
      </w:tr>
      <w:tr w:rsidR="005F314F" w:rsidRPr="009B384A" w14:paraId="1E494700" w14:textId="77777777" w:rsidTr="00F21646">
        <w:tc>
          <w:tcPr>
            <w:tcW w:w="2538" w:type="dxa"/>
          </w:tcPr>
          <w:p w14:paraId="3BB3228C" w14:textId="77777777" w:rsidR="005F314F" w:rsidRPr="00EE5CC7" w:rsidRDefault="005F314F" w:rsidP="00F21646">
            <w:pPr>
              <w:widowControl w:val="0"/>
              <w:rPr>
                <w:rFonts w:cs="Times New Roman"/>
                <w:sz w:val="20"/>
                <w:szCs w:val="20"/>
              </w:rPr>
            </w:pPr>
            <w:r w:rsidRPr="009B384A">
              <w:rPr>
                <w:rFonts w:cs="Times New Roman"/>
                <w:sz w:val="20"/>
                <w:szCs w:val="20"/>
              </w:rPr>
              <w:t>CGI-S</w:t>
            </w:r>
          </w:p>
        </w:tc>
        <w:tc>
          <w:tcPr>
            <w:tcW w:w="2160" w:type="dxa"/>
          </w:tcPr>
          <w:p w14:paraId="624124CE" w14:textId="77777777" w:rsidR="005F314F" w:rsidRPr="00EE5CC7" w:rsidDel="00EC42BD" w:rsidRDefault="005F314F" w:rsidP="00F21646">
            <w:pPr>
              <w:widowControl w:val="0"/>
              <w:tabs>
                <w:tab w:val="decimal" w:pos="252"/>
              </w:tabs>
              <w:jc w:val="center"/>
              <w:rPr>
                <w:rFonts w:cs="Times New Roman"/>
                <w:sz w:val="20"/>
                <w:szCs w:val="20"/>
              </w:rPr>
            </w:pPr>
          </w:p>
        </w:tc>
        <w:tc>
          <w:tcPr>
            <w:tcW w:w="2070" w:type="dxa"/>
          </w:tcPr>
          <w:p w14:paraId="782DEBC4" w14:textId="77777777" w:rsidR="005F314F" w:rsidRPr="00EE5CC7" w:rsidDel="00EC42BD" w:rsidRDefault="005F314F" w:rsidP="00F21646">
            <w:pPr>
              <w:widowControl w:val="0"/>
              <w:tabs>
                <w:tab w:val="decimal" w:pos="432"/>
              </w:tabs>
              <w:jc w:val="center"/>
              <w:rPr>
                <w:rFonts w:cs="Times New Roman"/>
                <w:sz w:val="20"/>
                <w:szCs w:val="20"/>
              </w:rPr>
            </w:pPr>
          </w:p>
        </w:tc>
        <w:tc>
          <w:tcPr>
            <w:tcW w:w="2160" w:type="dxa"/>
          </w:tcPr>
          <w:p w14:paraId="14BAC4DA" w14:textId="77777777" w:rsidR="005F314F" w:rsidRPr="00EE5CC7" w:rsidRDefault="005F314F" w:rsidP="00F21646">
            <w:pPr>
              <w:widowControl w:val="0"/>
              <w:tabs>
                <w:tab w:val="decimal" w:pos="252"/>
              </w:tabs>
              <w:jc w:val="center"/>
              <w:rPr>
                <w:rFonts w:cs="Times New Roman"/>
                <w:sz w:val="20"/>
                <w:szCs w:val="20"/>
              </w:rPr>
            </w:pPr>
          </w:p>
        </w:tc>
        <w:tc>
          <w:tcPr>
            <w:tcW w:w="3420" w:type="dxa"/>
          </w:tcPr>
          <w:p w14:paraId="5C1EA268" w14:textId="77777777" w:rsidR="005F314F" w:rsidRPr="00EE5CC7" w:rsidRDefault="005F314F" w:rsidP="00F21646">
            <w:pPr>
              <w:widowControl w:val="0"/>
              <w:tabs>
                <w:tab w:val="decimal" w:pos="162"/>
              </w:tabs>
              <w:jc w:val="center"/>
              <w:rPr>
                <w:rFonts w:cs="Times New Roman"/>
                <w:sz w:val="20"/>
                <w:szCs w:val="20"/>
              </w:rPr>
            </w:pPr>
          </w:p>
        </w:tc>
      </w:tr>
      <w:tr w:rsidR="005F314F" w:rsidRPr="009B384A" w14:paraId="5329C3C6" w14:textId="77777777" w:rsidTr="00F21646">
        <w:tc>
          <w:tcPr>
            <w:tcW w:w="2538" w:type="dxa"/>
          </w:tcPr>
          <w:p w14:paraId="7C358EF5" w14:textId="77777777" w:rsidR="005F314F" w:rsidRPr="00EE5CC7" w:rsidRDefault="005F314F" w:rsidP="00F21646">
            <w:pPr>
              <w:widowControl w:val="0"/>
              <w:ind w:left="288"/>
              <w:rPr>
                <w:rFonts w:cs="Times New Roman"/>
                <w:sz w:val="20"/>
                <w:szCs w:val="20"/>
              </w:rPr>
            </w:pPr>
            <w:r w:rsidRPr="009B384A">
              <w:rPr>
                <w:rFonts w:cs="Times New Roman"/>
                <w:sz w:val="20"/>
                <w:szCs w:val="20"/>
              </w:rPr>
              <w:t>Week 6</w:t>
            </w:r>
          </w:p>
        </w:tc>
        <w:tc>
          <w:tcPr>
            <w:tcW w:w="2160" w:type="dxa"/>
          </w:tcPr>
          <w:p w14:paraId="2DBA438B" w14:textId="77777777" w:rsidR="005F314F" w:rsidRPr="002F4648" w:rsidDel="00EC42BD" w:rsidRDefault="005F314F" w:rsidP="00F21646">
            <w:pPr>
              <w:widowControl w:val="0"/>
              <w:tabs>
                <w:tab w:val="decimal" w:pos="252"/>
              </w:tabs>
              <w:jc w:val="center"/>
              <w:rPr>
                <w:rFonts w:cs="Times New Roman"/>
                <w:sz w:val="20"/>
                <w:szCs w:val="20"/>
              </w:rPr>
            </w:pPr>
            <w:r>
              <w:rPr>
                <w:rFonts w:cs="Times New Roman"/>
                <w:sz w:val="20"/>
                <w:szCs w:val="20"/>
              </w:rPr>
              <w:t>3.08 (2.72 to 3.44)</w:t>
            </w:r>
          </w:p>
        </w:tc>
        <w:tc>
          <w:tcPr>
            <w:tcW w:w="2070" w:type="dxa"/>
          </w:tcPr>
          <w:p w14:paraId="5DBDECC2" w14:textId="77777777" w:rsidR="005F314F" w:rsidRPr="002F4648" w:rsidDel="00EC42BD" w:rsidRDefault="005F314F" w:rsidP="00F21646">
            <w:pPr>
              <w:widowControl w:val="0"/>
              <w:tabs>
                <w:tab w:val="decimal" w:pos="432"/>
              </w:tabs>
              <w:jc w:val="center"/>
              <w:rPr>
                <w:rFonts w:cs="Times New Roman"/>
                <w:sz w:val="20"/>
                <w:szCs w:val="20"/>
              </w:rPr>
            </w:pPr>
            <w:r>
              <w:rPr>
                <w:rFonts w:cs="Times New Roman"/>
                <w:sz w:val="20"/>
                <w:szCs w:val="20"/>
              </w:rPr>
              <w:t>3.29 (2.89 to 3.70)</w:t>
            </w:r>
          </w:p>
        </w:tc>
        <w:tc>
          <w:tcPr>
            <w:tcW w:w="2160" w:type="dxa"/>
          </w:tcPr>
          <w:p w14:paraId="5A30B055" w14:textId="77777777" w:rsidR="005F314F" w:rsidRPr="002F4648" w:rsidRDefault="005F314F" w:rsidP="00F21646">
            <w:pPr>
              <w:widowControl w:val="0"/>
              <w:tabs>
                <w:tab w:val="decimal" w:pos="252"/>
              </w:tabs>
              <w:jc w:val="center"/>
              <w:rPr>
                <w:rFonts w:cs="Times New Roman"/>
                <w:sz w:val="20"/>
                <w:szCs w:val="20"/>
              </w:rPr>
            </w:pPr>
            <w:r>
              <w:rPr>
                <w:rFonts w:cs="Times New Roman"/>
                <w:sz w:val="20"/>
                <w:szCs w:val="20"/>
              </w:rPr>
              <w:t>-0.21 (-0.75 to 0.32)</w:t>
            </w:r>
          </w:p>
        </w:tc>
        <w:tc>
          <w:tcPr>
            <w:tcW w:w="3420" w:type="dxa"/>
          </w:tcPr>
          <w:p w14:paraId="18E98F43" w14:textId="77777777" w:rsidR="005F314F" w:rsidRPr="002F4648" w:rsidRDefault="005F314F" w:rsidP="00F21646">
            <w:pPr>
              <w:widowControl w:val="0"/>
              <w:tabs>
                <w:tab w:val="decimal" w:pos="162"/>
              </w:tabs>
              <w:jc w:val="center"/>
              <w:rPr>
                <w:rFonts w:cs="Times New Roman"/>
                <w:sz w:val="20"/>
                <w:szCs w:val="20"/>
              </w:rPr>
            </w:pPr>
            <w:r>
              <w:rPr>
                <w:rFonts w:cs="Times New Roman"/>
                <w:sz w:val="20"/>
                <w:szCs w:val="20"/>
              </w:rPr>
              <w:t>0.18 (-0.27 to 0.63)</w:t>
            </w:r>
          </w:p>
        </w:tc>
      </w:tr>
      <w:tr w:rsidR="005F314F" w:rsidRPr="009B384A" w14:paraId="36A603CF" w14:textId="77777777" w:rsidTr="00F21646">
        <w:tc>
          <w:tcPr>
            <w:tcW w:w="2538" w:type="dxa"/>
          </w:tcPr>
          <w:p w14:paraId="044852E2" w14:textId="77777777" w:rsidR="005F314F" w:rsidRPr="002F4648" w:rsidRDefault="005F314F" w:rsidP="00F21646">
            <w:pPr>
              <w:widowControl w:val="0"/>
              <w:ind w:left="288"/>
              <w:rPr>
                <w:rFonts w:cs="Times New Roman"/>
                <w:sz w:val="20"/>
                <w:szCs w:val="20"/>
              </w:rPr>
            </w:pPr>
            <w:r w:rsidRPr="002F4648">
              <w:rPr>
                <w:rFonts w:cs="Times New Roman"/>
                <w:sz w:val="20"/>
                <w:szCs w:val="20"/>
              </w:rPr>
              <w:t>Week 12</w:t>
            </w:r>
          </w:p>
        </w:tc>
        <w:tc>
          <w:tcPr>
            <w:tcW w:w="2160" w:type="dxa"/>
          </w:tcPr>
          <w:p w14:paraId="65A0544F" w14:textId="77777777" w:rsidR="005F314F" w:rsidRPr="002F4648" w:rsidDel="00EC42BD" w:rsidRDefault="005F314F" w:rsidP="00F21646">
            <w:pPr>
              <w:widowControl w:val="0"/>
              <w:tabs>
                <w:tab w:val="decimal" w:pos="252"/>
              </w:tabs>
              <w:jc w:val="center"/>
              <w:rPr>
                <w:rFonts w:cs="Times New Roman"/>
                <w:sz w:val="20"/>
                <w:szCs w:val="20"/>
              </w:rPr>
            </w:pPr>
            <w:r>
              <w:rPr>
                <w:rFonts w:cs="Times New Roman"/>
                <w:sz w:val="20"/>
                <w:szCs w:val="20"/>
              </w:rPr>
              <w:t>2.37 (1.92 to 2.83)</w:t>
            </w:r>
          </w:p>
        </w:tc>
        <w:tc>
          <w:tcPr>
            <w:tcW w:w="2070" w:type="dxa"/>
          </w:tcPr>
          <w:p w14:paraId="52CF3AFB" w14:textId="77777777" w:rsidR="005F314F" w:rsidRPr="002F4648" w:rsidDel="00EC42BD" w:rsidRDefault="005F314F" w:rsidP="00F21646">
            <w:pPr>
              <w:widowControl w:val="0"/>
              <w:tabs>
                <w:tab w:val="decimal" w:pos="432"/>
              </w:tabs>
              <w:jc w:val="center"/>
              <w:rPr>
                <w:rFonts w:cs="Times New Roman"/>
                <w:sz w:val="20"/>
                <w:szCs w:val="20"/>
              </w:rPr>
            </w:pPr>
            <w:r>
              <w:rPr>
                <w:rFonts w:cs="Times New Roman"/>
                <w:sz w:val="20"/>
                <w:szCs w:val="20"/>
              </w:rPr>
              <w:t>2.88 (2.47 to 3.29)</w:t>
            </w:r>
          </w:p>
        </w:tc>
        <w:tc>
          <w:tcPr>
            <w:tcW w:w="2160" w:type="dxa"/>
          </w:tcPr>
          <w:p w14:paraId="731698AE" w14:textId="77777777" w:rsidR="005F314F" w:rsidRPr="002F4648" w:rsidRDefault="005F314F" w:rsidP="00F21646">
            <w:pPr>
              <w:widowControl w:val="0"/>
              <w:tabs>
                <w:tab w:val="decimal" w:pos="252"/>
              </w:tabs>
              <w:jc w:val="center"/>
              <w:rPr>
                <w:rFonts w:cs="Times New Roman"/>
                <w:sz w:val="20"/>
                <w:szCs w:val="20"/>
              </w:rPr>
            </w:pPr>
            <w:r>
              <w:rPr>
                <w:rFonts w:cs="Times New Roman"/>
                <w:sz w:val="20"/>
                <w:szCs w:val="20"/>
              </w:rPr>
              <w:t>-0.51 (-1.06 to 0.04)</w:t>
            </w:r>
          </w:p>
        </w:tc>
        <w:tc>
          <w:tcPr>
            <w:tcW w:w="3420" w:type="dxa"/>
          </w:tcPr>
          <w:p w14:paraId="44EC41D3" w14:textId="77777777" w:rsidR="005F314F" w:rsidRPr="002F4648" w:rsidRDefault="005F314F" w:rsidP="00F21646">
            <w:pPr>
              <w:widowControl w:val="0"/>
              <w:tabs>
                <w:tab w:val="decimal" w:pos="162"/>
              </w:tabs>
              <w:jc w:val="center"/>
              <w:rPr>
                <w:rFonts w:cs="Times New Roman"/>
                <w:sz w:val="20"/>
                <w:szCs w:val="20"/>
              </w:rPr>
            </w:pPr>
            <w:r>
              <w:rPr>
                <w:rFonts w:cs="Times New Roman"/>
                <w:sz w:val="20"/>
                <w:szCs w:val="20"/>
              </w:rPr>
              <w:t>0.41 (-0.04 to 0.87)</w:t>
            </w:r>
          </w:p>
        </w:tc>
      </w:tr>
      <w:tr w:rsidR="005F314F" w:rsidRPr="009B384A" w14:paraId="0ED65D1A" w14:textId="77777777" w:rsidTr="00F21646">
        <w:tc>
          <w:tcPr>
            <w:tcW w:w="2538" w:type="dxa"/>
          </w:tcPr>
          <w:p w14:paraId="19ECF2F8" w14:textId="77777777" w:rsidR="005F314F" w:rsidRDefault="005F314F" w:rsidP="00F21646">
            <w:pPr>
              <w:widowControl w:val="0"/>
              <w:rPr>
                <w:rFonts w:cs="Times New Roman"/>
                <w:sz w:val="20"/>
                <w:szCs w:val="20"/>
              </w:rPr>
            </w:pPr>
            <w:r>
              <w:rPr>
                <w:rFonts w:cs="Times New Roman"/>
                <w:sz w:val="20"/>
                <w:szCs w:val="20"/>
              </w:rPr>
              <w:t>MIST-A Automatic</w:t>
            </w:r>
          </w:p>
        </w:tc>
        <w:tc>
          <w:tcPr>
            <w:tcW w:w="2160" w:type="dxa"/>
          </w:tcPr>
          <w:p w14:paraId="3231D49C" w14:textId="77777777" w:rsidR="005F314F" w:rsidRDefault="005F314F" w:rsidP="00F21646">
            <w:pPr>
              <w:widowControl w:val="0"/>
              <w:tabs>
                <w:tab w:val="decimal" w:pos="252"/>
              </w:tabs>
              <w:rPr>
                <w:rFonts w:cs="Times New Roman"/>
                <w:sz w:val="20"/>
                <w:szCs w:val="20"/>
              </w:rPr>
            </w:pPr>
          </w:p>
        </w:tc>
        <w:tc>
          <w:tcPr>
            <w:tcW w:w="2070" w:type="dxa"/>
          </w:tcPr>
          <w:p w14:paraId="3CB62735" w14:textId="77777777" w:rsidR="005F314F" w:rsidRDefault="005F314F" w:rsidP="00F21646">
            <w:pPr>
              <w:widowControl w:val="0"/>
              <w:tabs>
                <w:tab w:val="decimal" w:pos="432"/>
              </w:tabs>
              <w:jc w:val="center"/>
              <w:rPr>
                <w:rFonts w:cs="Times New Roman"/>
                <w:sz w:val="20"/>
                <w:szCs w:val="20"/>
              </w:rPr>
            </w:pPr>
          </w:p>
        </w:tc>
        <w:tc>
          <w:tcPr>
            <w:tcW w:w="2160" w:type="dxa"/>
          </w:tcPr>
          <w:p w14:paraId="330B017C" w14:textId="77777777" w:rsidR="005F314F" w:rsidRDefault="005F314F" w:rsidP="00F21646">
            <w:pPr>
              <w:widowControl w:val="0"/>
              <w:tabs>
                <w:tab w:val="decimal" w:pos="252"/>
              </w:tabs>
              <w:jc w:val="center"/>
              <w:rPr>
                <w:rFonts w:cs="Times New Roman"/>
                <w:sz w:val="20"/>
                <w:szCs w:val="20"/>
              </w:rPr>
            </w:pPr>
          </w:p>
        </w:tc>
        <w:tc>
          <w:tcPr>
            <w:tcW w:w="3420" w:type="dxa"/>
          </w:tcPr>
          <w:p w14:paraId="4844B4BC" w14:textId="77777777" w:rsidR="005F314F" w:rsidRDefault="005F314F" w:rsidP="00F21646">
            <w:pPr>
              <w:widowControl w:val="0"/>
              <w:tabs>
                <w:tab w:val="decimal" w:pos="162"/>
              </w:tabs>
              <w:jc w:val="center"/>
              <w:rPr>
                <w:rFonts w:cs="Times New Roman"/>
                <w:sz w:val="20"/>
                <w:szCs w:val="20"/>
              </w:rPr>
            </w:pPr>
          </w:p>
        </w:tc>
      </w:tr>
      <w:tr w:rsidR="005F314F" w:rsidRPr="009B384A" w14:paraId="35143ACA" w14:textId="77777777" w:rsidTr="00F21646">
        <w:tc>
          <w:tcPr>
            <w:tcW w:w="2538" w:type="dxa"/>
          </w:tcPr>
          <w:p w14:paraId="50BE68E4" w14:textId="77777777" w:rsidR="005F314F" w:rsidRDefault="005F314F" w:rsidP="00F21646">
            <w:pPr>
              <w:widowControl w:val="0"/>
              <w:ind w:left="288"/>
              <w:rPr>
                <w:rFonts w:cs="Times New Roman"/>
                <w:sz w:val="20"/>
                <w:szCs w:val="20"/>
              </w:rPr>
            </w:pPr>
            <w:r w:rsidRPr="009B384A">
              <w:rPr>
                <w:rFonts w:cs="Times New Roman"/>
                <w:sz w:val="20"/>
                <w:szCs w:val="20"/>
              </w:rPr>
              <w:t>Week 6</w:t>
            </w:r>
          </w:p>
        </w:tc>
        <w:tc>
          <w:tcPr>
            <w:tcW w:w="2160" w:type="dxa"/>
          </w:tcPr>
          <w:p w14:paraId="33CAC061" w14:textId="77777777" w:rsidR="005F314F" w:rsidRDefault="005F314F" w:rsidP="00F21646">
            <w:pPr>
              <w:widowControl w:val="0"/>
              <w:tabs>
                <w:tab w:val="decimal" w:pos="252"/>
              </w:tabs>
              <w:rPr>
                <w:rFonts w:cs="Times New Roman"/>
                <w:sz w:val="20"/>
                <w:szCs w:val="20"/>
              </w:rPr>
            </w:pPr>
            <w:r>
              <w:rPr>
                <w:rFonts w:cs="Times New Roman"/>
                <w:sz w:val="20"/>
                <w:szCs w:val="20"/>
              </w:rPr>
              <w:t>20.34 (16.33 to 24.35)</w:t>
            </w:r>
          </w:p>
        </w:tc>
        <w:tc>
          <w:tcPr>
            <w:tcW w:w="2070" w:type="dxa"/>
          </w:tcPr>
          <w:p w14:paraId="04432302" w14:textId="77777777" w:rsidR="005F314F" w:rsidRDefault="005F314F" w:rsidP="00F21646">
            <w:pPr>
              <w:widowControl w:val="0"/>
              <w:tabs>
                <w:tab w:val="decimal" w:pos="432"/>
              </w:tabs>
              <w:jc w:val="center"/>
              <w:rPr>
                <w:rFonts w:cs="Times New Roman"/>
                <w:sz w:val="20"/>
                <w:szCs w:val="20"/>
              </w:rPr>
            </w:pPr>
            <w:r>
              <w:rPr>
                <w:rFonts w:cs="Times New Roman"/>
                <w:sz w:val="20"/>
                <w:szCs w:val="20"/>
              </w:rPr>
              <w:t>21.67 (14.64 to 28.71)</w:t>
            </w:r>
          </w:p>
        </w:tc>
        <w:tc>
          <w:tcPr>
            <w:tcW w:w="2160" w:type="dxa"/>
          </w:tcPr>
          <w:p w14:paraId="1EA2A812" w14:textId="77777777" w:rsidR="005F314F" w:rsidRDefault="005F314F" w:rsidP="00F21646">
            <w:pPr>
              <w:widowControl w:val="0"/>
              <w:tabs>
                <w:tab w:val="decimal" w:pos="252"/>
              </w:tabs>
              <w:jc w:val="center"/>
              <w:rPr>
                <w:rFonts w:cs="Times New Roman"/>
                <w:sz w:val="20"/>
                <w:szCs w:val="20"/>
              </w:rPr>
            </w:pPr>
            <w:r>
              <w:rPr>
                <w:rFonts w:cs="Times New Roman"/>
                <w:sz w:val="20"/>
                <w:szCs w:val="20"/>
              </w:rPr>
              <w:t>-1.34 (-8.61 to 5.93)</w:t>
            </w:r>
          </w:p>
        </w:tc>
        <w:tc>
          <w:tcPr>
            <w:tcW w:w="3420" w:type="dxa"/>
          </w:tcPr>
          <w:p w14:paraId="611671AF" w14:textId="77777777" w:rsidR="005F314F" w:rsidRDefault="005F314F" w:rsidP="00F21646">
            <w:pPr>
              <w:widowControl w:val="0"/>
              <w:tabs>
                <w:tab w:val="decimal" w:pos="162"/>
              </w:tabs>
              <w:jc w:val="center"/>
              <w:rPr>
                <w:rFonts w:cs="Times New Roman"/>
                <w:sz w:val="20"/>
                <w:szCs w:val="20"/>
              </w:rPr>
            </w:pPr>
            <w:r>
              <w:rPr>
                <w:rFonts w:cs="Times New Roman"/>
                <w:sz w:val="20"/>
                <w:szCs w:val="20"/>
              </w:rPr>
              <w:t>0.10 (-0.46 to 0.67)</w:t>
            </w:r>
          </w:p>
        </w:tc>
      </w:tr>
      <w:tr w:rsidR="005F314F" w:rsidRPr="009B384A" w14:paraId="40BA88F7" w14:textId="77777777" w:rsidTr="00F21646">
        <w:tc>
          <w:tcPr>
            <w:tcW w:w="2538" w:type="dxa"/>
          </w:tcPr>
          <w:p w14:paraId="642026A8" w14:textId="77777777" w:rsidR="005F314F" w:rsidRDefault="005F314F" w:rsidP="00F21646">
            <w:pPr>
              <w:widowControl w:val="0"/>
              <w:ind w:left="288"/>
              <w:rPr>
                <w:rFonts w:cs="Times New Roman"/>
                <w:sz w:val="20"/>
                <w:szCs w:val="20"/>
              </w:rPr>
            </w:pPr>
            <w:r w:rsidRPr="002F4648">
              <w:rPr>
                <w:rFonts w:cs="Times New Roman"/>
                <w:sz w:val="20"/>
                <w:szCs w:val="20"/>
              </w:rPr>
              <w:t>Week 12</w:t>
            </w:r>
          </w:p>
        </w:tc>
        <w:tc>
          <w:tcPr>
            <w:tcW w:w="2160" w:type="dxa"/>
          </w:tcPr>
          <w:p w14:paraId="4077DB9D" w14:textId="77777777" w:rsidR="005F314F" w:rsidRDefault="005F314F" w:rsidP="00F21646">
            <w:pPr>
              <w:widowControl w:val="0"/>
              <w:tabs>
                <w:tab w:val="decimal" w:pos="252"/>
              </w:tabs>
              <w:rPr>
                <w:rFonts w:cs="Times New Roman"/>
                <w:sz w:val="20"/>
                <w:szCs w:val="20"/>
              </w:rPr>
            </w:pPr>
            <w:r>
              <w:rPr>
                <w:rFonts w:cs="Times New Roman"/>
                <w:sz w:val="20"/>
                <w:szCs w:val="20"/>
              </w:rPr>
              <w:t>15.33 (9.37 to 21.29)</w:t>
            </w:r>
          </w:p>
        </w:tc>
        <w:tc>
          <w:tcPr>
            <w:tcW w:w="2070" w:type="dxa"/>
          </w:tcPr>
          <w:p w14:paraId="5130F50B" w14:textId="77777777" w:rsidR="005F314F" w:rsidRDefault="005F314F" w:rsidP="00F21646">
            <w:pPr>
              <w:widowControl w:val="0"/>
              <w:tabs>
                <w:tab w:val="decimal" w:pos="432"/>
              </w:tabs>
              <w:jc w:val="center"/>
              <w:rPr>
                <w:rFonts w:cs="Times New Roman"/>
                <w:sz w:val="20"/>
                <w:szCs w:val="20"/>
              </w:rPr>
            </w:pPr>
            <w:r>
              <w:rPr>
                <w:rFonts w:cs="Times New Roman"/>
                <w:sz w:val="20"/>
                <w:szCs w:val="20"/>
              </w:rPr>
              <w:t>19.37 (13.16 to 25.58</w:t>
            </w:r>
          </w:p>
        </w:tc>
        <w:tc>
          <w:tcPr>
            <w:tcW w:w="2160" w:type="dxa"/>
          </w:tcPr>
          <w:p w14:paraId="5E358D1F" w14:textId="77777777" w:rsidR="005F314F" w:rsidRDefault="005F314F" w:rsidP="00F21646">
            <w:pPr>
              <w:widowControl w:val="0"/>
              <w:tabs>
                <w:tab w:val="decimal" w:pos="252"/>
              </w:tabs>
              <w:jc w:val="center"/>
              <w:rPr>
                <w:rFonts w:cs="Times New Roman"/>
                <w:sz w:val="20"/>
                <w:szCs w:val="20"/>
              </w:rPr>
            </w:pPr>
            <w:r>
              <w:rPr>
                <w:rFonts w:cs="Times New Roman"/>
                <w:sz w:val="20"/>
                <w:szCs w:val="20"/>
              </w:rPr>
              <w:t>-4.04 (-10.76 to 2.68)</w:t>
            </w:r>
          </w:p>
        </w:tc>
        <w:tc>
          <w:tcPr>
            <w:tcW w:w="3420" w:type="dxa"/>
          </w:tcPr>
          <w:p w14:paraId="4773CE34" w14:textId="77777777" w:rsidR="005F314F" w:rsidRDefault="005F314F" w:rsidP="00F21646">
            <w:pPr>
              <w:widowControl w:val="0"/>
              <w:tabs>
                <w:tab w:val="decimal" w:pos="162"/>
              </w:tabs>
              <w:jc w:val="center"/>
              <w:rPr>
                <w:rFonts w:cs="Times New Roman"/>
                <w:sz w:val="20"/>
                <w:szCs w:val="20"/>
              </w:rPr>
            </w:pPr>
            <w:r>
              <w:rPr>
                <w:rFonts w:cs="Times New Roman"/>
                <w:sz w:val="20"/>
                <w:szCs w:val="20"/>
              </w:rPr>
              <w:t>0.30 (-0.20 to 0.79)</w:t>
            </w:r>
          </w:p>
        </w:tc>
      </w:tr>
      <w:tr w:rsidR="005F314F" w:rsidRPr="009B384A" w14:paraId="224E91DB" w14:textId="77777777" w:rsidTr="00F21646">
        <w:tc>
          <w:tcPr>
            <w:tcW w:w="2538" w:type="dxa"/>
          </w:tcPr>
          <w:p w14:paraId="4F255108" w14:textId="77777777" w:rsidR="005F314F" w:rsidRDefault="005F314F" w:rsidP="00F21646">
            <w:pPr>
              <w:widowControl w:val="0"/>
              <w:rPr>
                <w:rFonts w:cs="Times New Roman"/>
                <w:sz w:val="20"/>
                <w:szCs w:val="20"/>
              </w:rPr>
            </w:pPr>
            <w:r>
              <w:rPr>
                <w:rFonts w:cs="Times New Roman"/>
                <w:sz w:val="20"/>
                <w:szCs w:val="20"/>
              </w:rPr>
              <w:t>MIST-A Focused</w:t>
            </w:r>
          </w:p>
        </w:tc>
        <w:tc>
          <w:tcPr>
            <w:tcW w:w="2160" w:type="dxa"/>
          </w:tcPr>
          <w:p w14:paraId="65A28FEC" w14:textId="77777777" w:rsidR="005F314F" w:rsidRDefault="005F314F" w:rsidP="00F21646">
            <w:pPr>
              <w:widowControl w:val="0"/>
              <w:tabs>
                <w:tab w:val="decimal" w:pos="252"/>
              </w:tabs>
              <w:rPr>
                <w:rFonts w:cs="Times New Roman"/>
                <w:sz w:val="20"/>
                <w:szCs w:val="20"/>
              </w:rPr>
            </w:pPr>
          </w:p>
        </w:tc>
        <w:tc>
          <w:tcPr>
            <w:tcW w:w="2070" w:type="dxa"/>
          </w:tcPr>
          <w:p w14:paraId="28783FC8" w14:textId="77777777" w:rsidR="005F314F" w:rsidRDefault="005F314F" w:rsidP="00F21646">
            <w:pPr>
              <w:widowControl w:val="0"/>
              <w:tabs>
                <w:tab w:val="decimal" w:pos="432"/>
              </w:tabs>
              <w:jc w:val="center"/>
              <w:rPr>
                <w:rFonts w:cs="Times New Roman"/>
                <w:sz w:val="20"/>
                <w:szCs w:val="20"/>
              </w:rPr>
            </w:pPr>
          </w:p>
        </w:tc>
        <w:tc>
          <w:tcPr>
            <w:tcW w:w="2160" w:type="dxa"/>
          </w:tcPr>
          <w:p w14:paraId="2833967A" w14:textId="77777777" w:rsidR="005F314F" w:rsidRDefault="005F314F" w:rsidP="00F21646">
            <w:pPr>
              <w:widowControl w:val="0"/>
              <w:tabs>
                <w:tab w:val="decimal" w:pos="252"/>
              </w:tabs>
              <w:jc w:val="center"/>
              <w:rPr>
                <w:rFonts w:cs="Times New Roman"/>
                <w:sz w:val="20"/>
                <w:szCs w:val="20"/>
              </w:rPr>
            </w:pPr>
          </w:p>
        </w:tc>
        <w:tc>
          <w:tcPr>
            <w:tcW w:w="3420" w:type="dxa"/>
          </w:tcPr>
          <w:p w14:paraId="5E209059" w14:textId="77777777" w:rsidR="005F314F" w:rsidRDefault="005F314F" w:rsidP="00F21646">
            <w:pPr>
              <w:widowControl w:val="0"/>
              <w:tabs>
                <w:tab w:val="decimal" w:pos="162"/>
              </w:tabs>
              <w:jc w:val="center"/>
              <w:rPr>
                <w:rFonts w:cs="Times New Roman"/>
                <w:sz w:val="20"/>
                <w:szCs w:val="20"/>
              </w:rPr>
            </w:pPr>
          </w:p>
        </w:tc>
      </w:tr>
      <w:tr w:rsidR="005F314F" w:rsidRPr="009B384A" w14:paraId="6B9E70FE" w14:textId="77777777" w:rsidTr="00F21646">
        <w:tc>
          <w:tcPr>
            <w:tcW w:w="2538" w:type="dxa"/>
          </w:tcPr>
          <w:p w14:paraId="3B3E4B23" w14:textId="77777777" w:rsidR="005F314F" w:rsidRDefault="005F314F" w:rsidP="00F21646">
            <w:pPr>
              <w:widowControl w:val="0"/>
              <w:ind w:left="288"/>
              <w:rPr>
                <w:rFonts w:cs="Times New Roman"/>
                <w:sz w:val="20"/>
                <w:szCs w:val="20"/>
              </w:rPr>
            </w:pPr>
            <w:r w:rsidRPr="009B384A">
              <w:rPr>
                <w:rFonts w:cs="Times New Roman"/>
                <w:sz w:val="20"/>
                <w:szCs w:val="20"/>
              </w:rPr>
              <w:t>Week 6</w:t>
            </w:r>
          </w:p>
        </w:tc>
        <w:tc>
          <w:tcPr>
            <w:tcW w:w="2160" w:type="dxa"/>
          </w:tcPr>
          <w:p w14:paraId="5FD5499E" w14:textId="77777777" w:rsidR="005F314F" w:rsidRDefault="005F314F" w:rsidP="00F21646">
            <w:pPr>
              <w:widowControl w:val="0"/>
              <w:tabs>
                <w:tab w:val="decimal" w:pos="252"/>
              </w:tabs>
              <w:rPr>
                <w:rFonts w:cs="Times New Roman"/>
                <w:sz w:val="20"/>
                <w:szCs w:val="20"/>
              </w:rPr>
            </w:pPr>
            <w:r>
              <w:rPr>
                <w:rFonts w:cs="Times New Roman"/>
                <w:sz w:val="20"/>
                <w:szCs w:val="20"/>
              </w:rPr>
              <w:t>40.08 (34.03 to 46.14)</w:t>
            </w:r>
          </w:p>
        </w:tc>
        <w:tc>
          <w:tcPr>
            <w:tcW w:w="2070" w:type="dxa"/>
          </w:tcPr>
          <w:p w14:paraId="14760C51" w14:textId="77777777" w:rsidR="005F314F" w:rsidRDefault="005F314F" w:rsidP="00F21646">
            <w:pPr>
              <w:widowControl w:val="0"/>
              <w:tabs>
                <w:tab w:val="decimal" w:pos="432"/>
              </w:tabs>
              <w:jc w:val="center"/>
              <w:rPr>
                <w:rFonts w:cs="Times New Roman"/>
                <w:sz w:val="20"/>
                <w:szCs w:val="20"/>
              </w:rPr>
            </w:pPr>
            <w:r>
              <w:rPr>
                <w:rFonts w:cs="Times New Roman"/>
                <w:sz w:val="20"/>
                <w:szCs w:val="20"/>
              </w:rPr>
              <w:t>43.03 (35.73 to 50.34)</w:t>
            </w:r>
          </w:p>
        </w:tc>
        <w:tc>
          <w:tcPr>
            <w:tcW w:w="2160" w:type="dxa"/>
          </w:tcPr>
          <w:p w14:paraId="0FC331B5" w14:textId="77777777" w:rsidR="005F314F" w:rsidRDefault="005F314F" w:rsidP="00F21646">
            <w:pPr>
              <w:widowControl w:val="0"/>
              <w:tabs>
                <w:tab w:val="decimal" w:pos="252"/>
              </w:tabs>
              <w:jc w:val="center"/>
              <w:rPr>
                <w:rFonts w:cs="Times New Roman"/>
                <w:sz w:val="20"/>
                <w:szCs w:val="20"/>
              </w:rPr>
            </w:pPr>
            <w:r>
              <w:rPr>
                <w:rFonts w:cs="Times New Roman"/>
                <w:sz w:val="20"/>
                <w:szCs w:val="20"/>
              </w:rPr>
              <w:t>-2.95 (-12.09 to 6.20)</w:t>
            </w:r>
          </w:p>
        </w:tc>
        <w:tc>
          <w:tcPr>
            <w:tcW w:w="3420" w:type="dxa"/>
          </w:tcPr>
          <w:p w14:paraId="4E569BA9" w14:textId="77777777" w:rsidR="005F314F" w:rsidRDefault="005F314F" w:rsidP="00F21646">
            <w:pPr>
              <w:widowControl w:val="0"/>
              <w:tabs>
                <w:tab w:val="decimal" w:pos="162"/>
              </w:tabs>
              <w:jc w:val="center"/>
              <w:rPr>
                <w:rFonts w:cs="Times New Roman"/>
                <w:sz w:val="20"/>
                <w:szCs w:val="20"/>
              </w:rPr>
            </w:pPr>
            <w:r>
              <w:rPr>
                <w:rFonts w:cs="Times New Roman"/>
                <w:sz w:val="20"/>
                <w:szCs w:val="20"/>
              </w:rPr>
              <w:t>0.13 (-0.28 to 0.54)</w:t>
            </w:r>
          </w:p>
        </w:tc>
      </w:tr>
      <w:tr w:rsidR="005F314F" w:rsidRPr="009B384A" w14:paraId="304152F0" w14:textId="77777777" w:rsidTr="00F21646">
        <w:tc>
          <w:tcPr>
            <w:tcW w:w="2538" w:type="dxa"/>
          </w:tcPr>
          <w:p w14:paraId="3861AEDE" w14:textId="77777777" w:rsidR="005F314F" w:rsidRDefault="005F314F" w:rsidP="00F21646">
            <w:pPr>
              <w:widowControl w:val="0"/>
              <w:ind w:left="288"/>
              <w:rPr>
                <w:rFonts w:cs="Times New Roman"/>
                <w:sz w:val="20"/>
                <w:szCs w:val="20"/>
              </w:rPr>
            </w:pPr>
            <w:r w:rsidRPr="002F4648">
              <w:rPr>
                <w:rFonts w:cs="Times New Roman"/>
                <w:sz w:val="20"/>
                <w:szCs w:val="20"/>
              </w:rPr>
              <w:t>Week 12</w:t>
            </w:r>
          </w:p>
        </w:tc>
        <w:tc>
          <w:tcPr>
            <w:tcW w:w="2160" w:type="dxa"/>
          </w:tcPr>
          <w:p w14:paraId="167E5863" w14:textId="77777777" w:rsidR="005F314F" w:rsidRDefault="005F314F" w:rsidP="00F21646">
            <w:pPr>
              <w:widowControl w:val="0"/>
              <w:tabs>
                <w:tab w:val="decimal" w:pos="252"/>
              </w:tabs>
              <w:rPr>
                <w:rFonts w:cs="Times New Roman"/>
                <w:sz w:val="20"/>
                <w:szCs w:val="20"/>
              </w:rPr>
            </w:pPr>
            <w:r>
              <w:rPr>
                <w:rFonts w:cs="Times New Roman"/>
                <w:sz w:val="20"/>
                <w:szCs w:val="20"/>
              </w:rPr>
              <w:t>31.40 (15.55 to 47.26)</w:t>
            </w:r>
          </w:p>
        </w:tc>
        <w:tc>
          <w:tcPr>
            <w:tcW w:w="2070" w:type="dxa"/>
          </w:tcPr>
          <w:p w14:paraId="08118A5C" w14:textId="77777777" w:rsidR="005F314F" w:rsidRDefault="005F314F" w:rsidP="00F21646">
            <w:pPr>
              <w:widowControl w:val="0"/>
              <w:tabs>
                <w:tab w:val="decimal" w:pos="432"/>
              </w:tabs>
              <w:jc w:val="center"/>
              <w:rPr>
                <w:rFonts w:cs="Times New Roman"/>
                <w:sz w:val="20"/>
                <w:szCs w:val="20"/>
              </w:rPr>
            </w:pPr>
            <w:r>
              <w:rPr>
                <w:rFonts w:cs="Times New Roman"/>
                <w:sz w:val="20"/>
                <w:szCs w:val="20"/>
              </w:rPr>
              <w:t>38.46 (24.40 to 52.51)</w:t>
            </w:r>
          </w:p>
        </w:tc>
        <w:tc>
          <w:tcPr>
            <w:tcW w:w="2160" w:type="dxa"/>
          </w:tcPr>
          <w:p w14:paraId="23F5AE56" w14:textId="77777777" w:rsidR="005F314F" w:rsidRDefault="005F314F" w:rsidP="00F21646">
            <w:pPr>
              <w:widowControl w:val="0"/>
              <w:tabs>
                <w:tab w:val="decimal" w:pos="252"/>
              </w:tabs>
              <w:jc w:val="center"/>
              <w:rPr>
                <w:rFonts w:cs="Times New Roman"/>
                <w:sz w:val="20"/>
                <w:szCs w:val="20"/>
              </w:rPr>
            </w:pPr>
            <w:r>
              <w:rPr>
                <w:rFonts w:cs="Times New Roman"/>
                <w:sz w:val="20"/>
                <w:szCs w:val="20"/>
              </w:rPr>
              <w:t>-7.05 (-19.15 to 5.04)</w:t>
            </w:r>
          </w:p>
        </w:tc>
        <w:tc>
          <w:tcPr>
            <w:tcW w:w="3420" w:type="dxa"/>
          </w:tcPr>
          <w:p w14:paraId="232DD496" w14:textId="77777777" w:rsidR="005F314F" w:rsidRDefault="005F314F" w:rsidP="00F21646">
            <w:pPr>
              <w:widowControl w:val="0"/>
              <w:tabs>
                <w:tab w:val="decimal" w:pos="162"/>
              </w:tabs>
              <w:jc w:val="center"/>
              <w:rPr>
                <w:rFonts w:cs="Times New Roman"/>
                <w:sz w:val="20"/>
                <w:szCs w:val="20"/>
              </w:rPr>
            </w:pPr>
            <w:r>
              <w:rPr>
                <w:rFonts w:cs="Times New Roman"/>
                <w:sz w:val="20"/>
                <w:szCs w:val="20"/>
              </w:rPr>
              <w:t>0.28 (-0.20 to 0.77)</w:t>
            </w:r>
          </w:p>
        </w:tc>
      </w:tr>
    </w:tbl>
    <w:p w14:paraId="48D4551D" w14:textId="77777777" w:rsidR="00926801" w:rsidRDefault="00926801" w:rsidP="005F314F">
      <w:pPr>
        <w:widowControl w:val="0"/>
        <w:rPr>
          <w:rFonts w:eastAsia="Times New Roman" w:cs="Times New Roman"/>
          <w:i/>
          <w:szCs w:val="24"/>
        </w:rPr>
      </w:pPr>
    </w:p>
    <w:p w14:paraId="55178FDC" w14:textId="6C6A65E8" w:rsidR="005F314F" w:rsidRPr="00535B23" w:rsidRDefault="005F314F" w:rsidP="005F314F">
      <w:pPr>
        <w:widowControl w:val="0"/>
        <w:rPr>
          <w:rFonts w:eastAsia="Times New Roman" w:cs="Times New Roman"/>
          <w:szCs w:val="24"/>
        </w:rPr>
      </w:pPr>
      <w:r>
        <w:rPr>
          <w:rFonts w:eastAsia="Times New Roman" w:cs="Times New Roman"/>
          <w:i/>
          <w:szCs w:val="24"/>
        </w:rPr>
        <w:t>Note.</w:t>
      </w:r>
      <w:r w:rsidRPr="00A720AB">
        <w:rPr>
          <w:rFonts w:eastAsia="Times New Roman" w:cs="Times New Roman"/>
          <w:szCs w:val="24"/>
        </w:rPr>
        <w:t xml:space="preserve"> </w:t>
      </w:r>
      <w:bookmarkStart w:id="8" w:name="_Hlk511484784"/>
      <w:r w:rsidRPr="00A720AB">
        <w:rPr>
          <w:rFonts w:eastAsia="Times New Roman" w:cs="Times New Roman"/>
          <w:szCs w:val="24"/>
        </w:rPr>
        <w:t>AEBT</w:t>
      </w:r>
      <w:r>
        <w:rPr>
          <w:rFonts w:eastAsia="Times New Roman" w:cs="Times New Roman"/>
          <w:szCs w:val="24"/>
        </w:rPr>
        <w:t>-TTM</w:t>
      </w:r>
      <w:r w:rsidRPr="00A720AB">
        <w:rPr>
          <w:rFonts w:eastAsia="Times New Roman" w:cs="Times New Roman"/>
          <w:szCs w:val="24"/>
        </w:rPr>
        <w:t xml:space="preserve"> = </w:t>
      </w:r>
      <w:r>
        <w:rPr>
          <w:rFonts w:eastAsia="Times New Roman" w:cs="Times New Roman"/>
          <w:szCs w:val="24"/>
        </w:rPr>
        <w:t>Acceptance-enhanced behavior therapy for trichotillomania</w:t>
      </w:r>
      <w:r w:rsidRPr="00A720AB">
        <w:rPr>
          <w:rFonts w:eastAsia="Times New Roman" w:cs="Times New Roman"/>
          <w:szCs w:val="24"/>
        </w:rPr>
        <w:t xml:space="preserve">; PST = </w:t>
      </w:r>
      <w:r>
        <w:rPr>
          <w:rFonts w:eastAsia="Times New Roman" w:cs="Times New Roman"/>
          <w:szCs w:val="24"/>
        </w:rPr>
        <w:t>Psychoeducation and supportive therapy</w:t>
      </w:r>
      <w:bookmarkEnd w:id="8"/>
      <w:r w:rsidRPr="00A720AB">
        <w:rPr>
          <w:rFonts w:eastAsia="Times New Roman" w:cs="Times New Roman"/>
          <w:szCs w:val="24"/>
        </w:rPr>
        <w:t xml:space="preserve">; </w:t>
      </w:r>
      <w:r>
        <w:rPr>
          <w:rFonts w:eastAsia="Times New Roman" w:cs="Times New Roman"/>
          <w:szCs w:val="24"/>
        </w:rPr>
        <w:t xml:space="preserve">NNT = Number needed to treat; </w:t>
      </w:r>
      <w:r w:rsidRPr="00A720AB">
        <w:rPr>
          <w:rFonts w:eastAsia="Times New Roman" w:cs="Times New Roman"/>
          <w:szCs w:val="24"/>
        </w:rPr>
        <w:t>NIMH-TSS = National</w:t>
      </w:r>
      <w:r>
        <w:rPr>
          <w:rFonts w:eastAsia="Times New Roman" w:cs="Times New Roman"/>
          <w:szCs w:val="24"/>
        </w:rPr>
        <w:t xml:space="preserve"> Institute of Mental Health-</w:t>
      </w:r>
      <w:r w:rsidRPr="00535B23">
        <w:rPr>
          <w:rFonts w:eastAsia="Times New Roman" w:cs="Times New Roman"/>
          <w:szCs w:val="24"/>
        </w:rPr>
        <w:t>Trichotillomania Symptom Severity; MGH-HS = Massachusetts General Hospital- Hairpulling Scale</w:t>
      </w:r>
      <w:r>
        <w:rPr>
          <w:rFonts w:eastAsia="Times New Roman" w:cs="Times New Roman"/>
          <w:szCs w:val="24"/>
        </w:rPr>
        <w:t>; CGI-S = Clinical Global Impression - Severity</w:t>
      </w:r>
      <w:r w:rsidRPr="00535B23">
        <w:rPr>
          <w:rFonts w:eastAsia="Times New Roman" w:cs="Times New Roman"/>
          <w:szCs w:val="24"/>
        </w:rPr>
        <w:t xml:space="preserve">. </w:t>
      </w:r>
      <w:r>
        <w:rPr>
          <w:rFonts w:eastAsia="Times New Roman" w:cs="Times New Roman"/>
          <w:szCs w:val="24"/>
        </w:rPr>
        <w:t xml:space="preserve">MIST-A Automatic=Milwaukee Inventory for Subtypes of Pulling Adults-Automatic Subscale. MIST-A Focused=Milwaukee Inventory for Subtypes of Pulling-Focused Subscale. </w:t>
      </w:r>
      <w:r w:rsidRPr="00535B23">
        <w:rPr>
          <w:rFonts w:eastAsia="Times New Roman" w:cs="Times New Roman"/>
          <w:szCs w:val="24"/>
        </w:rPr>
        <w:t>Statistically significant differences</w:t>
      </w:r>
      <w:r>
        <w:rPr>
          <w:rFonts w:eastAsia="Times New Roman" w:cs="Times New Roman"/>
          <w:szCs w:val="24"/>
        </w:rPr>
        <w:t xml:space="preserve"> (</w:t>
      </w:r>
      <w:r>
        <w:rPr>
          <w:rFonts w:eastAsia="Times New Roman" w:cs="Times New Roman"/>
          <w:i/>
          <w:szCs w:val="24"/>
        </w:rPr>
        <w:t xml:space="preserve">p </w:t>
      </w:r>
      <w:r>
        <w:rPr>
          <w:rFonts w:eastAsia="Times New Roman" w:cs="Times New Roman"/>
          <w:szCs w:val="24"/>
        </w:rPr>
        <w:t>&lt; .05)</w:t>
      </w:r>
      <w:r w:rsidRPr="00535B23">
        <w:rPr>
          <w:rFonts w:eastAsia="Times New Roman" w:cs="Times New Roman"/>
          <w:szCs w:val="24"/>
        </w:rPr>
        <w:t xml:space="preserve"> are bolded.</w:t>
      </w:r>
    </w:p>
    <w:p w14:paraId="03F6E07D" w14:textId="77777777" w:rsidR="005F314F" w:rsidRPr="00535B23" w:rsidRDefault="005F314F" w:rsidP="005F314F">
      <w:pPr>
        <w:widowControl w:val="0"/>
        <w:rPr>
          <w:rFonts w:eastAsia="Times New Roman" w:cs="Times New Roman"/>
          <w:szCs w:val="24"/>
          <w:vertAlign w:val="superscript"/>
        </w:rPr>
      </w:pPr>
    </w:p>
    <w:p w14:paraId="310ECEAA" w14:textId="77777777" w:rsidR="005F314F" w:rsidRDefault="005F314F" w:rsidP="005F314F">
      <w:r w:rsidRPr="00535B23">
        <w:rPr>
          <w:vertAlign w:val="superscript"/>
        </w:rPr>
        <w:t>a</w:t>
      </w:r>
      <w:r w:rsidRPr="00535B23">
        <w:t xml:space="preserve"> </w:t>
      </w:r>
      <w:r>
        <w:t xml:space="preserve">Responder status was defined as </w:t>
      </w:r>
      <w:r w:rsidRPr="00535B23">
        <w:t>C</w:t>
      </w:r>
      <w:r>
        <w:t xml:space="preserve">linical </w:t>
      </w:r>
      <w:r w:rsidRPr="00535B23">
        <w:t>G</w:t>
      </w:r>
      <w:r>
        <w:t xml:space="preserve">lobal </w:t>
      </w:r>
      <w:r w:rsidRPr="00535B23">
        <w:t>I</w:t>
      </w:r>
      <w:r>
        <w:t>mpressions</w:t>
      </w:r>
      <w:r w:rsidRPr="00535B23">
        <w:t>-I</w:t>
      </w:r>
      <w:r>
        <w:t>mprovement Scale</w:t>
      </w:r>
      <w:r w:rsidRPr="00535B23">
        <w:t xml:space="preserve"> scores of ≤ 2</w:t>
      </w:r>
      <w:r>
        <w:t>. Statistics in the table corresponding to responder status are expressed in percentages, which were calculated by multiplying</w:t>
      </w:r>
      <w:r w:rsidRPr="00A720AB">
        <w:t xml:space="preserve"> the proportion</w:t>
      </w:r>
      <w:r>
        <w:t xml:space="preserve"> (from 0.0 to 1.0)</w:t>
      </w:r>
      <w:r w:rsidRPr="00A720AB">
        <w:t xml:space="preserve"> of responders in each treatment condition by 100</w:t>
      </w:r>
      <w:r>
        <w:t>.</w:t>
      </w:r>
    </w:p>
    <w:p w14:paraId="201B0C87" w14:textId="77777777" w:rsidR="005F314F" w:rsidRDefault="005F314F" w:rsidP="005F314F">
      <w:pPr>
        <w:widowControl w:val="0"/>
        <w:rPr>
          <w:rFonts w:eastAsia="Times New Roman" w:cs="Times New Roman"/>
          <w:szCs w:val="24"/>
        </w:rPr>
      </w:pPr>
      <w:r w:rsidRPr="00A720AB">
        <w:rPr>
          <w:rFonts w:eastAsia="Times New Roman" w:cs="Times New Roman"/>
          <w:szCs w:val="24"/>
          <w:vertAlign w:val="superscript"/>
        </w:rPr>
        <w:lastRenderedPageBreak/>
        <w:t>b</w:t>
      </w:r>
      <w:r>
        <w:rPr>
          <w:rFonts w:eastAsia="Times New Roman" w:cs="Times New Roman"/>
          <w:szCs w:val="24"/>
          <w:vertAlign w:val="superscript"/>
        </w:rPr>
        <w:t xml:space="preserve"> </w:t>
      </w:r>
      <w:proofErr w:type="gramStart"/>
      <w:r w:rsidRPr="00A720AB">
        <w:rPr>
          <w:rFonts w:eastAsia="Times New Roman" w:cs="Times New Roman"/>
          <w:szCs w:val="24"/>
        </w:rPr>
        <w:t>For</w:t>
      </w:r>
      <w:proofErr w:type="gramEnd"/>
      <w:r w:rsidRPr="00A720AB">
        <w:rPr>
          <w:rFonts w:eastAsia="Times New Roman" w:cs="Times New Roman"/>
          <w:szCs w:val="24"/>
        </w:rPr>
        <w:t xml:space="preserve"> </w:t>
      </w:r>
      <w:r>
        <w:rPr>
          <w:rFonts w:eastAsia="Times New Roman" w:cs="Times New Roman"/>
          <w:szCs w:val="24"/>
        </w:rPr>
        <w:t>responder and diagnostic status,</w:t>
      </w:r>
      <w:r w:rsidRPr="00A720AB">
        <w:rPr>
          <w:rFonts w:eastAsia="Times New Roman" w:cs="Times New Roman"/>
          <w:szCs w:val="24"/>
        </w:rPr>
        <w:t xml:space="preserve"> the estimated rate of response at weeks</w:t>
      </w:r>
      <w:r>
        <w:rPr>
          <w:rFonts w:eastAsia="Times New Roman" w:cs="Times New Roman"/>
          <w:szCs w:val="24"/>
        </w:rPr>
        <w:t xml:space="preserve"> 6 and 12 were obtained from</w:t>
      </w:r>
      <w:r w:rsidRPr="00A720AB">
        <w:rPr>
          <w:rFonts w:eastAsia="Times New Roman" w:cs="Times New Roman"/>
          <w:szCs w:val="24"/>
        </w:rPr>
        <w:t xml:space="preserve"> fitted linear models, averag</w:t>
      </w:r>
      <w:r>
        <w:rPr>
          <w:rFonts w:eastAsia="Times New Roman" w:cs="Times New Roman"/>
          <w:szCs w:val="24"/>
        </w:rPr>
        <w:t>ed over baseline age and Milwaukee Inventory for Substyles of Trichotillomania-Adult Version F</w:t>
      </w:r>
      <w:r w:rsidRPr="00A720AB">
        <w:rPr>
          <w:rFonts w:eastAsia="Times New Roman" w:cs="Times New Roman"/>
          <w:szCs w:val="24"/>
        </w:rPr>
        <w:t>ocused and MIST-A</w:t>
      </w:r>
      <w:r>
        <w:rPr>
          <w:rFonts w:eastAsia="Times New Roman" w:cs="Times New Roman"/>
          <w:szCs w:val="24"/>
        </w:rPr>
        <w:t xml:space="preserve"> Automatic</w:t>
      </w:r>
      <w:r w:rsidRPr="00A720AB">
        <w:rPr>
          <w:rFonts w:eastAsia="Times New Roman" w:cs="Times New Roman"/>
          <w:szCs w:val="24"/>
        </w:rPr>
        <w:t xml:space="preserve"> scores.</w:t>
      </w:r>
    </w:p>
    <w:p w14:paraId="48BC566F" w14:textId="77777777" w:rsidR="005F314F" w:rsidRDefault="005F314F" w:rsidP="005F314F">
      <w:pPr>
        <w:widowControl w:val="0"/>
        <w:rPr>
          <w:rFonts w:eastAsia="Times New Roman" w:cs="Times New Roman"/>
          <w:szCs w:val="24"/>
        </w:rPr>
      </w:pPr>
      <w:r w:rsidRPr="00A720AB">
        <w:rPr>
          <w:rFonts w:eastAsia="Times New Roman" w:cs="Times New Roman"/>
          <w:szCs w:val="24"/>
          <w:vertAlign w:val="superscript"/>
        </w:rPr>
        <w:t>c</w:t>
      </w:r>
      <w:r>
        <w:rPr>
          <w:rFonts w:eastAsia="Times New Roman" w:cs="Times New Roman"/>
          <w:szCs w:val="24"/>
          <w:vertAlign w:val="superscript"/>
        </w:rPr>
        <w:t xml:space="preserve"> </w:t>
      </w:r>
      <w:r w:rsidRPr="00A720AB">
        <w:rPr>
          <w:rFonts w:eastAsia="Times New Roman" w:cs="Times New Roman"/>
          <w:szCs w:val="24"/>
        </w:rPr>
        <w:t>Effect size (ES) estimates were based on estimated mean differences at week 6 and week 12 divided by the pooled standard deviation of the outcome at the appropriate time point.</w:t>
      </w:r>
      <w:r>
        <w:rPr>
          <w:rFonts w:eastAsia="Times New Roman" w:cs="Times New Roman"/>
          <w:szCs w:val="24"/>
        </w:rPr>
        <w:t xml:space="preserve"> </w:t>
      </w:r>
      <w:r w:rsidRPr="00A720AB">
        <w:rPr>
          <w:rFonts w:eastAsia="Times New Roman" w:cs="Times New Roman"/>
          <w:szCs w:val="24"/>
        </w:rPr>
        <w:t xml:space="preserve"> An ES score less than 0.50 is considered a small effect, an ES between 0.50 and 0.79 is considered a moderate effect.</w:t>
      </w:r>
      <w:r>
        <w:rPr>
          <w:rFonts w:eastAsia="Times New Roman" w:cs="Times New Roman"/>
          <w:szCs w:val="24"/>
        </w:rPr>
        <w:t xml:space="preserve"> </w:t>
      </w:r>
      <w:r w:rsidRPr="00A720AB">
        <w:rPr>
          <w:rFonts w:eastAsia="Times New Roman" w:cs="Times New Roman"/>
          <w:szCs w:val="24"/>
        </w:rPr>
        <w:t xml:space="preserve">All ES estimates are reported such </w:t>
      </w:r>
      <w:r>
        <w:rPr>
          <w:rFonts w:eastAsia="Times New Roman" w:cs="Times New Roman"/>
          <w:szCs w:val="24"/>
        </w:rPr>
        <w:t>th</w:t>
      </w:r>
      <w:r w:rsidRPr="00A720AB">
        <w:rPr>
          <w:rFonts w:eastAsia="Times New Roman" w:cs="Times New Roman"/>
          <w:szCs w:val="24"/>
        </w:rPr>
        <w:t>at positive scores indicate</w:t>
      </w:r>
      <w:r>
        <w:rPr>
          <w:rFonts w:eastAsia="Times New Roman" w:cs="Times New Roman"/>
          <w:szCs w:val="24"/>
        </w:rPr>
        <w:t xml:space="preserve"> that AEBT-TTM was superior to PST.</w:t>
      </w:r>
    </w:p>
    <w:p w14:paraId="7C4CAD6C" w14:textId="77777777" w:rsidR="005F314F" w:rsidRPr="003360BF" w:rsidRDefault="005F314F" w:rsidP="005F314F">
      <w:pPr>
        <w:widowControl w:val="0"/>
        <w:rPr>
          <w:rFonts w:eastAsia="Times New Roman" w:cs="Times New Roman"/>
          <w:szCs w:val="24"/>
        </w:rPr>
        <w:sectPr w:rsidR="005F314F" w:rsidRPr="003360BF" w:rsidSect="004F0A56">
          <w:pgSz w:w="15840" w:h="12240" w:orient="landscape"/>
          <w:pgMar w:top="1440" w:right="1440" w:bottom="1440" w:left="1440" w:header="720" w:footer="720" w:gutter="0"/>
          <w:cols w:space="720"/>
          <w:docGrid w:linePitch="360"/>
        </w:sectPr>
      </w:pPr>
      <w:r w:rsidRPr="00A720AB">
        <w:rPr>
          <w:rFonts w:eastAsia="Times New Roman" w:cs="Times New Roman"/>
          <w:szCs w:val="24"/>
          <w:vertAlign w:val="superscript"/>
        </w:rPr>
        <w:t>d</w:t>
      </w:r>
      <w:r w:rsidRPr="00A720AB">
        <w:rPr>
          <w:rFonts w:eastAsia="Times New Roman" w:cs="Times New Roman"/>
          <w:szCs w:val="24"/>
        </w:rPr>
        <w:t xml:space="preserve"> Number Needed to Treat(benefit) or NNTB is defined as the reciprocal of the absolute risk reduction (ARR), where ARR = (control event rate) – (treatment event rate).</w:t>
      </w:r>
      <w:r>
        <w:rPr>
          <w:rFonts w:eastAsia="Times New Roman" w:cs="Times New Roman"/>
          <w:szCs w:val="24"/>
        </w:rPr>
        <w:t xml:space="preserve"> </w:t>
      </w:r>
      <w:r w:rsidRPr="00A720AB">
        <w:rPr>
          <w:rFonts w:eastAsia="Times New Roman" w:cs="Times New Roman"/>
          <w:szCs w:val="24"/>
        </w:rPr>
        <w:t>It can be interpreted as the estimated number of patients that need to be treated with the new treatment, rather than the control treatment, for one additional patient to benefit. Number Needed to Treat(harm)</w:t>
      </w:r>
      <w:r>
        <w:rPr>
          <w:rFonts w:eastAsia="Times New Roman" w:cs="Times New Roman"/>
          <w:szCs w:val="24"/>
        </w:rPr>
        <w:t>,</w:t>
      </w:r>
      <w:r w:rsidRPr="00A720AB">
        <w:rPr>
          <w:rFonts w:eastAsia="Times New Roman" w:cs="Times New Roman"/>
          <w:szCs w:val="24"/>
        </w:rPr>
        <w:t xml:space="preserve"> or NNTH</w:t>
      </w:r>
      <w:r>
        <w:rPr>
          <w:rFonts w:eastAsia="Times New Roman" w:cs="Times New Roman"/>
          <w:szCs w:val="24"/>
        </w:rPr>
        <w:t>,</w:t>
      </w:r>
      <w:r w:rsidRPr="00A720AB">
        <w:rPr>
          <w:rFonts w:eastAsia="Times New Roman" w:cs="Times New Roman"/>
          <w:szCs w:val="24"/>
        </w:rPr>
        <w:t xml:space="preserve"> can be interpreted as the number of patients that need to be treated with the new treatment, rather than the control treatment, to cause harm in one patient who would not otherwise have been harmed by the new treatment. NNTH = 1 means that every patient is harmed.</w:t>
      </w:r>
    </w:p>
    <w:p w14:paraId="78C0EEB5" w14:textId="06695605" w:rsidR="001A0A5C" w:rsidRPr="00025A41" w:rsidRDefault="001A0A5C" w:rsidP="00CF2EEA">
      <w:pPr>
        <w:pStyle w:val="Heading1"/>
        <w:keepNext w:val="0"/>
        <w:keepLines w:val="0"/>
        <w:widowControl w:val="0"/>
        <w:spacing w:line="480" w:lineRule="auto"/>
        <w:jc w:val="left"/>
      </w:pPr>
      <w:r>
        <w:lastRenderedPageBreak/>
        <w:t>Table 3</w:t>
      </w:r>
    </w:p>
    <w:p w14:paraId="5DD51EEA" w14:textId="1C4C9FE9" w:rsidR="00E1684E" w:rsidRPr="001A0A5C" w:rsidRDefault="001A0A5C" w:rsidP="00CF2EEA">
      <w:pPr>
        <w:widowControl w:val="0"/>
        <w:spacing w:line="480" w:lineRule="auto"/>
        <w:rPr>
          <w:rFonts w:eastAsia="Times New Roman" w:cs="Times New Roman"/>
          <w:szCs w:val="24"/>
        </w:rPr>
      </w:pPr>
      <w:r>
        <w:rPr>
          <w:rFonts w:eastAsia="Times New Roman" w:cs="Times New Roman"/>
          <w:szCs w:val="24"/>
        </w:rPr>
        <w:t>Adverse Events by Treatment Group</w:t>
      </w:r>
    </w:p>
    <w:tbl>
      <w:tblPr>
        <w:tblStyle w:val="TableGrid"/>
        <w:tblW w:w="865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18"/>
        <w:gridCol w:w="1350"/>
        <w:gridCol w:w="1440"/>
        <w:gridCol w:w="1350"/>
        <w:gridCol w:w="900"/>
      </w:tblGrid>
      <w:tr w:rsidR="00E1684E" w:rsidRPr="00E1684E" w14:paraId="7A8983C1" w14:textId="77777777" w:rsidTr="00A359E2">
        <w:tc>
          <w:tcPr>
            <w:tcW w:w="3618" w:type="dxa"/>
            <w:tcBorders>
              <w:top w:val="single" w:sz="4" w:space="0" w:color="auto"/>
              <w:bottom w:val="single" w:sz="4" w:space="0" w:color="auto"/>
            </w:tcBorders>
            <w:vAlign w:val="bottom"/>
          </w:tcPr>
          <w:p w14:paraId="3C4FF7C5" w14:textId="026EFB83" w:rsidR="00E1684E" w:rsidRPr="00E1684E" w:rsidRDefault="00E1684E" w:rsidP="00CF2EEA">
            <w:pPr>
              <w:widowControl w:val="0"/>
              <w:jc w:val="center"/>
              <w:rPr>
                <w:sz w:val="20"/>
                <w:szCs w:val="20"/>
              </w:rPr>
            </w:pPr>
          </w:p>
        </w:tc>
        <w:tc>
          <w:tcPr>
            <w:tcW w:w="1350" w:type="dxa"/>
            <w:tcBorders>
              <w:top w:val="single" w:sz="4" w:space="0" w:color="auto"/>
              <w:bottom w:val="single" w:sz="4" w:space="0" w:color="auto"/>
            </w:tcBorders>
            <w:vAlign w:val="bottom"/>
          </w:tcPr>
          <w:p w14:paraId="62E11DC7" w14:textId="2C59384E" w:rsidR="00E1684E" w:rsidRPr="00E1684E" w:rsidRDefault="00E1684E" w:rsidP="00CF2EEA">
            <w:pPr>
              <w:widowControl w:val="0"/>
              <w:jc w:val="center"/>
              <w:rPr>
                <w:sz w:val="20"/>
                <w:szCs w:val="20"/>
              </w:rPr>
            </w:pPr>
            <w:r w:rsidRPr="00E1684E">
              <w:rPr>
                <w:sz w:val="20"/>
                <w:szCs w:val="20"/>
              </w:rPr>
              <w:t>AEBT</w:t>
            </w:r>
            <w:r w:rsidR="00A359E2">
              <w:rPr>
                <w:sz w:val="20"/>
                <w:szCs w:val="20"/>
              </w:rPr>
              <w:t>-TTM</w:t>
            </w:r>
          </w:p>
          <w:p w14:paraId="714033A1" w14:textId="39347EAF" w:rsidR="00E1684E" w:rsidRPr="00E1684E" w:rsidRDefault="00A359E2" w:rsidP="00CF2EEA">
            <w:pPr>
              <w:widowControl w:val="0"/>
              <w:jc w:val="center"/>
              <w:rPr>
                <w:sz w:val="20"/>
                <w:szCs w:val="20"/>
              </w:rPr>
            </w:pPr>
            <w:r>
              <w:rPr>
                <w:sz w:val="20"/>
                <w:szCs w:val="20"/>
              </w:rPr>
              <w:t>(</w:t>
            </w:r>
            <w:r>
              <w:rPr>
                <w:i/>
                <w:sz w:val="20"/>
                <w:szCs w:val="20"/>
              </w:rPr>
              <w:t xml:space="preserve">n </w:t>
            </w:r>
            <w:r w:rsidR="00E1684E" w:rsidRPr="00E1684E">
              <w:rPr>
                <w:sz w:val="20"/>
                <w:szCs w:val="20"/>
              </w:rPr>
              <w:t>=</w:t>
            </w:r>
            <w:r>
              <w:rPr>
                <w:sz w:val="20"/>
                <w:szCs w:val="20"/>
              </w:rPr>
              <w:t xml:space="preserve"> </w:t>
            </w:r>
            <w:r w:rsidR="005D0DAA" w:rsidRPr="00E1684E">
              <w:rPr>
                <w:sz w:val="20"/>
                <w:szCs w:val="20"/>
              </w:rPr>
              <w:t>4</w:t>
            </w:r>
            <w:r w:rsidR="005D0DAA">
              <w:rPr>
                <w:sz w:val="20"/>
                <w:szCs w:val="20"/>
              </w:rPr>
              <w:t>3</w:t>
            </w:r>
            <w:r w:rsidR="00E1684E" w:rsidRPr="00E1684E">
              <w:rPr>
                <w:sz w:val="20"/>
                <w:szCs w:val="20"/>
              </w:rPr>
              <w:t>)</w:t>
            </w:r>
          </w:p>
        </w:tc>
        <w:tc>
          <w:tcPr>
            <w:tcW w:w="1440" w:type="dxa"/>
            <w:tcBorders>
              <w:top w:val="single" w:sz="4" w:space="0" w:color="auto"/>
              <w:bottom w:val="single" w:sz="4" w:space="0" w:color="auto"/>
            </w:tcBorders>
            <w:vAlign w:val="bottom"/>
          </w:tcPr>
          <w:p w14:paraId="4709AD9C" w14:textId="77777777" w:rsidR="00E1684E" w:rsidRPr="00E1684E" w:rsidRDefault="00E1684E" w:rsidP="00CF2EEA">
            <w:pPr>
              <w:widowControl w:val="0"/>
              <w:jc w:val="center"/>
              <w:rPr>
                <w:sz w:val="20"/>
                <w:szCs w:val="20"/>
              </w:rPr>
            </w:pPr>
            <w:r w:rsidRPr="00E1684E">
              <w:rPr>
                <w:sz w:val="20"/>
                <w:szCs w:val="20"/>
              </w:rPr>
              <w:t>PST</w:t>
            </w:r>
          </w:p>
          <w:p w14:paraId="595618E8" w14:textId="419FBD7B" w:rsidR="00E1684E" w:rsidRPr="00E1684E" w:rsidRDefault="00A359E2" w:rsidP="00CF2EEA">
            <w:pPr>
              <w:widowControl w:val="0"/>
              <w:jc w:val="center"/>
              <w:rPr>
                <w:sz w:val="20"/>
                <w:szCs w:val="20"/>
              </w:rPr>
            </w:pPr>
            <w:r>
              <w:rPr>
                <w:sz w:val="20"/>
                <w:szCs w:val="20"/>
              </w:rPr>
              <w:t>(</w:t>
            </w:r>
            <w:r>
              <w:rPr>
                <w:i/>
                <w:sz w:val="20"/>
                <w:szCs w:val="20"/>
              </w:rPr>
              <w:t xml:space="preserve">n </w:t>
            </w:r>
            <w:r w:rsidR="00E1684E" w:rsidRPr="00E1684E">
              <w:rPr>
                <w:sz w:val="20"/>
                <w:szCs w:val="20"/>
              </w:rPr>
              <w:t>=</w:t>
            </w:r>
            <w:r>
              <w:rPr>
                <w:sz w:val="20"/>
                <w:szCs w:val="20"/>
              </w:rPr>
              <w:t xml:space="preserve"> </w:t>
            </w:r>
            <w:r w:rsidR="005D0DAA" w:rsidRPr="00E1684E">
              <w:rPr>
                <w:sz w:val="20"/>
                <w:szCs w:val="20"/>
              </w:rPr>
              <w:t>4</w:t>
            </w:r>
            <w:r w:rsidR="005D0DAA">
              <w:rPr>
                <w:sz w:val="20"/>
                <w:szCs w:val="20"/>
              </w:rPr>
              <w:t>2</w:t>
            </w:r>
            <w:r w:rsidR="00E1684E" w:rsidRPr="00E1684E">
              <w:rPr>
                <w:sz w:val="20"/>
                <w:szCs w:val="20"/>
              </w:rPr>
              <w:t>)</w:t>
            </w:r>
          </w:p>
        </w:tc>
        <w:tc>
          <w:tcPr>
            <w:tcW w:w="1350" w:type="dxa"/>
            <w:tcBorders>
              <w:top w:val="single" w:sz="4" w:space="0" w:color="auto"/>
              <w:bottom w:val="single" w:sz="4" w:space="0" w:color="auto"/>
            </w:tcBorders>
            <w:vAlign w:val="bottom"/>
          </w:tcPr>
          <w:p w14:paraId="570650F3" w14:textId="63BCC1E9" w:rsidR="00E1684E" w:rsidRPr="00E1684E" w:rsidRDefault="00E1684E" w:rsidP="00CF2EEA">
            <w:pPr>
              <w:widowControl w:val="0"/>
              <w:jc w:val="center"/>
              <w:rPr>
                <w:sz w:val="20"/>
                <w:szCs w:val="20"/>
              </w:rPr>
            </w:pPr>
            <w:r w:rsidRPr="00E1684E">
              <w:rPr>
                <w:sz w:val="20"/>
                <w:szCs w:val="20"/>
              </w:rPr>
              <w:t>Total</w:t>
            </w:r>
            <w:r w:rsidR="00F11DAB">
              <w:rPr>
                <w:sz w:val="20"/>
                <w:szCs w:val="20"/>
              </w:rPr>
              <w:br/>
            </w:r>
            <w:r w:rsidR="00F11DAB" w:rsidRPr="00705DA8">
              <w:rPr>
                <w:rFonts w:cs="Times New Roman"/>
                <w:sz w:val="20"/>
                <w:szCs w:val="20"/>
              </w:rPr>
              <w:t>(</w:t>
            </w:r>
            <w:r w:rsidR="00F11DAB">
              <w:rPr>
                <w:rFonts w:cs="Times New Roman"/>
                <w:i/>
                <w:sz w:val="20"/>
                <w:szCs w:val="20"/>
              </w:rPr>
              <w:t xml:space="preserve">n </w:t>
            </w:r>
            <w:r w:rsidR="00F11DAB">
              <w:rPr>
                <w:rFonts w:cs="Times New Roman"/>
                <w:sz w:val="20"/>
                <w:szCs w:val="20"/>
              </w:rPr>
              <w:t>= 85</w:t>
            </w:r>
            <w:r w:rsidR="00F11DAB" w:rsidRPr="00705DA8">
              <w:rPr>
                <w:rFonts w:cs="Times New Roman"/>
                <w:sz w:val="20"/>
                <w:szCs w:val="20"/>
              </w:rPr>
              <w:t>)</w:t>
            </w:r>
          </w:p>
        </w:tc>
        <w:tc>
          <w:tcPr>
            <w:tcW w:w="900" w:type="dxa"/>
            <w:tcBorders>
              <w:top w:val="single" w:sz="4" w:space="0" w:color="auto"/>
              <w:bottom w:val="single" w:sz="4" w:space="0" w:color="auto"/>
            </w:tcBorders>
            <w:vAlign w:val="bottom"/>
          </w:tcPr>
          <w:p w14:paraId="285C5DDC" w14:textId="3D0207FE" w:rsidR="00E1684E" w:rsidRPr="00E1684E" w:rsidRDefault="00FD72DB" w:rsidP="00CF2EEA">
            <w:pPr>
              <w:widowControl w:val="0"/>
              <w:tabs>
                <w:tab w:val="decimal" w:pos="162"/>
              </w:tabs>
              <w:jc w:val="center"/>
              <w:rPr>
                <w:sz w:val="20"/>
                <w:szCs w:val="20"/>
              </w:rPr>
            </w:pPr>
            <w:r w:rsidRPr="00A359E2">
              <w:rPr>
                <w:i/>
                <w:sz w:val="20"/>
                <w:szCs w:val="20"/>
              </w:rPr>
              <w:t>p</w:t>
            </w:r>
            <w:r w:rsidR="00E1684E" w:rsidRPr="00E1684E">
              <w:rPr>
                <w:sz w:val="20"/>
                <w:szCs w:val="20"/>
              </w:rPr>
              <w:t>-value</w:t>
            </w:r>
          </w:p>
        </w:tc>
      </w:tr>
      <w:tr w:rsidR="00A359E2" w:rsidRPr="00E1684E" w14:paraId="0BE9D190" w14:textId="77777777" w:rsidTr="00A359E2">
        <w:tc>
          <w:tcPr>
            <w:tcW w:w="3618" w:type="dxa"/>
            <w:tcBorders>
              <w:top w:val="single" w:sz="4" w:space="0" w:color="auto"/>
              <w:bottom w:val="nil"/>
            </w:tcBorders>
          </w:tcPr>
          <w:p w14:paraId="167D8264" w14:textId="65838AC1" w:rsidR="00A359E2" w:rsidRPr="00A359E2" w:rsidRDefault="00A359E2" w:rsidP="00CF2EEA">
            <w:pPr>
              <w:widowControl w:val="0"/>
              <w:jc w:val="center"/>
              <w:rPr>
                <w:sz w:val="20"/>
                <w:szCs w:val="20"/>
              </w:rPr>
            </w:pPr>
            <w:r w:rsidRPr="00A359E2">
              <w:rPr>
                <w:sz w:val="20"/>
                <w:szCs w:val="20"/>
              </w:rPr>
              <w:t>Question Prompt</w:t>
            </w:r>
          </w:p>
        </w:tc>
        <w:tc>
          <w:tcPr>
            <w:tcW w:w="1350" w:type="dxa"/>
            <w:tcBorders>
              <w:top w:val="single" w:sz="4" w:space="0" w:color="auto"/>
              <w:bottom w:val="nil"/>
            </w:tcBorders>
          </w:tcPr>
          <w:p w14:paraId="67FFF724" w14:textId="77777777" w:rsidR="00A359E2" w:rsidRPr="00E1684E" w:rsidRDefault="00A359E2" w:rsidP="00CF2EEA">
            <w:pPr>
              <w:widowControl w:val="0"/>
              <w:rPr>
                <w:sz w:val="20"/>
                <w:szCs w:val="20"/>
              </w:rPr>
            </w:pPr>
          </w:p>
        </w:tc>
        <w:tc>
          <w:tcPr>
            <w:tcW w:w="1440" w:type="dxa"/>
            <w:tcBorders>
              <w:top w:val="single" w:sz="4" w:space="0" w:color="auto"/>
              <w:bottom w:val="nil"/>
            </w:tcBorders>
          </w:tcPr>
          <w:p w14:paraId="61B8FE7C" w14:textId="77777777" w:rsidR="00A359E2" w:rsidRPr="00E1684E" w:rsidRDefault="00A359E2" w:rsidP="00CF2EEA">
            <w:pPr>
              <w:widowControl w:val="0"/>
              <w:rPr>
                <w:sz w:val="20"/>
                <w:szCs w:val="20"/>
              </w:rPr>
            </w:pPr>
          </w:p>
        </w:tc>
        <w:tc>
          <w:tcPr>
            <w:tcW w:w="1350" w:type="dxa"/>
            <w:tcBorders>
              <w:top w:val="single" w:sz="4" w:space="0" w:color="auto"/>
              <w:bottom w:val="nil"/>
            </w:tcBorders>
          </w:tcPr>
          <w:p w14:paraId="1107D628" w14:textId="77777777" w:rsidR="00A359E2" w:rsidRPr="00E1684E" w:rsidRDefault="00A359E2" w:rsidP="00CF2EEA">
            <w:pPr>
              <w:widowControl w:val="0"/>
              <w:rPr>
                <w:sz w:val="20"/>
                <w:szCs w:val="20"/>
              </w:rPr>
            </w:pPr>
          </w:p>
        </w:tc>
        <w:tc>
          <w:tcPr>
            <w:tcW w:w="900" w:type="dxa"/>
            <w:tcBorders>
              <w:top w:val="single" w:sz="4" w:space="0" w:color="auto"/>
              <w:bottom w:val="nil"/>
            </w:tcBorders>
          </w:tcPr>
          <w:p w14:paraId="74AF80B7" w14:textId="77777777" w:rsidR="00A359E2" w:rsidRPr="00E1684E" w:rsidRDefault="00A359E2" w:rsidP="00CF2EEA">
            <w:pPr>
              <w:widowControl w:val="0"/>
              <w:tabs>
                <w:tab w:val="decimal" w:pos="162"/>
              </w:tabs>
              <w:jc w:val="center"/>
              <w:rPr>
                <w:sz w:val="20"/>
                <w:szCs w:val="20"/>
              </w:rPr>
            </w:pPr>
          </w:p>
        </w:tc>
      </w:tr>
      <w:tr w:rsidR="00E1684E" w:rsidRPr="00E1684E" w14:paraId="2911DD1D" w14:textId="77777777" w:rsidTr="00A359E2">
        <w:tc>
          <w:tcPr>
            <w:tcW w:w="3618" w:type="dxa"/>
            <w:tcBorders>
              <w:top w:val="nil"/>
            </w:tcBorders>
          </w:tcPr>
          <w:p w14:paraId="08908438" w14:textId="77777777" w:rsidR="00E1684E" w:rsidRPr="00E1684E" w:rsidRDefault="00E1684E" w:rsidP="00CF2EEA">
            <w:pPr>
              <w:widowControl w:val="0"/>
              <w:rPr>
                <w:i/>
                <w:sz w:val="20"/>
                <w:szCs w:val="20"/>
              </w:rPr>
            </w:pPr>
            <w:r w:rsidRPr="00E1684E">
              <w:rPr>
                <w:i/>
                <w:sz w:val="20"/>
                <w:szCs w:val="20"/>
              </w:rPr>
              <w:t>Current health complaints</w:t>
            </w:r>
          </w:p>
        </w:tc>
        <w:tc>
          <w:tcPr>
            <w:tcW w:w="1350" w:type="dxa"/>
            <w:tcBorders>
              <w:top w:val="nil"/>
            </w:tcBorders>
          </w:tcPr>
          <w:p w14:paraId="2B2D0A9F" w14:textId="77777777" w:rsidR="00E1684E" w:rsidRPr="00E1684E" w:rsidRDefault="00E1684E" w:rsidP="00CF2EEA">
            <w:pPr>
              <w:widowControl w:val="0"/>
              <w:rPr>
                <w:sz w:val="20"/>
                <w:szCs w:val="20"/>
              </w:rPr>
            </w:pPr>
          </w:p>
        </w:tc>
        <w:tc>
          <w:tcPr>
            <w:tcW w:w="1440" w:type="dxa"/>
            <w:tcBorders>
              <w:top w:val="nil"/>
            </w:tcBorders>
          </w:tcPr>
          <w:p w14:paraId="79FD4B07" w14:textId="77777777" w:rsidR="00E1684E" w:rsidRPr="00E1684E" w:rsidRDefault="00E1684E" w:rsidP="00CF2EEA">
            <w:pPr>
              <w:widowControl w:val="0"/>
              <w:rPr>
                <w:sz w:val="20"/>
                <w:szCs w:val="20"/>
              </w:rPr>
            </w:pPr>
          </w:p>
        </w:tc>
        <w:tc>
          <w:tcPr>
            <w:tcW w:w="1350" w:type="dxa"/>
            <w:tcBorders>
              <w:top w:val="nil"/>
            </w:tcBorders>
          </w:tcPr>
          <w:p w14:paraId="05344083" w14:textId="77777777" w:rsidR="00E1684E" w:rsidRPr="00E1684E" w:rsidRDefault="00E1684E" w:rsidP="00CF2EEA">
            <w:pPr>
              <w:widowControl w:val="0"/>
              <w:rPr>
                <w:sz w:val="20"/>
                <w:szCs w:val="20"/>
              </w:rPr>
            </w:pPr>
          </w:p>
        </w:tc>
        <w:tc>
          <w:tcPr>
            <w:tcW w:w="900" w:type="dxa"/>
            <w:tcBorders>
              <w:top w:val="nil"/>
            </w:tcBorders>
          </w:tcPr>
          <w:p w14:paraId="409B8388" w14:textId="77777777" w:rsidR="00E1684E" w:rsidRPr="00E1684E" w:rsidRDefault="00E1684E" w:rsidP="00CF2EEA">
            <w:pPr>
              <w:widowControl w:val="0"/>
              <w:tabs>
                <w:tab w:val="decimal" w:pos="162"/>
              </w:tabs>
              <w:jc w:val="center"/>
              <w:rPr>
                <w:sz w:val="20"/>
                <w:szCs w:val="20"/>
              </w:rPr>
            </w:pPr>
          </w:p>
        </w:tc>
      </w:tr>
      <w:tr w:rsidR="00E1684E" w:rsidRPr="00E1684E" w14:paraId="4EDF96CB" w14:textId="77777777" w:rsidTr="00A720AB">
        <w:tc>
          <w:tcPr>
            <w:tcW w:w="3618" w:type="dxa"/>
          </w:tcPr>
          <w:p w14:paraId="2D5C59CF" w14:textId="7373E52E" w:rsidR="00E1684E" w:rsidRPr="00E1684E" w:rsidRDefault="00E1684E" w:rsidP="00CF2EEA">
            <w:pPr>
              <w:widowControl w:val="0"/>
              <w:ind w:left="288"/>
              <w:rPr>
                <w:sz w:val="20"/>
                <w:szCs w:val="20"/>
              </w:rPr>
            </w:pPr>
            <w:r w:rsidRPr="00E1684E">
              <w:rPr>
                <w:sz w:val="20"/>
                <w:szCs w:val="20"/>
              </w:rPr>
              <w:t>Total n</w:t>
            </w:r>
            <w:r w:rsidR="00A359E2">
              <w:rPr>
                <w:sz w:val="20"/>
                <w:szCs w:val="20"/>
              </w:rPr>
              <w:t>umber</w:t>
            </w:r>
            <w:r w:rsidRPr="00E1684E">
              <w:rPr>
                <w:sz w:val="20"/>
                <w:szCs w:val="20"/>
              </w:rPr>
              <w:t xml:space="preserve"> reported</w:t>
            </w:r>
          </w:p>
        </w:tc>
        <w:tc>
          <w:tcPr>
            <w:tcW w:w="1350" w:type="dxa"/>
          </w:tcPr>
          <w:p w14:paraId="4AEE1D7C" w14:textId="77777777" w:rsidR="00E1684E" w:rsidRPr="00E1684E" w:rsidRDefault="00E1684E" w:rsidP="00CF2EEA">
            <w:pPr>
              <w:widowControl w:val="0"/>
              <w:tabs>
                <w:tab w:val="decimal" w:pos="342"/>
              </w:tabs>
              <w:jc w:val="center"/>
              <w:rPr>
                <w:sz w:val="20"/>
                <w:szCs w:val="20"/>
              </w:rPr>
            </w:pPr>
            <w:r w:rsidRPr="00E1684E">
              <w:rPr>
                <w:sz w:val="20"/>
                <w:szCs w:val="20"/>
              </w:rPr>
              <w:t>47</w:t>
            </w:r>
          </w:p>
        </w:tc>
        <w:tc>
          <w:tcPr>
            <w:tcW w:w="1440" w:type="dxa"/>
          </w:tcPr>
          <w:p w14:paraId="2BEDFC3C" w14:textId="77777777" w:rsidR="00E1684E" w:rsidRPr="00E1684E" w:rsidRDefault="00E1684E" w:rsidP="00CF2EEA">
            <w:pPr>
              <w:widowControl w:val="0"/>
              <w:tabs>
                <w:tab w:val="decimal" w:pos="342"/>
              </w:tabs>
              <w:jc w:val="center"/>
              <w:rPr>
                <w:sz w:val="20"/>
                <w:szCs w:val="20"/>
              </w:rPr>
            </w:pPr>
            <w:r w:rsidRPr="00E1684E">
              <w:rPr>
                <w:sz w:val="20"/>
                <w:szCs w:val="20"/>
              </w:rPr>
              <w:t>48</w:t>
            </w:r>
          </w:p>
        </w:tc>
        <w:tc>
          <w:tcPr>
            <w:tcW w:w="1350" w:type="dxa"/>
          </w:tcPr>
          <w:p w14:paraId="63F249A2" w14:textId="77777777" w:rsidR="00E1684E" w:rsidRPr="00E1684E" w:rsidRDefault="00E1684E" w:rsidP="00CF2EEA">
            <w:pPr>
              <w:widowControl w:val="0"/>
              <w:tabs>
                <w:tab w:val="decimal" w:pos="342"/>
              </w:tabs>
              <w:jc w:val="center"/>
              <w:rPr>
                <w:sz w:val="20"/>
                <w:szCs w:val="20"/>
              </w:rPr>
            </w:pPr>
            <w:r w:rsidRPr="00E1684E">
              <w:rPr>
                <w:sz w:val="20"/>
                <w:szCs w:val="20"/>
              </w:rPr>
              <w:t>95</w:t>
            </w:r>
          </w:p>
        </w:tc>
        <w:tc>
          <w:tcPr>
            <w:tcW w:w="900" w:type="dxa"/>
          </w:tcPr>
          <w:p w14:paraId="60FFC2C3" w14:textId="77777777" w:rsidR="00E1684E" w:rsidRPr="00E1684E" w:rsidRDefault="00E1684E" w:rsidP="00CF2EEA">
            <w:pPr>
              <w:widowControl w:val="0"/>
              <w:tabs>
                <w:tab w:val="decimal" w:pos="162"/>
              </w:tabs>
              <w:jc w:val="center"/>
              <w:rPr>
                <w:sz w:val="20"/>
                <w:szCs w:val="20"/>
              </w:rPr>
            </w:pPr>
          </w:p>
        </w:tc>
      </w:tr>
      <w:tr w:rsidR="00E1684E" w:rsidRPr="00E1684E" w14:paraId="284C7A17" w14:textId="77777777" w:rsidTr="00A720AB">
        <w:tc>
          <w:tcPr>
            <w:tcW w:w="3618" w:type="dxa"/>
          </w:tcPr>
          <w:p w14:paraId="72A8CF6C" w14:textId="47B417A1" w:rsidR="00E1684E" w:rsidRPr="00E1684E" w:rsidRDefault="00E1684E" w:rsidP="00CF2EEA">
            <w:pPr>
              <w:widowControl w:val="0"/>
              <w:ind w:left="288"/>
              <w:rPr>
                <w:sz w:val="20"/>
                <w:szCs w:val="20"/>
              </w:rPr>
            </w:pPr>
            <w:r w:rsidRPr="00E1684E">
              <w:rPr>
                <w:sz w:val="20"/>
                <w:szCs w:val="20"/>
              </w:rPr>
              <w:t>Average/participant</w:t>
            </w:r>
            <w:r w:rsidR="00E60A45">
              <w:rPr>
                <w:sz w:val="20"/>
                <w:szCs w:val="20"/>
              </w:rPr>
              <w:t>,</w:t>
            </w:r>
            <w:r w:rsidR="00A359E2">
              <w:rPr>
                <w:sz w:val="20"/>
                <w:szCs w:val="20"/>
              </w:rPr>
              <w:t xml:space="preserve"> </w:t>
            </w:r>
            <w:r w:rsidR="00A359E2" w:rsidRPr="00E60A45">
              <w:rPr>
                <w:i/>
                <w:sz w:val="20"/>
                <w:szCs w:val="20"/>
              </w:rPr>
              <w:t>M</w:t>
            </w:r>
            <w:r w:rsidR="00A359E2" w:rsidRPr="00E1684E">
              <w:rPr>
                <w:sz w:val="20"/>
                <w:szCs w:val="20"/>
              </w:rPr>
              <w:t xml:space="preserve"> (</w:t>
            </w:r>
            <w:r w:rsidR="00A359E2" w:rsidRPr="00E60A45">
              <w:rPr>
                <w:i/>
                <w:sz w:val="20"/>
                <w:szCs w:val="20"/>
              </w:rPr>
              <w:t>SD</w:t>
            </w:r>
            <w:r w:rsidR="00A359E2" w:rsidRPr="00E1684E">
              <w:rPr>
                <w:sz w:val="20"/>
                <w:szCs w:val="20"/>
              </w:rPr>
              <w:t>)</w:t>
            </w:r>
          </w:p>
        </w:tc>
        <w:tc>
          <w:tcPr>
            <w:tcW w:w="1350" w:type="dxa"/>
          </w:tcPr>
          <w:p w14:paraId="512A4EBB" w14:textId="77777777" w:rsidR="00E1684E" w:rsidRPr="00E1684E" w:rsidRDefault="00E1684E" w:rsidP="00CF2EEA">
            <w:pPr>
              <w:widowControl w:val="0"/>
              <w:tabs>
                <w:tab w:val="decimal" w:pos="342"/>
              </w:tabs>
              <w:jc w:val="center"/>
              <w:rPr>
                <w:sz w:val="20"/>
                <w:szCs w:val="20"/>
              </w:rPr>
            </w:pPr>
            <w:r w:rsidRPr="00E1684E">
              <w:rPr>
                <w:sz w:val="20"/>
                <w:szCs w:val="20"/>
              </w:rPr>
              <w:t>1.1 (1.7)</w:t>
            </w:r>
          </w:p>
        </w:tc>
        <w:tc>
          <w:tcPr>
            <w:tcW w:w="1440" w:type="dxa"/>
          </w:tcPr>
          <w:p w14:paraId="5F1B365F" w14:textId="77777777" w:rsidR="00E1684E" w:rsidRPr="00E1684E" w:rsidRDefault="00E1684E" w:rsidP="00CF2EEA">
            <w:pPr>
              <w:widowControl w:val="0"/>
              <w:tabs>
                <w:tab w:val="decimal" w:pos="342"/>
              </w:tabs>
              <w:jc w:val="center"/>
              <w:rPr>
                <w:sz w:val="20"/>
                <w:szCs w:val="20"/>
              </w:rPr>
            </w:pPr>
            <w:r w:rsidRPr="00E1684E">
              <w:rPr>
                <w:sz w:val="20"/>
                <w:szCs w:val="20"/>
              </w:rPr>
              <w:t>1.2 (1.4)</w:t>
            </w:r>
          </w:p>
        </w:tc>
        <w:tc>
          <w:tcPr>
            <w:tcW w:w="1350" w:type="dxa"/>
          </w:tcPr>
          <w:p w14:paraId="3201BD91" w14:textId="77777777" w:rsidR="00E1684E" w:rsidRPr="00E1684E" w:rsidRDefault="00E1684E" w:rsidP="00CF2EEA">
            <w:pPr>
              <w:widowControl w:val="0"/>
              <w:tabs>
                <w:tab w:val="decimal" w:pos="342"/>
              </w:tabs>
              <w:jc w:val="center"/>
              <w:rPr>
                <w:sz w:val="20"/>
                <w:szCs w:val="20"/>
              </w:rPr>
            </w:pPr>
            <w:r w:rsidRPr="00E1684E">
              <w:rPr>
                <w:sz w:val="20"/>
                <w:szCs w:val="20"/>
              </w:rPr>
              <w:t>1.1 (1.6)</w:t>
            </w:r>
          </w:p>
        </w:tc>
        <w:tc>
          <w:tcPr>
            <w:tcW w:w="900" w:type="dxa"/>
          </w:tcPr>
          <w:p w14:paraId="07D24277" w14:textId="77777777" w:rsidR="00E1684E" w:rsidRPr="00E1684E" w:rsidRDefault="00E1684E" w:rsidP="00CF2EEA">
            <w:pPr>
              <w:widowControl w:val="0"/>
              <w:tabs>
                <w:tab w:val="decimal" w:pos="162"/>
              </w:tabs>
              <w:jc w:val="center"/>
              <w:rPr>
                <w:sz w:val="20"/>
                <w:szCs w:val="20"/>
              </w:rPr>
            </w:pPr>
            <w:r w:rsidRPr="00E1684E">
              <w:rPr>
                <w:sz w:val="20"/>
                <w:szCs w:val="20"/>
              </w:rPr>
              <w:t>.76</w:t>
            </w:r>
          </w:p>
        </w:tc>
      </w:tr>
      <w:tr w:rsidR="00E1684E" w:rsidRPr="00E1684E" w14:paraId="0D7BF40E" w14:textId="77777777" w:rsidTr="00A720AB">
        <w:tc>
          <w:tcPr>
            <w:tcW w:w="3618" w:type="dxa"/>
          </w:tcPr>
          <w:p w14:paraId="18F49A4D" w14:textId="23B6FE59" w:rsidR="00E1684E" w:rsidRPr="00E1684E" w:rsidRDefault="00E1684E" w:rsidP="00CF2EEA">
            <w:pPr>
              <w:widowControl w:val="0"/>
              <w:ind w:left="288"/>
              <w:rPr>
                <w:sz w:val="20"/>
                <w:szCs w:val="20"/>
              </w:rPr>
            </w:pPr>
            <w:r w:rsidRPr="00E1684E">
              <w:rPr>
                <w:sz w:val="20"/>
                <w:szCs w:val="20"/>
              </w:rPr>
              <w:t xml:space="preserve">Percent who reported </w:t>
            </w:r>
            <w:r w:rsidR="00E60A45">
              <w:rPr>
                <w:rFonts w:cs="Times New Roman"/>
                <w:sz w:val="20"/>
                <w:szCs w:val="20"/>
              </w:rPr>
              <w:t>≥</w:t>
            </w:r>
            <w:r w:rsidR="00E60A45">
              <w:rPr>
                <w:sz w:val="20"/>
                <w:szCs w:val="20"/>
              </w:rPr>
              <w:t xml:space="preserve"> </w:t>
            </w:r>
            <w:r w:rsidRPr="00E1684E">
              <w:rPr>
                <w:sz w:val="20"/>
                <w:szCs w:val="20"/>
              </w:rPr>
              <w:t>1</w:t>
            </w:r>
          </w:p>
        </w:tc>
        <w:tc>
          <w:tcPr>
            <w:tcW w:w="1350" w:type="dxa"/>
          </w:tcPr>
          <w:p w14:paraId="7AD03C8F" w14:textId="77777777" w:rsidR="00E1684E" w:rsidRPr="00E1684E" w:rsidRDefault="00E1684E" w:rsidP="00CF2EEA">
            <w:pPr>
              <w:widowControl w:val="0"/>
              <w:tabs>
                <w:tab w:val="decimal" w:pos="342"/>
              </w:tabs>
              <w:jc w:val="center"/>
              <w:rPr>
                <w:sz w:val="20"/>
                <w:szCs w:val="20"/>
              </w:rPr>
            </w:pPr>
            <w:r w:rsidRPr="00E1684E">
              <w:rPr>
                <w:sz w:val="20"/>
                <w:szCs w:val="20"/>
              </w:rPr>
              <w:t>41%</w:t>
            </w:r>
          </w:p>
        </w:tc>
        <w:tc>
          <w:tcPr>
            <w:tcW w:w="1440" w:type="dxa"/>
          </w:tcPr>
          <w:p w14:paraId="21B029D2" w14:textId="77777777" w:rsidR="00E1684E" w:rsidRPr="00E1684E" w:rsidRDefault="00E1684E" w:rsidP="00CF2EEA">
            <w:pPr>
              <w:widowControl w:val="0"/>
              <w:tabs>
                <w:tab w:val="decimal" w:pos="342"/>
              </w:tabs>
              <w:jc w:val="center"/>
              <w:rPr>
                <w:sz w:val="20"/>
                <w:szCs w:val="20"/>
              </w:rPr>
            </w:pPr>
            <w:r w:rsidRPr="00E1684E">
              <w:rPr>
                <w:sz w:val="20"/>
                <w:szCs w:val="20"/>
              </w:rPr>
              <w:t>59%</w:t>
            </w:r>
          </w:p>
        </w:tc>
        <w:tc>
          <w:tcPr>
            <w:tcW w:w="1350" w:type="dxa"/>
          </w:tcPr>
          <w:p w14:paraId="7E41181B" w14:textId="77777777" w:rsidR="00E1684E" w:rsidRPr="00E1684E" w:rsidRDefault="00E1684E" w:rsidP="00CF2EEA">
            <w:pPr>
              <w:widowControl w:val="0"/>
              <w:tabs>
                <w:tab w:val="decimal" w:pos="342"/>
              </w:tabs>
              <w:jc w:val="center"/>
              <w:rPr>
                <w:sz w:val="20"/>
                <w:szCs w:val="20"/>
              </w:rPr>
            </w:pPr>
            <w:r w:rsidRPr="00E1684E">
              <w:rPr>
                <w:sz w:val="20"/>
                <w:szCs w:val="20"/>
              </w:rPr>
              <w:t>49%</w:t>
            </w:r>
          </w:p>
        </w:tc>
        <w:tc>
          <w:tcPr>
            <w:tcW w:w="900" w:type="dxa"/>
          </w:tcPr>
          <w:p w14:paraId="2246B434" w14:textId="77777777" w:rsidR="00E1684E" w:rsidRPr="00E1684E" w:rsidRDefault="00E1684E" w:rsidP="00CF2EEA">
            <w:pPr>
              <w:widowControl w:val="0"/>
              <w:tabs>
                <w:tab w:val="decimal" w:pos="162"/>
              </w:tabs>
              <w:jc w:val="center"/>
              <w:rPr>
                <w:sz w:val="20"/>
                <w:szCs w:val="20"/>
              </w:rPr>
            </w:pPr>
            <w:r w:rsidRPr="00E1684E">
              <w:rPr>
                <w:sz w:val="20"/>
                <w:szCs w:val="20"/>
              </w:rPr>
              <w:t>.10</w:t>
            </w:r>
          </w:p>
        </w:tc>
      </w:tr>
      <w:tr w:rsidR="00E1684E" w:rsidRPr="00E1684E" w14:paraId="1ECFA7E1" w14:textId="77777777" w:rsidTr="00A720AB">
        <w:tc>
          <w:tcPr>
            <w:tcW w:w="3618" w:type="dxa"/>
          </w:tcPr>
          <w:p w14:paraId="674E634C" w14:textId="436217FB" w:rsidR="00E1684E" w:rsidRPr="00E1684E" w:rsidRDefault="00A359E2" w:rsidP="00CF2EEA">
            <w:pPr>
              <w:widowControl w:val="0"/>
              <w:ind w:left="288"/>
              <w:rPr>
                <w:sz w:val="20"/>
                <w:szCs w:val="20"/>
              </w:rPr>
            </w:pPr>
            <w:r>
              <w:rPr>
                <w:sz w:val="20"/>
                <w:szCs w:val="20"/>
              </w:rPr>
              <w:t>Number</w:t>
            </w:r>
            <w:r w:rsidR="00E1684E" w:rsidRPr="00E1684E">
              <w:rPr>
                <w:sz w:val="20"/>
                <w:szCs w:val="20"/>
              </w:rPr>
              <w:t xml:space="preserve"> </w:t>
            </w:r>
            <w:proofErr w:type="gramStart"/>
            <w:r w:rsidR="00E1684E" w:rsidRPr="00E1684E">
              <w:rPr>
                <w:sz w:val="20"/>
                <w:szCs w:val="20"/>
              </w:rPr>
              <w:t>definitely related</w:t>
            </w:r>
            <w:proofErr w:type="gramEnd"/>
            <w:r w:rsidR="00E1684E" w:rsidRPr="00E1684E">
              <w:rPr>
                <w:sz w:val="20"/>
                <w:szCs w:val="20"/>
              </w:rPr>
              <w:t xml:space="preserve"> to treatment</w:t>
            </w:r>
          </w:p>
        </w:tc>
        <w:tc>
          <w:tcPr>
            <w:tcW w:w="1350" w:type="dxa"/>
          </w:tcPr>
          <w:p w14:paraId="45444CE0" w14:textId="0CEE4AEC" w:rsidR="00E1684E" w:rsidRPr="00E1684E" w:rsidRDefault="00B0474E" w:rsidP="00CF2EEA">
            <w:pPr>
              <w:widowControl w:val="0"/>
              <w:tabs>
                <w:tab w:val="decimal" w:pos="342"/>
              </w:tabs>
              <w:jc w:val="center"/>
              <w:rPr>
                <w:sz w:val="20"/>
                <w:szCs w:val="20"/>
              </w:rPr>
            </w:pPr>
            <w:r>
              <w:rPr>
                <w:sz w:val="20"/>
                <w:szCs w:val="20"/>
              </w:rPr>
              <w:t>0</w:t>
            </w:r>
          </w:p>
        </w:tc>
        <w:tc>
          <w:tcPr>
            <w:tcW w:w="1440" w:type="dxa"/>
          </w:tcPr>
          <w:p w14:paraId="68460749" w14:textId="77777777" w:rsidR="00E1684E" w:rsidRPr="00E1684E" w:rsidRDefault="00E1684E" w:rsidP="00CF2EEA">
            <w:pPr>
              <w:widowControl w:val="0"/>
              <w:tabs>
                <w:tab w:val="decimal" w:pos="342"/>
              </w:tabs>
              <w:jc w:val="center"/>
              <w:rPr>
                <w:sz w:val="20"/>
                <w:szCs w:val="20"/>
              </w:rPr>
            </w:pPr>
            <w:r w:rsidRPr="00E1684E">
              <w:rPr>
                <w:sz w:val="20"/>
                <w:szCs w:val="20"/>
              </w:rPr>
              <w:t>0</w:t>
            </w:r>
          </w:p>
        </w:tc>
        <w:tc>
          <w:tcPr>
            <w:tcW w:w="1350" w:type="dxa"/>
          </w:tcPr>
          <w:p w14:paraId="61927A85" w14:textId="6940DF79" w:rsidR="00E1684E" w:rsidRPr="00E1684E" w:rsidRDefault="00B0474E" w:rsidP="00CF2EEA">
            <w:pPr>
              <w:widowControl w:val="0"/>
              <w:tabs>
                <w:tab w:val="decimal" w:pos="342"/>
              </w:tabs>
              <w:jc w:val="center"/>
              <w:rPr>
                <w:sz w:val="20"/>
                <w:szCs w:val="20"/>
              </w:rPr>
            </w:pPr>
            <w:r>
              <w:rPr>
                <w:sz w:val="20"/>
                <w:szCs w:val="20"/>
              </w:rPr>
              <w:t>0</w:t>
            </w:r>
          </w:p>
        </w:tc>
        <w:tc>
          <w:tcPr>
            <w:tcW w:w="900" w:type="dxa"/>
          </w:tcPr>
          <w:p w14:paraId="4B733BF3" w14:textId="0BFD13C6" w:rsidR="00E1684E" w:rsidRPr="00E1684E" w:rsidRDefault="00EA042B" w:rsidP="00127A2B">
            <w:pPr>
              <w:widowControl w:val="0"/>
              <w:tabs>
                <w:tab w:val="decimal" w:pos="162"/>
              </w:tabs>
              <w:jc w:val="center"/>
              <w:rPr>
                <w:sz w:val="20"/>
                <w:szCs w:val="20"/>
              </w:rPr>
            </w:pPr>
            <w:proofErr w:type="spellStart"/>
            <w:r>
              <w:rPr>
                <w:sz w:val="20"/>
                <w:szCs w:val="20"/>
              </w:rPr>
              <w:t>na</w:t>
            </w:r>
            <w:proofErr w:type="spellEnd"/>
          </w:p>
        </w:tc>
      </w:tr>
      <w:tr w:rsidR="00E1684E" w:rsidRPr="00E1684E" w14:paraId="249E22CA" w14:textId="77777777" w:rsidTr="00A720AB">
        <w:tc>
          <w:tcPr>
            <w:tcW w:w="3618" w:type="dxa"/>
          </w:tcPr>
          <w:p w14:paraId="1F682AF9" w14:textId="77777777" w:rsidR="00E1684E" w:rsidRPr="00E1684E" w:rsidRDefault="00E1684E" w:rsidP="00CF2EEA">
            <w:pPr>
              <w:widowControl w:val="0"/>
              <w:rPr>
                <w:sz w:val="20"/>
                <w:szCs w:val="20"/>
              </w:rPr>
            </w:pPr>
          </w:p>
        </w:tc>
        <w:tc>
          <w:tcPr>
            <w:tcW w:w="1350" w:type="dxa"/>
          </w:tcPr>
          <w:p w14:paraId="7A4549D3" w14:textId="77777777" w:rsidR="00E1684E" w:rsidRPr="00E1684E" w:rsidRDefault="00E1684E" w:rsidP="00CF2EEA">
            <w:pPr>
              <w:widowControl w:val="0"/>
              <w:tabs>
                <w:tab w:val="decimal" w:pos="342"/>
              </w:tabs>
              <w:jc w:val="center"/>
              <w:rPr>
                <w:sz w:val="20"/>
                <w:szCs w:val="20"/>
              </w:rPr>
            </w:pPr>
          </w:p>
        </w:tc>
        <w:tc>
          <w:tcPr>
            <w:tcW w:w="1440" w:type="dxa"/>
          </w:tcPr>
          <w:p w14:paraId="4F2E2CC5" w14:textId="77777777" w:rsidR="00E1684E" w:rsidRPr="00E1684E" w:rsidRDefault="00E1684E" w:rsidP="00CF2EEA">
            <w:pPr>
              <w:widowControl w:val="0"/>
              <w:tabs>
                <w:tab w:val="decimal" w:pos="342"/>
              </w:tabs>
              <w:jc w:val="center"/>
              <w:rPr>
                <w:sz w:val="20"/>
                <w:szCs w:val="20"/>
              </w:rPr>
            </w:pPr>
          </w:p>
        </w:tc>
        <w:tc>
          <w:tcPr>
            <w:tcW w:w="1350" w:type="dxa"/>
          </w:tcPr>
          <w:p w14:paraId="39786AFE" w14:textId="77777777" w:rsidR="00E1684E" w:rsidRPr="00E1684E" w:rsidRDefault="00E1684E" w:rsidP="00CF2EEA">
            <w:pPr>
              <w:widowControl w:val="0"/>
              <w:tabs>
                <w:tab w:val="decimal" w:pos="342"/>
              </w:tabs>
              <w:jc w:val="center"/>
              <w:rPr>
                <w:sz w:val="20"/>
                <w:szCs w:val="20"/>
              </w:rPr>
            </w:pPr>
          </w:p>
        </w:tc>
        <w:tc>
          <w:tcPr>
            <w:tcW w:w="900" w:type="dxa"/>
          </w:tcPr>
          <w:p w14:paraId="5BAD5B8D" w14:textId="77777777" w:rsidR="00E1684E" w:rsidRPr="00E1684E" w:rsidRDefault="00E1684E" w:rsidP="00CF2EEA">
            <w:pPr>
              <w:widowControl w:val="0"/>
              <w:tabs>
                <w:tab w:val="decimal" w:pos="162"/>
              </w:tabs>
              <w:jc w:val="center"/>
              <w:rPr>
                <w:sz w:val="20"/>
                <w:szCs w:val="20"/>
              </w:rPr>
            </w:pPr>
          </w:p>
        </w:tc>
      </w:tr>
      <w:tr w:rsidR="00E1684E" w:rsidRPr="00E1684E" w14:paraId="4A7EB6C7" w14:textId="77777777" w:rsidTr="00A720AB">
        <w:tc>
          <w:tcPr>
            <w:tcW w:w="3618" w:type="dxa"/>
          </w:tcPr>
          <w:p w14:paraId="61A96ECE" w14:textId="77777777" w:rsidR="00E1684E" w:rsidRPr="00E1684E" w:rsidRDefault="00E1684E" w:rsidP="00CF2EEA">
            <w:pPr>
              <w:widowControl w:val="0"/>
              <w:rPr>
                <w:i/>
                <w:sz w:val="20"/>
                <w:szCs w:val="20"/>
              </w:rPr>
            </w:pPr>
            <w:r w:rsidRPr="00E1684E">
              <w:rPr>
                <w:i/>
                <w:sz w:val="20"/>
                <w:szCs w:val="20"/>
              </w:rPr>
              <w:t>Recent injuries or illnesses</w:t>
            </w:r>
          </w:p>
        </w:tc>
        <w:tc>
          <w:tcPr>
            <w:tcW w:w="1350" w:type="dxa"/>
          </w:tcPr>
          <w:p w14:paraId="3C0CC35B" w14:textId="77777777" w:rsidR="00E1684E" w:rsidRPr="00E1684E" w:rsidRDefault="00E1684E" w:rsidP="00CF2EEA">
            <w:pPr>
              <w:widowControl w:val="0"/>
              <w:tabs>
                <w:tab w:val="decimal" w:pos="342"/>
              </w:tabs>
              <w:jc w:val="center"/>
              <w:rPr>
                <w:sz w:val="20"/>
                <w:szCs w:val="20"/>
              </w:rPr>
            </w:pPr>
          </w:p>
        </w:tc>
        <w:tc>
          <w:tcPr>
            <w:tcW w:w="1440" w:type="dxa"/>
          </w:tcPr>
          <w:p w14:paraId="50AF50D3" w14:textId="77777777" w:rsidR="00E1684E" w:rsidRPr="00E1684E" w:rsidRDefault="00E1684E" w:rsidP="00CF2EEA">
            <w:pPr>
              <w:widowControl w:val="0"/>
              <w:tabs>
                <w:tab w:val="decimal" w:pos="342"/>
              </w:tabs>
              <w:jc w:val="center"/>
              <w:rPr>
                <w:sz w:val="20"/>
                <w:szCs w:val="20"/>
              </w:rPr>
            </w:pPr>
          </w:p>
        </w:tc>
        <w:tc>
          <w:tcPr>
            <w:tcW w:w="1350" w:type="dxa"/>
          </w:tcPr>
          <w:p w14:paraId="70BC9587" w14:textId="77777777" w:rsidR="00E1684E" w:rsidRPr="00E1684E" w:rsidRDefault="00E1684E" w:rsidP="00CF2EEA">
            <w:pPr>
              <w:widowControl w:val="0"/>
              <w:tabs>
                <w:tab w:val="decimal" w:pos="342"/>
              </w:tabs>
              <w:jc w:val="center"/>
              <w:rPr>
                <w:sz w:val="20"/>
                <w:szCs w:val="20"/>
              </w:rPr>
            </w:pPr>
          </w:p>
        </w:tc>
        <w:tc>
          <w:tcPr>
            <w:tcW w:w="900" w:type="dxa"/>
          </w:tcPr>
          <w:p w14:paraId="0DC144F2" w14:textId="77777777" w:rsidR="00E1684E" w:rsidRPr="00E1684E" w:rsidRDefault="00E1684E" w:rsidP="00CF2EEA">
            <w:pPr>
              <w:widowControl w:val="0"/>
              <w:tabs>
                <w:tab w:val="decimal" w:pos="162"/>
              </w:tabs>
              <w:jc w:val="center"/>
              <w:rPr>
                <w:sz w:val="20"/>
                <w:szCs w:val="20"/>
              </w:rPr>
            </w:pPr>
          </w:p>
        </w:tc>
      </w:tr>
      <w:tr w:rsidR="00E1684E" w:rsidRPr="00E1684E" w14:paraId="30056CB1" w14:textId="77777777" w:rsidTr="00A720AB">
        <w:tc>
          <w:tcPr>
            <w:tcW w:w="3618" w:type="dxa"/>
          </w:tcPr>
          <w:p w14:paraId="7A36D957" w14:textId="18BCA9D1" w:rsidR="00E1684E" w:rsidRPr="00E1684E" w:rsidRDefault="00E1684E" w:rsidP="00CF2EEA">
            <w:pPr>
              <w:widowControl w:val="0"/>
              <w:ind w:left="288"/>
              <w:rPr>
                <w:sz w:val="20"/>
                <w:szCs w:val="20"/>
              </w:rPr>
            </w:pPr>
            <w:r w:rsidRPr="00E1684E">
              <w:rPr>
                <w:sz w:val="20"/>
                <w:szCs w:val="20"/>
              </w:rPr>
              <w:t>Total n</w:t>
            </w:r>
            <w:r w:rsidR="00A359E2">
              <w:rPr>
                <w:sz w:val="20"/>
                <w:szCs w:val="20"/>
              </w:rPr>
              <w:t>umber</w:t>
            </w:r>
            <w:r w:rsidRPr="00E1684E">
              <w:rPr>
                <w:sz w:val="20"/>
                <w:szCs w:val="20"/>
              </w:rPr>
              <w:t xml:space="preserve"> reported</w:t>
            </w:r>
          </w:p>
        </w:tc>
        <w:tc>
          <w:tcPr>
            <w:tcW w:w="1350" w:type="dxa"/>
          </w:tcPr>
          <w:p w14:paraId="253CD1C6" w14:textId="77777777" w:rsidR="00E1684E" w:rsidRPr="00E1684E" w:rsidRDefault="00E1684E" w:rsidP="00CF2EEA">
            <w:pPr>
              <w:widowControl w:val="0"/>
              <w:tabs>
                <w:tab w:val="decimal" w:pos="342"/>
              </w:tabs>
              <w:jc w:val="center"/>
              <w:rPr>
                <w:sz w:val="20"/>
                <w:szCs w:val="20"/>
              </w:rPr>
            </w:pPr>
            <w:r w:rsidRPr="00E1684E">
              <w:rPr>
                <w:sz w:val="20"/>
                <w:szCs w:val="20"/>
              </w:rPr>
              <w:t>31</w:t>
            </w:r>
          </w:p>
        </w:tc>
        <w:tc>
          <w:tcPr>
            <w:tcW w:w="1440" w:type="dxa"/>
          </w:tcPr>
          <w:p w14:paraId="29485373" w14:textId="77777777" w:rsidR="00E1684E" w:rsidRPr="00E1684E" w:rsidRDefault="00E1684E" w:rsidP="00CF2EEA">
            <w:pPr>
              <w:widowControl w:val="0"/>
              <w:tabs>
                <w:tab w:val="decimal" w:pos="342"/>
              </w:tabs>
              <w:jc w:val="center"/>
              <w:rPr>
                <w:sz w:val="20"/>
                <w:szCs w:val="20"/>
              </w:rPr>
            </w:pPr>
            <w:r w:rsidRPr="00E1684E">
              <w:rPr>
                <w:sz w:val="20"/>
                <w:szCs w:val="20"/>
              </w:rPr>
              <w:t>23</w:t>
            </w:r>
          </w:p>
        </w:tc>
        <w:tc>
          <w:tcPr>
            <w:tcW w:w="1350" w:type="dxa"/>
          </w:tcPr>
          <w:p w14:paraId="56B6374C" w14:textId="77777777" w:rsidR="00E1684E" w:rsidRPr="00E1684E" w:rsidRDefault="00E1684E" w:rsidP="00CF2EEA">
            <w:pPr>
              <w:widowControl w:val="0"/>
              <w:tabs>
                <w:tab w:val="decimal" w:pos="342"/>
              </w:tabs>
              <w:jc w:val="center"/>
              <w:rPr>
                <w:sz w:val="20"/>
                <w:szCs w:val="20"/>
              </w:rPr>
            </w:pPr>
            <w:r w:rsidRPr="00E1684E">
              <w:rPr>
                <w:sz w:val="20"/>
                <w:szCs w:val="20"/>
              </w:rPr>
              <w:t>54</w:t>
            </w:r>
          </w:p>
        </w:tc>
        <w:tc>
          <w:tcPr>
            <w:tcW w:w="900" w:type="dxa"/>
          </w:tcPr>
          <w:p w14:paraId="27743441" w14:textId="77777777" w:rsidR="00E1684E" w:rsidRPr="00E1684E" w:rsidRDefault="00E1684E" w:rsidP="00CF2EEA">
            <w:pPr>
              <w:widowControl w:val="0"/>
              <w:tabs>
                <w:tab w:val="decimal" w:pos="162"/>
              </w:tabs>
              <w:jc w:val="center"/>
              <w:rPr>
                <w:sz w:val="20"/>
                <w:szCs w:val="20"/>
              </w:rPr>
            </w:pPr>
          </w:p>
        </w:tc>
      </w:tr>
      <w:tr w:rsidR="00E1684E" w:rsidRPr="00E1684E" w14:paraId="2CF67839" w14:textId="77777777" w:rsidTr="00A720AB">
        <w:tc>
          <w:tcPr>
            <w:tcW w:w="3618" w:type="dxa"/>
          </w:tcPr>
          <w:p w14:paraId="5B279C4A" w14:textId="77777777" w:rsidR="00E1684E" w:rsidRPr="00E1684E" w:rsidRDefault="00E1684E" w:rsidP="00CF2EEA">
            <w:pPr>
              <w:widowControl w:val="0"/>
              <w:ind w:left="288"/>
              <w:rPr>
                <w:sz w:val="20"/>
                <w:szCs w:val="20"/>
              </w:rPr>
            </w:pPr>
            <w:r w:rsidRPr="00E1684E">
              <w:rPr>
                <w:sz w:val="20"/>
                <w:szCs w:val="20"/>
              </w:rPr>
              <w:t xml:space="preserve">Average/participant, </w:t>
            </w:r>
            <w:r w:rsidRPr="00E60A45">
              <w:rPr>
                <w:i/>
                <w:sz w:val="20"/>
                <w:szCs w:val="20"/>
              </w:rPr>
              <w:t>M</w:t>
            </w:r>
            <w:r w:rsidRPr="00E1684E">
              <w:rPr>
                <w:sz w:val="20"/>
                <w:szCs w:val="20"/>
              </w:rPr>
              <w:t xml:space="preserve"> (</w:t>
            </w:r>
            <w:r w:rsidRPr="00E60A45">
              <w:rPr>
                <w:i/>
                <w:sz w:val="20"/>
                <w:szCs w:val="20"/>
              </w:rPr>
              <w:t>SD</w:t>
            </w:r>
            <w:r w:rsidRPr="00E1684E">
              <w:rPr>
                <w:sz w:val="20"/>
                <w:szCs w:val="20"/>
              </w:rPr>
              <w:t>)</w:t>
            </w:r>
          </w:p>
        </w:tc>
        <w:tc>
          <w:tcPr>
            <w:tcW w:w="1350" w:type="dxa"/>
          </w:tcPr>
          <w:p w14:paraId="19A3A27E" w14:textId="77777777" w:rsidR="00E1684E" w:rsidRPr="00E1684E" w:rsidRDefault="00E1684E" w:rsidP="00CF2EEA">
            <w:pPr>
              <w:widowControl w:val="0"/>
              <w:tabs>
                <w:tab w:val="decimal" w:pos="342"/>
              </w:tabs>
              <w:jc w:val="center"/>
              <w:rPr>
                <w:sz w:val="20"/>
                <w:szCs w:val="20"/>
              </w:rPr>
            </w:pPr>
            <w:r w:rsidRPr="00E1684E">
              <w:rPr>
                <w:sz w:val="20"/>
                <w:szCs w:val="20"/>
              </w:rPr>
              <w:t>0.7 (1.5)</w:t>
            </w:r>
          </w:p>
        </w:tc>
        <w:tc>
          <w:tcPr>
            <w:tcW w:w="1440" w:type="dxa"/>
          </w:tcPr>
          <w:p w14:paraId="359D8CEC" w14:textId="77777777" w:rsidR="00E1684E" w:rsidRPr="00E1684E" w:rsidRDefault="00E1684E" w:rsidP="00CF2EEA">
            <w:pPr>
              <w:widowControl w:val="0"/>
              <w:tabs>
                <w:tab w:val="decimal" w:pos="342"/>
              </w:tabs>
              <w:jc w:val="center"/>
              <w:rPr>
                <w:sz w:val="20"/>
                <w:szCs w:val="20"/>
              </w:rPr>
            </w:pPr>
            <w:r w:rsidRPr="00E1684E">
              <w:rPr>
                <w:sz w:val="20"/>
                <w:szCs w:val="20"/>
              </w:rPr>
              <w:t>0.6 (0.9)</w:t>
            </w:r>
          </w:p>
        </w:tc>
        <w:tc>
          <w:tcPr>
            <w:tcW w:w="1350" w:type="dxa"/>
          </w:tcPr>
          <w:p w14:paraId="783408B5" w14:textId="77777777" w:rsidR="00E1684E" w:rsidRPr="00E1684E" w:rsidRDefault="00E1684E" w:rsidP="00CF2EEA">
            <w:pPr>
              <w:widowControl w:val="0"/>
              <w:tabs>
                <w:tab w:val="decimal" w:pos="342"/>
              </w:tabs>
              <w:jc w:val="center"/>
              <w:rPr>
                <w:sz w:val="20"/>
                <w:szCs w:val="20"/>
              </w:rPr>
            </w:pPr>
            <w:r w:rsidRPr="00E1684E">
              <w:rPr>
                <w:sz w:val="20"/>
                <w:szCs w:val="20"/>
              </w:rPr>
              <w:t>0.6 (1.2)</w:t>
            </w:r>
          </w:p>
        </w:tc>
        <w:tc>
          <w:tcPr>
            <w:tcW w:w="900" w:type="dxa"/>
          </w:tcPr>
          <w:p w14:paraId="7F3EF2D3" w14:textId="77777777" w:rsidR="00E1684E" w:rsidRPr="00E1684E" w:rsidRDefault="00E1684E" w:rsidP="00CF2EEA">
            <w:pPr>
              <w:widowControl w:val="0"/>
              <w:tabs>
                <w:tab w:val="decimal" w:pos="162"/>
              </w:tabs>
              <w:jc w:val="center"/>
              <w:rPr>
                <w:sz w:val="20"/>
                <w:szCs w:val="20"/>
              </w:rPr>
            </w:pPr>
            <w:r w:rsidRPr="00E1684E">
              <w:rPr>
                <w:sz w:val="20"/>
                <w:szCs w:val="20"/>
              </w:rPr>
              <w:t>.59</w:t>
            </w:r>
          </w:p>
        </w:tc>
      </w:tr>
      <w:tr w:rsidR="00E1684E" w:rsidRPr="00E1684E" w14:paraId="094CB5FF" w14:textId="77777777" w:rsidTr="00A720AB">
        <w:tc>
          <w:tcPr>
            <w:tcW w:w="3618" w:type="dxa"/>
          </w:tcPr>
          <w:p w14:paraId="066EE805" w14:textId="6F53E617" w:rsidR="00E1684E" w:rsidRPr="00E1684E" w:rsidRDefault="00E1684E" w:rsidP="00CF2EEA">
            <w:pPr>
              <w:widowControl w:val="0"/>
              <w:ind w:left="288"/>
              <w:rPr>
                <w:sz w:val="20"/>
                <w:szCs w:val="20"/>
              </w:rPr>
            </w:pPr>
            <w:r w:rsidRPr="00E1684E">
              <w:rPr>
                <w:sz w:val="20"/>
                <w:szCs w:val="20"/>
              </w:rPr>
              <w:t xml:space="preserve">Percent who reported </w:t>
            </w:r>
            <w:r w:rsidR="00E60A45">
              <w:rPr>
                <w:rFonts w:cs="Times New Roman"/>
                <w:sz w:val="20"/>
                <w:szCs w:val="20"/>
              </w:rPr>
              <w:t xml:space="preserve">≥ </w:t>
            </w:r>
            <w:r w:rsidRPr="00E1684E">
              <w:rPr>
                <w:sz w:val="20"/>
                <w:szCs w:val="20"/>
              </w:rPr>
              <w:t>1</w:t>
            </w:r>
          </w:p>
        </w:tc>
        <w:tc>
          <w:tcPr>
            <w:tcW w:w="1350" w:type="dxa"/>
          </w:tcPr>
          <w:p w14:paraId="67C7BBF7" w14:textId="77777777" w:rsidR="00E1684E" w:rsidRPr="00E1684E" w:rsidRDefault="00E1684E" w:rsidP="00CF2EEA">
            <w:pPr>
              <w:widowControl w:val="0"/>
              <w:tabs>
                <w:tab w:val="decimal" w:pos="342"/>
              </w:tabs>
              <w:jc w:val="center"/>
              <w:rPr>
                <w:sz w:val="20"/>
                <w:szCs w:val="20"/>
              </w:rPr>
            </w:pPr>
            <w:r w:rsidRPr="00E1684E">
              <w:rPr>
                <w:sz w:val="20"/>
                <w:szCs w:val="20"/>
              </w:rPr>
              <w:t>39%</w:t>
            </w:r>
          </w:p>
        </w:tc>
        <w:tc>
          <w:tcPr>
            <w:tcW w:w="1440" w:type="dxa"/>
          </w:tcPr>
          <w:p w14:paraId="7482DCC0" w14:textId="77777777" w:rsidR="00E1684E" w:rsidRPr="00E1684E" w:rsidRDefault="00E1684E" w:rsidP="00CF2EEA">
            <w:pPr>
              <w:widowControl w:val="0"/>
              <w:tabs>
                <w:tab w:val="decimal" w:pos="342"/>
              </w:tabs>
              <w:jc w:val="center"/>
              <w:rPr>
                <w:sz w:val="20"/>
                <w:szCs w:val="20"/>
              </w:rPr>
            </w:pPr>
            <w:r w:rsidRPr="00E1684E">
              <w:rPr>
                <w:sz w:val="20"/>
                <w:szCs w:val="20"/>
              </w:rPr>
              <w:t>39%</w:t>
            </w:r>
          </w:p>
        </w:tc>
        <w:tc>
          <w:tcPr>
            <w:tcW w:w="1350" w:type="dxa"/>
          </w:tcPr>
          <w:p w14:paraId="5B5BB2C6" w14:textId="77777777" w:rsidR="00E1684E" w:rsidRPr="00E1684E" w:rsidRDefault="00E1684E" w:rsidP="00CF2EEA">
            <w:pPr>
              <w:widowControl w:val="0"/>
              <w:tabs>
                <w:tab w:val="decimal" w:pos="342"/>
              </w:tabs>
              <w:jc w:val="center"/>
              <w:rPr>
                <w:sz w:val="20"/>
                <w:szCs w:val="20"/>
              </w:rPr>
            </w:pPr>
            <w:r w:rsidRPr="00E1684E">
              <w:rPr>
                <w:sz w:val="20"/>
                <w:szCs w:val="20"/>
              </w:rPr>
              <w:t>39%</w:t>
            </w:r>
          </w:p>
        </w:tc>
        <w:tc>
          <w:tcPr>
            <w:tcW w:w="900" w:type="dxa"/>
          </w:tcPr>
          <w:p w14:paraId="67E64E0A" w14:textId="77777777" w:rsidR="00E1684E" w:rsidRPr="00E1684E" w:rsidRDefault="00E1684E" w:rsidP="00CF2EEA">
            <w:pPr>
              <w:widowControl w:val="0"/>
              <w:tabs>
                <w:tab w:val="decimal" w:pos="162"/>
              </w:tabs>
              <w:jc w:val="center"/>
              <w:rPr>
                <w:sz w:val="20"/>
                <w:szCs w:val="20"/>
              </w:rPr>
            </w:pPr>
            <w:r w:rsidRPr="00E1684E">
              <w:rPr>
                <w:sz w:val="20"/>
                <w:szCs w:val="20"/>
              </w:rPr>
              <w:t>.97</w:t>
            </w:r>
          </w:p>
        </w:tc>
      </w:tr>
      <w:tr w:rsidR="00E1684E" w:rsidRPr="00E1684E" w14:paraId="503F40CC" w14:textId="77777777" w:rsidTr="00A720AB">
        <w:tc>
          <w:tcPr>
            <w:tcW w:w="3618" w:type="dxa"/>
          </w:tcPr>
          <w:p w14:paraId="5EEE9B60" w14:textId="510B1F65" w:rsidR="00E1684E" w:rsidRPr="00E1684E" w:rsidRDefault="00A359E2" w:rsidP="00CF2EEA">
            <w:pPr>
              <w:widowControl w:val="0"/>
              <w:ind w:left="288"/>
              <w:rPr>
                <w:sz w:val="20"/>
                <w:szCs w:val="20"/>
              </w:rPr>
            </w:pPr>
            <w:r>
              <w:rPr>
                <w:sz w:val="20"/>
                <w:szCs w:val="20"/>
              </w:rPr>
              <w:t>Number</w:t>
            </w:r>
            <w:r w:rsidR="00E1684E" w:rsidRPr="00E1684E">
              <w:rPr>
                <w:sz w:val="20"/>
                <w:szCs w:val="20"/>
              </w:rPr>
              <w:t xml:space="preserve"> </w:t>
            </w:r>
            <w:proofErr w:type="gramStart"/>
            <w:r w:rsidR="00E1684E" w:rsidRPr="00E1684E">
              <w:rPr>
                <w:sz w:val="20"/>
                <w:szCs w:val="20"/>
              </w:rPr>
              <w:t>definitely related</w:t>
            </w:r>
            <w:proofErr w:type="gramEnd"/>
            <w:r w:rsidR="00E1684E" w:rsidRPr="00E1684E">
              <w:rPr>
                <w:sz w:val="20"/>
                <w:szCs w:val="20"/>
              </w:rPr>
              <w:t xml:space="preserve"> to treatment</w:t>
            </w:r>
          </w:p>
        </w:tc>
        <w:tc>
          <w:tcPr>
            <w:tcW w:w="1350" w:type="dxa"/>
          </w:tcPr>
          <w:p w14:paraId="02CBA45F" w14:textId="77777777" w:rsidR="00E1684E" w:rsidRPr="00E1684E" w:rsidRDefault="00E1684E" w:rsidP="00CF2EEA">
            <w:pPr>
              <w:widowControl w:val="0"/>
              <w:tabs>
                <w:tab w:val="decimal" w:pos="342"/>
              </w:tabs>
              <w:jc w:val="center"/>
              <w:rPr>
                <w:sz w:val="20"/>
                <w:szCs w:val="20"/>
              </w:rPr>
            </w:pPr>
            <w:r w:rsidRPr="00E1684E">
              <w:rPr>
                <w:sz w:val="20"/>
                <w:szCs w:val="20"/>
              </w:rPr>
              <w:t>0</w:t>
            </w:r>
          </w:p>
        </w:tc>
        <w:tc>
          <w:tcPr>
            <w:tcW w:w="1440" w:type="dxa"/>
          </w:tcPr>
          <w:p w14:paraId="596D729A" w14:textId="77777777" w:rsidR="00E1684E" w:rsidRPr="00E1684E" w:rsidRDefault="00E1684E" w:rsidP="00CF2EEA">
            <w:pPr>
              <w:widowControl w:val="0"/>
              <w:tabs>
                <w:tab w:val="decimal" w:pos="342"/>
              </w:tabs>
              <w:jc w:val="center"/>
              <w:rPr>
                <w:sz w:val="20"/>
                <w:szCs w:val="20"/>
              </w:rPr>
            </w:pPr>
            <w:r w:rsidRPr="00E1684E">
              <w:rPr>
                <w:sz w:val="20"/>
                <w:szCs w:val="20"/>
              </w:rPr>
              <w:t>0</w:t>
            </w:r>
          </w:p>
        </w:tc>
        <w:tc>
          <w:tcPr>
            <w:tcW w:w="1350" w:type="dxa"/>
          </w:tcPr>
          <w:p w14:paraId="56D27096" w14:textId="77777777" w:rsidR="00E1684E" w:rsidRPr="00E1684E" w:rsidRDefault="00E1684E" w:rsidP="00CF2EEA">
            <w:pPr>
              <w:widowControl w:val="0"/>
              <w:tabs>
                <w:tab w:val="decimal" w:pos="342"/>
              </w:tabs>
              <w:jc w:val="center"/>
              <w:rPr>
                <w:sz w:val="20"/>
                <w:szCs w:val="20"/>
              </w:rPr>
            </w:pPr>
            <w:r w:rsidRPr="00E1684E">
              <w:rPr>
                <w:sz w:val="20"/>
                <w:szCs w:val="20"/>
              </w:rPr>
              <w:t>0</w:t>
            </w:r>
          </w:p>
        </w:tc>
        <w:tc>
          <w:tcPr>
            <w:tcW w:w="900" w:type="dxa"/>
          </w:tcPr>
          <w:p w14:paraId="623617E3" w14:textId="77777777" w:rsidR="00E1684E" w:rsidRPr="00E1684E" w:rsidRDefault="00E1684E" w:rsidP="00CF2EEA">
            <w:pPr>
              <w:widowControl w:val="0"/>
              <w:tabs>
                <w:tab w:val="decimal" w:pos="162"/>
              </w:tabs>
              <w:jc w:val="center"/>
              <w:rPr>
                <w:sz w:val="20"/>
                <w:szCs w:val="20"/>
              </w:rPr>
            </w:pPr>
            <w:proofErr w:type="spellStart"/>
            <w:r w:rsidRPr="00E1684E">
              <w:rPr>
                <w:sz w:val="20"/>
                <w:szCs w:val="20"/>
              </w:rPr>
              <w:t>na</w:t>
            </w:r>
            <w:proofErr w:type="spellEnd"/>
          </w:p>
        </w:tc>
      </w:tr>
      <w:tr w:rsidR="00E1684E" w:rsidRPr="00E1684E" w14:paraId="6232F02D" w14:textId="77777777" w:rsidTr="00A720AB">
        <w:tc>
          <w:tcPr>
            <w:tcW w:w="3618" w:type="dxa"/>
          </w:tcPr>
          <w:p w14:paraId="25A5AA14" w14:textId="77777777" w:rsidR="00E1684E" w:rsidRPr="00E1684E" w:rsidRDefault="00E1684E" w:rsidP="00CF2EEA">
            <w:pPr>
              <w:widowControl w:val="0"/>
              <w:rPr>
                <w:sz w:val="20"/>
                <w:szCs w:val="20"/>
              </w:rPr>
            </w:pPr>
          </w:p>
        </w:tc>
        <w:tc>
          <w:tcPr>
            <w:tcW w:w="1350" w:type="dxa"/>
          </w:tcPr>
          <w:p w14:paraId="5F7A7E2E" w14:textId="77777777" w:rsidR="00E1684E" w:rsidRPr="00E1684E" w:rsidRDefault="00E1684E" w:rsidP="00CF2EEA">
            <w:pPr>
              <w:widowControl w:val="0"/>
              <w:tabs>
                <w:tab w:val="decimal" w:pos="342"/>
              </w:tabs>
              <w:jc w:val="center"/>
              <w:rPr>
                <w:sz w:val="20"/>
                <w:szCs w:val="20"/>
              </w:rPr>
            </w:pPr>
          </w:p>
        </w:tc>
        <w:tc>
          <w:tcPr>
            <w:tcW w:w="1440" w:type="dxa"/>
          </w:tcPr>
          <w:p w14:paraId="79479E66" w14:textId="77777777" w:rsidR="00E1684E" w:rsidRPr="00E1684E" w:rsidRDefault="00E1684E" w:rsidP="00CF2EEA">
            <w:pPr>
              <w:widowControl w:val="0"/>
              <w:tabs>
                <w:tab w:val="decimal" w:pos="342"/>
              </w:tabs>
              <w:jc w:val="center"/>
              <w:rPr>
                <w:sz w:val="20"/>
                <w:szCs w:val="20"/>
              </w:rPr>
            </w:pPr>
          </w:p>
        </w:tc>
        <w:tc>
          <w:tcPr>
            <w:tcW w:w="1350" w:type="dxa"/>
          </w:tcPr>
          <w:p w14:paraId="4B949A47" w14:textId="77777777" w:rsidR="00E1684E" w:rsidRPr="00E1684E" w:rsidRDefault="00E1684E" w:rsidP="00CF2EEA">
            <w:pPr>
              <w:widowControl w:val="0"/>
              <w:tabs>
                <w:tab w:val="decimal" w:pos="342"/>
              </w:tabs>
              <w:jc w:val="center"/>
              <w:rPr>
                <w:sz w:val="20"/>
                <w:szCs w:val="20"/>
              </w:rPr>
            </w:pPr>
          </w:p>
        </w:tc>
        <w:tc>
          <w:tcPr>
            <w:tcW w:w="900" w:type="dxa"/>
          </w:tcPr>
          <w:p w14:paraId="1EEF6CF0" w14:textId="77777777" w:rsidR="00E1684E" w:rsidRPr="00E1684E" w:rsidRDefault="00E1684E" w:rsidP="00CF2EEA">
            <w:pPr>
              <w:widowControl w:val="0"/>
              <w:tabs>
                <w:tab w:val="decimal" w:pos="162"/>
              </w:tabs>
              <w:jc w:val="center"/>
              <w:rPr>
                <w:sz w:val="20"/>
                <w:szCs w:val="20"/>
              </w:rPr>
            </w:pPr>
          </w:p>
        </w:tc>
      </w:tr>
      <w:tr w:rsidR="00E1684E" w:rsidRPr="00E1684E" w14:paraId="7BD30276" w14:textId="77777777" w:rsidTr="00A720AB">
        <w:tc>
          <w:tcPr>
            <w:tcW w:w="3618" w:type="dxa"/>
          </w:tcPr>
          <w:p w14:paraId="5734E901" w14:textId="77777777" w:rsidR="00E1684E" w:rsidRPr="00E1684E" w:rsidRDefault="00E1684E" w:rsidP="00CF2EEA">
            <w:pPr>
              <w:widowControl w:val="0"/>
              <w:rPr>
                <w:i/>
                <w:sz w:val="20"/>
                <w:szCs w:val="20"/>
              </w:rPr>
            </w:pPr>
            <w:r w:rsidRPr="00E1684E">
              <w:rPr>
                <w:i/>
                <w:sz w:val="20"/>
                <w:szCs w:val="20"/>
              </w:rPr>
              <w:t>Physician visit for any reason</w:t>
            </w:r>
          </w:p>
        </w:tc>
        <w:tc>
          <w:tcPr>
            <w:tcW w:w="1350" w:type="dxa"/>
          </w:tcPr>
          <w:p w14:paraId="23DBB277" w14:textId="77777777" w:rsidR="00E1684E" w:rsidRPr="00E1684E" w:rsidRDefault="00E1684E" w:rsidP="00CF2EEA">
            <w:pPr>
              <w:widowControl w:val="0"/>
              <w:tabs>
                <w:tab w:val="decimal" w:pos="342"/>
              </w:tabs>
              <w:jc w:val="center"/>
              <w:rPr>
                <w:sz w:val="20"/>
                <w:szCs w:val="20"/>
              </w:rPr>
            </w:pPr>
          </w:p>
        </w:tc>
        <w:tc>
          <w:tcPr>
            <w:tcW w:w="1440" w:type="dxa"/>
          </w:tcPr>
          <w:p w14:paraId="3E5A56AC" w14:textId="77777777" w:rsidR="00E1684E" w:rsidRPr="00E1684E" w:rsidRDefault="00E1684E" w:rsidP="00CF2EEA">
            <w:pPr>
              <w:widowControl w:val="0"/>
              <w:tabs>
                <w:tab w:val="decimal" w:pos="342"/>
              </w:tabs>
              <w:jc w:val="center"/>
              <w:rPr>
                <w:sz w:val="20"/>
                <w:szCs w:val="20"/>
              </w:rPr>
            </w:pPr>
          </w:p>
        </w:tc>
        <w:tc>
          <w:tcPr>
            <w:tcW w:w="1350" w:type="dxa"/>
          </w:tcPr>
          <w:p w14:paraId="2ABBDD5A" w14:textId="77777777" w:rsidR="00E1684E" w:rsidRPr="00E1684E" w:rsidRDefault="00E1684E" w:rsidP="00CF2EEA">
            <w:pPr>
              <w:widowControl w:val="0"/>
              <w:tabs>
                <w:tab w:val="decimal" w:pos="342"/>
              </w:tabs>
              <w:jc w:val="center"/>
              <w:rPr>
                <w:sz w:val="20"/>
                <w:szCs w:val="20"/>
              </w:rPr>
            </w:pPr>
          </w:p>
        </w:tc>
        <w:tc>
          <w:tcPr>
            <w:tcW w:w="900" w:type="dxa"/>
          </w:tcPr>
          <w:p w14:paraId="04278982" w14:textId="77777777" w:rsidR="00E1684E" w:rsidRPr="00E1684E" w:rsidRDefault="00E1684E" w:rsidP="00CF2EEA">
            <w:pPr>
              <w:widowControl w:val="0"/>
              <w:tabs>
                <w:tab w:val="decimal" w:pos="162"/>
              </w:tabs>
              <w:jc w:val="center"/>
              <w:rPr>
                <w:sz w:val="20"/>
                <w:szCs w:val="20"/>
              </w:rPr>
            </w:pPr>
          </w:p>
        </w:tc>
      </w:tr>
      <w:tr w:rsidR="00E1684E" w:rsidRPr="00E1684E" w14:paraId="50189E67" w14:textId="77777777" w:rsidTr="00A720AB">
        <w:tc>
          <w:tcPr>
            <w:tcW w:w="3618" w:type="dxa"/>
          </w:tcPr>
          <w:p w14:paraId="69125895" w14:textId="7B4CDCFF" w:rsidR="00E1684E" w:rsidRPr="00E1684E" w:rsidRDefault="00E1684E" w:rsidP="00CF2EEA">
            <w:pPr>
              <w:widowControl w:val="0"/>
              <w:ind w:left="288"/>
              <w:rPr>
                <w:sz w:val="20"/>
                <w:szCs w:val="20"/>
              </w:rPr>
            </w:pPr>
            <w:r w:rsidRPr="00E1684E">
              <w:rPr>
                <w:sz w:val="20"/>
                <w:szCs w:val="20"/>
              </w:rPr>
              <w:t>Total n</w:t>
            </w:r>
            <w:r w:rsidR="00A359E2">
              <w:rPr>
                <w:sz w:val="20"/>
                <w:szCs w:val="20"/>
              </w:rPr>
              <w:t>umber</w:t>
            </w:r>
            <w:r w:rsidRPr="00E1684E">
              <w:rPr>
                <w:sz w:val="20"/>
                <w:szCs w:val="20"/>
              </w:rPr>
              <w:t xml:space="preserve"> reported</w:t>
            </w:r>
          </w:p>
        </w:tc>
        <w:tc>
          <w:tcPr>
            <w:tcW w:w="1350" w:type="dxa"/>
          </w:tcPr>
          <w:p w14:paraId="7FDD45BC" w14:textId="77777777" w:rsidR="00E1684E" w:rsidRPr="00E1684E" w:rsidRDefault="00E1684E" w:rsidP="00CF2EEA">
            <w:pPr>
              <w:widowControl w:val="0"/>
              <w:tabs>
                <w:tab w:val="decimal" w:pos="342"/>
              </w:tabs>
              <w:jc w:val="center"/>
              <w:rPr>
                <w:sz w:val="20"/>
                <w:szCs w:val="20"/>
              </w:rPr>
            </w:pPr>
            <w:r w:rsidRPr="00E1684E">
              <w:rPr>
                <w:sz w:val="20"/>
                <w:szCs w:val="20"/>
              </w:rPr>
              <w:t>39</w:t>
            </w:r>
          </w:p>
        </w:tc>
        <w:tc>
          <w:tcPr>
            <w:tcW w:w="1440" w:type="dxa"/>
          </w:tcPr>
          <w:p w14:paraId="66C935EE" w14:textId="77777777" w:rsidR="00E1684E" w:rsidRPr="00E1684E" w:rsidRDefault="00E1684E" w:rsidP="00CF2EEA">
            <w:pPr>
              <w:widowControl w:val="0"/>
              <w:tabs>
                <w:tab w:val="decimal" w:pos="342"/>
              </w:tabs>
              <w:jc w:val="center"/>
              <w:rPr>
                <w:sz w:val="20"/>
                <w:szCs w:val="20"/>
              </w:rPr>
            </w:pPr>
            <w:r w:rsidRPr="00E1684E">
              <w:rPr>
                <w:sz w:val="20"/>
                <w:szCs w:val="20"/>
              </w:rPr>
              <w:t>28</w:t>
            </w:r>
          </w:p>
        </w:tc>
        <w:tc>
          <w:tcPr>
            <w:tcW w:w="1350" w:type="dxa"/>
          </w:tcPr>
          <w:p w14:paraId="5026D662" w14:textId="77777777" w:rsidR="00E1684E" w:rsidRPr="00E1684E" w:rsidRDefault="00E1684E" w:rsidP="00CF2EEA">
            <w:pPr>
              <w:widowControl w:val="0"/>
              <w:tabs>
                <w:tab w:val="decimal" w:pos="342"/>
              </w:tabs>
              <w:jc w:val="center"/>
              <w:rPr>
                <w:sz w:val="20"/>
                <w:szCs w:val="20"/>
              </w:rPr>
            </w:pPr>
            <w:r w:rsidRPr="00E1684E">
              <w:rPr>
                <w:sz w:val="20"/>
                <w:szCs w:val="20"/>
              </w:rPr>
              <w:t>67</w:t>
            </w:r>
          </w:p>
        </w:tc>
        <w:tc>
          <w:tcPr>
            <w:tcW w:w="900" w:type="dxa"/>
          </w:tcPr>
          <w:p w14:paraId="7CFB4F28" w14:textId="77777777" w:rsidR="00E1684E" w:rsidRPr="00E1684E" w:rsidRDefault="00E1684E" w:rsidP="00CF2EEA">
            <w:pPr>
              <w:widowControl w:val="0"/>
              <w:tabs>
                <w:tab w:val="decimal" w:pos="162"/>
              </w:tabs>
              <w:jc w:val="center"/>
              <w:rPr>
                <w:sz w:val="20"/>
                <w:szCs w:val="20"/>
              </w:rPr>
            </w:pPr>
          </w:p>
        </w:tc>
      </w:tr>
      <w:tr w:rsidR="00E1684E" w:rsidRPr="00E1684E" w14:paraId="72CDBEBC" w14:textId="77777777" w:rsidTr="00A720AB">
        <w:tc>
          <w:tcPr>
            <w:tcW w:w="3618" w:type="dxa"/>
          </w:tcPr>
          <w:p w14:paraId="5B81AC69" w14:textId="77777777" w:rsidR="00E1684E" w:rsidRPr="00E1684E" w:rsidRDefault="00E1684E" w:rsidP="00CF2EEA">
            <w:pPr>
              <w:widowControl w:val="0"/>
              <w:ind w:left="288"/>
              <w:rPr>
                <w:sz w:val="20"/>
                <w:szCs w:val="20"/>
              </w:rPr>
            </w:pPr>
            <w:r w:rsidRPr="00E1684E">
              <w:rPr>
                <w:sz w:val="20"/>
                <w:szCs w:val="20"/>
              </w:rPr>
              <w:t xml:space="preserve">Average/participant, </w:t>
            </w:r>
            <w:r w:rsidRPr="00E60A45">
              <w:rPr>
                <w:i/>
                <w:sz w:val="20"/>
                <w:szCs w:val="20"/>
              </w:rPr>
              <w:t>M</w:t>
            </w:r>
            <w:r w:rsidRPr="00E1684E">
              <w:rPr>
                <w:sz w:val="20"/>
                <w:szCs w:val="20"/>
              </w:rPr>
              <w:t xml:space="preserve"> (</w:t>
            </w:r>
            <w:r w:rsidRPr="00E60A45">
              <w:rPr>
                <w:i/>
                <w:sz w:val="20"/>
                <w:szCs w:val="20"/>
              </w:rPr>
              <w:t>SD</w:t>
            </w:r>
            <w:r w:rsidRPr="00E1684E">
              <w:rPr>
                <w:sz w:val="20"/>
                <w:szCs w:val="20"/>
              </w:rPr>
              <w:t>)</w:t>
            </w:r>
          </w:p>
        </w:tc>
        <w:tc>
          <w:tcPr>
            <w:tcW w:w="1350" w:type="dxa"/>
          </w:tcPr>
          <w:p w14:paraId="18C00D91" w14:textId="77777777" w:rsidR="00E1684E" w:rsidRPr="00E1684E" w:rsidRDefault="00E1684E" w:rsidP="00CF2EEA">
            <w:pPr>
              <w:widowControl w:val="0"/>
              <w:tabs>
                <w:tab w:val="decimal" w:pos="342"/>
              </w:tabs>
              <w:jc w:val="center"/>
              <w:rPr>
                <w:sz w:val="20"/>
                <w:szCs w:val="20"/>
              </w:rPr>
            </w:pPr>
            <w:r w:rsidRPr="00E1684E">
              <w:rPr>
                <w:sz w:val="20"/>
                <w:szCs w:val="20"/>
              </w:rPr>
              <w:t>0.9 (1.4)</w:t>
            </w:r>
          </w:p>
        </w:tc>
        <w:tc>
          <w:tcPr>
            <w:tcW w:w="1440" w:type="dxa"/>
          </w:tcPr>
          <w:p w14:paraId="1AD529DA" w14:textId="77777777" w:rsidR="00E1684E" w:rsidRPr="00E1684E" w:rsidRDefault="00E1684E" w:rsidP="00CF2EEA">
            <w:pPr>
              <w:widowControl w:val="0"/>
              <w:tabs>
                <w:tab w:val="decimal" w:pos="342"/>
              </w:tabs>
              <w:jc w:val="center"/>
              <w:rPr>
                <w:sz w:val="20"/>
                <w:szCs w:val="20"/>
              </w:rPr>
            </w:pPr>
            <w:r w:rsidRPr="00E1684E">
              <w:rPr>
                <w:sz w:val="20"/>
                <w:szCs w:val="20"/>
              </w:rPr>
              <w:t>0.7 (1.1)</w:t>
            </w:r>
          </w:p>
        </w:tc>
        <w:tc>
          <w:tcPr>
            <w:tcW w:w="1350" w:type="dxa"/>
          </w:tcPr>
          <w:p w14:paraId="7EB3502E" w14:textId="77777777" w:rsidR="00E1684E" w:rsidRPr="00E1684E" w:rsidRDefault="00E1684E" w:rsidP="00CF2EEA">
            <w:pPr>
              <w:widowControl w:val="0"/>
              <w:tabs>
                <w:tab w:val="decimal" w:pos="342"/>
              </w:tabs>
              <w:jc w:val="center"/>
              <w:rPr>
                <w:sz w:val="20"/>
                <w:szCs w:val="20"/>
              </w:rPr>
            </w:pPr>
            <w:r w:rsidRPr="00E1684E">
              <w:rPr>
                <w:sz w:val="20"/>
                <w:szCs w:val="20"/>
              </w:rPr>
              <w:t>0.8 (1.3)</w:t>
            </w:r>
          </w:p>
        </w:tc>
        <w:tc>
          <w:tcPr>
            <w:tcW w:w="900" w:type="dxa"/>
          </w:tcPr>
          <w:p w14:paraId="4017F98F" w14:textId="77777777" w:rsidR="00E1684E" w:rsidRPr="00E1684E" w:rsidRDefault="00E1684E" w:rsidP="00CF2EEA">
            <w:pPr>
              <w:widowControl w:val="0"/>
              <w:tabs>
                <w:tab w:val="decimal" w:pos="162"/>
              </w:tabs>
              <w:jc w:val="center"/>
              <w:rPr>
                <w:sz w:val="20"/>
                <w:szCs w:val="20"/>
              </w:rPr>
            </w:pPr>
            <w:r w:rsidRPr="00E1684E">
              <w:rPr>
                <w:sz w:val="20"/>
                <w:szCs w:val="20"/>
              </w:rPr>
              <w:t>.46</w:t>
            </w:r>
          </w:p>
        </w:tc>
      </w:tr>
      <w:tr w:rsidR="00E1684E" w:rsidRPr="00E1684E" w14:paraId="185C1BFE" w14:textId="77777777" w:rsidTr="00A720AB">
        <w:tc>
          <w:tcPr>
            <w:tcW w:w="3618" w:type="dxa"/>
          </w:tcPr>
          <w:p w14:paraId="5A1B1FB1" w14:textId="584B3F2D" w:rsidR="00E1684E" w:rsidRPr="00E1684E" w:rsidRDefault="00E1684E" w:rsidP="00CF2EEA">
            <w:pPr>
              <w:widowControl w:val="0"/>
              <w:ind w:left="288"/>
              <w:rPr>
                <w:sz w:val="20"/>
                <w:szCs w:val="20"/>
              </w:rPr>
            </w:pPr>
            <w:r w:rsidRPr="00E1684E">
              <w:rPr>
                <w:sz w:val="20"/>
                <w:szCs w:val="20"/>
              </w:rPr>
              <w:t xml:space="preserve">Percent who reported </w:t>
            </w:r>
            <w:r w:rsidR="00E60A45">
              <w:rPr>
                <w:rFonts w:cs="Times New Roman"/>
                <w:sz w:val="20"/>
                <w:szCs w:val="20"/>
              </w:rPr>
              <w:t xml:space="preserve">≥ </w:t>
            </w:r>
            <w:r w:rsidRPr="00E1684E">
              <w:rPr>
                <w:sz w:val="20"/>
                <w:szCs w:val="20"/>
              </w:rPr>
              <w:t>1</w:t>
            </w:r>
          </w:p>
        </w:tc>
        <w:tc>
          <w:tcPr>
            <w:tcW w:w="1350" w:type="dxa"/>
          </w:tcPr>
          <w:p w14:paraId="5D9BAAA2" w14:textId="77777777" w:rsidR="00E1684E" w:rsidRPr="00E1684E" w:rsidRDefault="00E1684E" w:rsidP="00CF2EEA">
            <w:pPr>
              <w:widowControl w:val="0"/>
              <w:tabs>
                <w:tab w:val="decimal" w:pos="342"/>
              </w:tabs>
              <w:jc w:val="center"/>
              <w:rPr>
                <w:sz w:val="20"/>
                <w:szCs w:val="20"/>
              </w:rPr>
            </w:pPr>
            <w:r w:rsidRPr="00E1684E">
              <w:rPr>
                <w:sz w:val="20"/>
                <w:szCs w:val="20"/>
              </w:rPr>
              <w:t>43%</w:t>
            </w:r>
          </w:p>
        </w:tc>
        <w:tc>
          <w:tcPr>
            <w:tcW w:w="1440" w:type="dxa"/>
          </w:tcPr>
          <w:p w14:paraId="37EDE0D1" w14:textId="77777777" w:rsidR="00E1684E" w:rsidRPr="00E1684E" w:rsidRDefault="00E1684E" w:rsidP="00CF2EEA">
            <w:pPr>
              <w:widowControl w:val="0"/>
              <w:tabs>
                <w:tab w:val="decimal" w:pos="342"/>
              </w:tabs>
              <w:jc w:val="center"/>
              <w:rPr>
                <w:sz w:val="20"/>
                <w:szCs w:val="20"/>
              </w:rPr>
            </w:pPr>
            <w:r w:rsidRPr="00E1684E">
              <w:rPr>
                <w:sz w:val="20"/>
                <w:szCs w:val="20"/>
              </w:rPr>
              <w:t>41%</w:t>
            </w:r>
          </w:p>
        </w:tc>
        <w:tc>
          <w:tcPr>
            <w:tcW w:w="1350" w:type="dxa"/>
          </w:tcPr>
          <w:p w14:paraId="3BD69535" w14:textId="77777777" w:rsidR="00E1684E" w:rsidRPr="00E1684E" w:rsidRDefault="00E1684E" w:rsidP="00CF2EEA">
            <w:pPr>
              <w:widowControl w:val="0"/>
              <w:tabs>
                <w:tab w:val="decimal" w:pos="342"/>
              </w:tabs>
              <w:jc w:val="center"/>
              <w:rPr>
                <w:sz w:val="20"/>
                <w:szCs w:val="20"/>
              </w:rPr>
            </w:pPr>
            <w:r w:rsidRPr="00E1684E">
              <w:rPr>
                <w:sz w:val="20"/>
                <w:szCs w:val="20"/>
              </w:rPr>
              <w:t>42%</w:t>
            </w:r>
          </w:p>
        </w:tc>
        <w:tc>
          <w:tcPr>
            <w:tcW w:w="900" w:type="dxa"/>
          </w:tcPr>
          <w:p w14:paraId="3226DF95" w14:textId="77777777" w:rsidR="00E1684E" w:rsidRPr="00E1684E" w:rsidRDefault="00E1684E" w:rsidP="00CF2EEA">
            <w:pPr>
              <w:widowControl w:val="0"/>
              <w:tabs>
                <w:tab w:val="decimal" w:pos="162"/>
              </w:tabs>
              <w:jc w:val="center"/>
              <w:rPr>
                <w:sz w:val="20"/>
                <w:szCs w:val="20"/>
              </w:rPr>
            </w:pPr>
            <w:r w:rsidRPr="00E1684E">
              <w:rPr>
                <w:sz w:val="20"/>
                <w:szCs w:val="20"/>
              </w:rPr>
              <w:t>.87</w:t>
            </w:r>
          </w:p>
        </w:tc>
      </w:tr>
      <w:tr w:rsidR="00E1684E" w:rsidRPr="00E1684E" w14:paraId="66C32537" w14:textId="77777777" w:rsidTr="00A720AB">
        <w:tc>
          <w:tcPr>
            <w:tcW w:w="3618" w:type="dxa"/>
          </w:tcPr>
          <w:p w14:paraId="20AA8FFB" w14:textId="1DEF679A" w:rsidR="00E1684E" w:rsidRPr="00E1684E" w:rsidRDefault="00A359E2" w:rsidP="00CF2EEA">
            <w:pPr>
              <w:widowControl w:val="0"/>
              <w:ind w:left="288"/>
              <w:rPr>
                <w:sz w:val="20"/>
                <w:szCs w:val="20"/>
              </w:rPr>
            </w:pPr>
            <w:r>
              <w:rPr>
                <w:sz w:val="20"/>
                <w:szCs w:val="20"/>
              </w:rPr>
              <w:t>Number</w:t>
            </w:r>
            <w:r w:rsidR="00E1684E" w:rsidRPr="00E1684E">
              <w:rPr>
                <w:sz w:val="20"/>
                <w:szCs w:val="20"/>
              </w:rPr>
              <w:t xml:space="preserve"> </w:t>
            </w:r>
            <w:proofErr w:type="gramStart"/>
            <w:r w:rsidR="00E1684E" w:rsidRPr="00E1684E">
              <w:rPr>
                <w:sz w:val="20"/>
                <w:szCs w:val="20"/>
              </w:rPr>
              <w:t>definitely related</w:t>
            </w:r>
            <w:proofErr w:type="gramEnd"/>
            <w:r w:rsidR="00E1684E" w:rsidRPr="00E1684E">
              <w:rPr>
                <w:sz w:val="20"/>
                <w:szCs w:val="20"/>
              </w:rPr>
              <w:t xml:space="preserve"> to treatment</w:t>
            </w:r>
          </w:p>
        </w:tc>
        <w:tc>
          <w:tcPr>
            <w:tcW w:w="1350" w:type="dxa"/>
          </w:tcPr>
          <w:p w14:paraId="4A624635" w14:textId="77777777" w:rsidR="00E1684E" w:rsidRPr="00E1684E" w:rsidRDefault="00E1684E" w:rsidP="00CF2EEA">
            <w:pPr>
              <w:widowControl w:val="0"/>
              <w:tabs>
                <w:tab w:val="decimal" w:pos="342"/>
              </w:tabs>
              <w:jc w:val="center"/>
              <w:rPr>
                <w:sz w:val="20"/>
                <w:szCs w:val="20"/>
              </w:rPr>
            </w:pPr>
            <w:r w:rsidRPr="00E1684E">
              <w:rPr>
                <w:sz w:val="20"/>
                <w:szCs w:val="20"/>
              </w:rPr>
              <w:t>0</w:t>
            </w:r>
          </w:p>
        </w:tc>
        <w:tc>
          <w:tcPr>
            <w:tcW w:w="1440" w:type="dxa"/>
          </w:tcPr>
          <w:p w14:paraId="372C37AC" w14:textId="77777777" w:rsidR="00E1684E" w:rsidRPr="00E1684E" w:rsidRDefault="00E1684E" w:rsidP="00CF2EEA">
            <w:pPr>
              <w:widowControl w:val="0"/>
              <w:tabs>
                <w:tab w:val="decimal" w:pos="342"/>
              </w:tabs>
              <w:jc w:val="center"/>
              <w:rPr>
                <w:sz w:val="20"/>
                <w:szCs w:val="20"/>
              </w:rPr>
            </w:pPr>
            <w:r w:rsidRPr="00E1684E">
              <w:rPr>
                <w:sz w:val="20"/>
                <w:szCs w:val="20"/>
              </w:rPr>
              <w:t>0</w:t>
            </w:r>
          </w:p>
        </w:tc>
        <w:tc>
          <w:tcPr>
            <w:tcW w:w="1350" w:type="dxa"/>
          </w:tcPr>
          <w:p w14:paraId="366081D9" w14:textId="77777777" w:rsidR="00E1684E" w:rsidRPr="00E1684E" w:rsidRDefault="00E1684E" w:rsidP="00CF2EEA">
            <w:pPr>
              <w:widowControl w:val="0"/>
              <w:tabs>
                <w:tab w:val="decimal" w:pos="342"/>
              </w:tabs>
              <w:jc w:val="center"/>
              <w:rPr>
                <w:sz w:val="20"/>
                <w:szCs w:val="20"/>
              </w:rPr>
            </w:pPr>
            <w:r w:rsidRPr="00E1684E">
              <w:rPr>
                <w:sz w:val="20"/>
                <w:szCs w:val="20"/>
              </w:rPr>
              <w:t>0</w:t>
            </w:r>
          </w:p>
        </w:tc>
        <w:tc>
          <w:tcPr>
            <w:tcW w:w="900" w:type="dxa"/>
          </w:tcPr>
          <w:p w14:paraId="2F623CCC" w14:textId="77777777" w:rsidR="00E1684E" w:rsidRPr="00E1684E" w:rsidRDefault="00E1684E" w:rsidP="00CF2EEA">
            <w:pPr>
              <w:widowControl w:val="0"/>
              <w:tabs>
                <w:tab w:val="decimal" w:pos="162"/>
              </w:tabs>
              <w:jc w:val="center"/>
              <w:rPr>
                <w:sz w:val="20"/>
                <w:szCs w:val="20"/>
              </w:rPr>
            </w:pPr>
            <w:proofErr w:type="spellStart"/>
            <w:r w:rsidRPr="00E1684E">
              <w:rPr>
                <w:sz w:val="20"/>
                <w:szCs w:val="20"/>
              </w:rPr>
              <w:t>na</w:t>
            </w:r>
            <w:proofErr w:type="spellEnd"/>
          </w:p>
        </w:tc>
      </w:tr>
      <w:tr w:rsidR="00E1684E" w:rsidRPr="00E1684E" w14:paraId="31E11C25" w14:textId="77777777" w:rsidTr="00A720AB">
        <w:tc>
          <w:tcPr>
            <w:tcW w:w="3618" w:type="dxa"/>
          </w:tcPr>
          <w:p w14:paraId="67779747" w14:textId="77777777" w:rsidR="00E1684E" w:rsidRPr="00E1684E" w:rsidRDefault="00E1684E" w:rsidP="00CF2EEA">
            <w:pPr>
              <w:widowControl w:val="0"/>
              <w:rPr>
                <w:sz w:val="20"/>
                <w:szCs w:val="20"/>
              </w:rPr>
            </w:pPr>
          </w:p>
        </w:tc>
        <w:tc>
          <w:tcPr>
            <w:tcW w:w="1350" w:type="dxa"/>
          </w:tcPr>
          <w:p w14:paraId="71F37900" w14:textId="77777777" w:rsidR="00E1684E" w:rsidRPr="00E1684E" w:rsidRDefault="00E1684E" w:rsidP="00CF2EEA">
            <w:pPr>
              <w:widowControl w:val="0"/>
              <w:tabs>
                <w:tab w:val="decimal" w:pos="342"/>
              </w:tabs>
              <w:jc w:val="center"/>
              <w:rPr>
                <w:sz w:val="20"/>
                <w:szCs w:val="20"/>
              </w:rPr>
            </w:pPr>
          </w:p>
        </w:tc>
        <w:tc>
          <w:tcPr>
            <w:tcW w:w="1440" w:type="dxa"/>
          </w:tcPr>
          <w:p w14:paraId="2475D8A8" w14:textId="77777777" w:rsidR="00E1684E" w:rsidRPr="00E1684E" w:rsidRDefault="00E1684E" w:rsidP="00CF2EEA">
            <w:pPr>
              <w:widowControl w:val="0"/>
              <w:tabs>
                <w:tab w:val="decimal" w:pos="342"/>
              </w:tabs>
              <w:jc w:val="center"/>
              <w:rPr>
                <w:sz w:val="20"/>
                <w:szCs w:val="20"/>
              </w:rPr>
            </w:pPr>
          </w:p>
        </w:tc>
        <w:tc>
          <w:tcPr>
            <w:tcW w:w="1350" w:type="dxa"/>
          </w:tcPr>
          <w:p w14:paraId="58056EFC" w14:textId="77777777" w:rsidR="00E1684E" w:rsidRPr="00E1684E" w:rsidRDefault="00E1684E" w:rsidP="00CF2EEA">
            <w:pPr>
              <w:widowControl w:val="0"/>
              <w:tabs>
                <w:tab w:val="decimal" w:pos="342"/>
              </w:tabs>
              <w:jc w:val="center"/>
              <w:rPr>
                <w:sz w:val="20"/>
                <w:szCs w:val="20"/>
              </w:rPr>
            </w:pPr>
          </w:p>
        </w:tc>
        <w:tc>
          <w:tcPr>
            <w:tcW w:w="900" w:type="dxa"/>
          </w:tcPr>
          <w:p w14:paraId="637F9E19" w14:textId="77777777" w:rsidR="00E1684E" w:rsidRPr="00E1684E" w:rsidRDefault="00E1684E" w:rsidP="00CF2EEA">
            <w:pPr>
              <w:widowControl w:val="0"/>
              <w:tabs>
                <w:tab w:val="decimal" w:pos="162"/>
              </w:tabs>
              <w:jc w:val="center"/>
              <w:rPr>
                <w:sz w:val="20"/>
                <w:szCs w:val="20"/>
              </w:rPr>
            </w:pPr>
          </w:p>
        </w:tc>
      </w:tr>
      <w:tr w:rsidR="00E1684E" w:rsidRPr="00E1684E" w14:paraId="5C246988" w14:textId="77777777" w:rsidTr="00A720AB">
        <w:tc>
          <w:tcPr>
            <w:tcW w:w="3618" w:type="dxa"/>
          </w:tcPr>
          <w:p w14:paraId="240182F9" w14:textId="77777777" w:rsidR="00E1684E" w:rsidRPr="00E1684E" w:rsidRDefault="00E1684E" w:rsidP="00CF2EEA">
            <w:pPr>
              <w:widowControl w:val="0"/>
              <w:rPr>
                <w:i/>
                <w:sz w:val="20"/>
                <w:szCs w:val="20"/>
              </w:rPr>
            </w:pPr>
            <w:r w:rsidRPr="00E1684E">
              <w:rPr>
                <w:i/>
                <w:sz w:val="20"/>
                <w:szCs w:val="20"/>
              </w:rPr>
              <w:t>Any other problems</w:t>
            </w:r>
          </w:p>
        </w:tc>
        <w:tc>
          <w:tcPr>
            <w:tcW w:w="1350" w:type="dxa"/>
          </w:tcPr>
          <w:p w14:paraId="690A4187" w14:textId="77777777" w:rsidR="00E1684E" w:rsidRPr="00E1684E" w:rsidRDefault="00E1684E" w:rsidP="00CF2EEA">
            <w:pPr>
              <w:widowControl w:val="0"/>
              <w:tabs>
                <w:tab w:val="decimal" w:pos="342"/>
              </w:tabs>
              <w:jc w:val="center"/>
              <w:rPr>
                <w:sz w:val="20"/>
                <w:szCs w:val="20"/>
              </w:rPr>
            </w:pPr>
          </w:p>
        </w:tc>
        <w:tc>
          <w:tcPr>
            <w:tcW w:w="1440" w:type="dxa"/>
          </w:tcPr>
          <w:p w14:paraId="4980C54A" w14:textId="77777777" w:rsidR="00E1684E" w:rsidRPr="00E1684E" w:rsidRDefault="00E1684E" w:rsidP="00CF2EEA">
            <w:pPr>
              <w:widowControl w:val="0"/>
              <w:tabs>
                <w:tab w:val="decimal" w:pos="342"/>
              </w:tabs>
              <w:jc w:val="center"/>
              <w:rPr>
                <w:sz w:val="20"/>
                <w:szCs w:val="20"/>
              </w:rPr>
            </w:pPr>
          </w:p>
        </w:tc>
        <w:tc>
          <w:tcPr>
            <w:tcW w:w="1350" w:type="dxa"/>
          </w:tcPr>
          <w:p w14:paraId="6C1D7B47" w14:textId="77777777" w:rsidR="00E1684E" w:rsidRPr="00E1684E" w:rsidRDefault="00E1684E" w:rsidP="00CF2EEA">
            <w:pPr>
              <w:widowControl w:val="0"/>
              <w:tabs>
                <w:tab w:val="decimal" w:pos="342"/>
              </w:tabs>
              <w:jc w:val="center"/>
              <w:rPr>
                <w:sz w:val="20"/>
                <w:szCs w:val="20"/>
              </w:rPr>
            </w:pPr>
          </w:p>
        </w:tc>
        <w:tc>
          <w:tcPr>
            <w:tcW w:w="900" w:type="dxa"/>
          </w:tcPr>
          <w:p w14:paraId="420F3300" w14:textId="77777777" w:rsidR="00E1684E" w:rsidRPr="00E1684E" w:rsidRDefault="00E1684E" w:rsidP="00CF2EEA">
            <w:pPr>
              <w:widowControl w:val="0"/>
              <w:tabs>
                <w:tab w:val="decimal" w:pos="162"/>
              </w:tabs>
              <w:jc w:val="center"/>
              <w:rPr>
                <w:sz w:val="20"/>
                <w:szCs w:val="20"/>
              </w:rPr>
            </w:pPr>
          </w:p>
        </w:tc>
      </w:tr>
      <w:tr w:rsidR="00E1684E" w:rsidRPr="00E1684E" w14:paraId="14BED920" w14:textId="77777777" w:rsidTr="00A720AB">
        <w:tc>
          <w:tcPr>
            <w:tcW w:w="3618" w:type="dxa"/>
          </w:tcPr>
          <w:p w14:paraId="7BF15AC6" w14:textId="78E0C2F7" w:rsidR="00E1684E" w:rsidRPr="00E1684E" w:rsidRDefault="00E1684E" w:rsidP="00CF2EEA">
            <w:pPr>
              <w:widowControl w:val="0"/>
              <w:ind w:left="288"/>
              <w:rPr>
                <w:sz w:val="20"/>
                <w:szCs w:val="20"/>
              </w:rPr>
            </w:pPr>
            <w:r w:rsidRPr="00E1684E">
              <w:rPr>
                <w:sz w:val="20"/>
                <w:szCs w:val="20"/>
              </w:rPr>
              <w:t>Total n</w:t>
            </w:r>
            <w:r w:rsidR="00A359E2">
              <w:rPr>
                <w:sz w:val="20"/>
                <w:szCs w:val="20"/>
              </w:rPr>
              <w:t>umber</w:t>
            </w:r>
            <w:r w:rsidRPr="00E1684E">
              <w:rPr>
                <w:sz w:val="20"/>
                <w:szCs w:val="20"/>
              </w:rPr>
              <w:t xml:space="preserve"> reported</w:t>
            </w:r>
          </w:p>
        </w:tc>
        <w:tc>
          <w:tcPr>
            <w:tcW w:w="1350" w:type="dxa"/>
          </w:tcPr>
          <w:p w14:paraId="75344BFF" w14:textId="77777777" w:rsidR="00E1684E" w:rsidRPr="00E1684E" w:rsidRDefault="00E1684E" w:rsidP="00CF2EEA">
            <w:pPr>
              <w:widowControl w:val="0"/>
              <w:tabs>
                <w:tab w:val="decimal" w:pos="342"/>
              </w:tabs>
              <w:jc w:val="center"/>
              <w:rPr>
                <w:sz w:val="20"/>
                <w:szCs w:val="20"/>
              </w:rPr>
            </w:pPr>
            <w:r w:rsidRPr="00E1684E">
              <w:rPr>
                <w:sz w:val="20"/>
                <w:szCs w:val="20"/>
              </w:rPr>
              <w:t>14</w:t>
            </w:r>
          </w:p>
        </w:tc>
        <w:tc>
          <w:tcPr>
            <w:tcW w:w="1440" w:type="dxa"/>
          </w:tcPr>
          <w:p w14:paraId="72546F64" w14:textId="77777777" w:rsidR="00E1684E" w:rsidRPr="00E1684E" w:rsidRDefault="00E1684E" w:rsidP="00CF2EEA">
            <w:pPr>
              <w:widowControl w:val="0"/>
              <w:tabs>
                <w:tab w:val="decimal" w:pos="342"/>
              </w:tabs>
              <w:jc w:val="center"/>
              <w:rPr>
                <w:sz w:val="20"/>
                <w:szCs w:val="20"/>
              </w:rPr>
            </w:pPr>
            <w:r w:rsidRPr="00E1684E">
              <w:rPr>
                <w:sz w:val="20"/>
                <w:szCs w:val="20"/>
              </w:rPr>
              <w:t>16</w:t>
            </w:r>
          </w:p>
        </w:tc>
        <w:tc>
          <w:tcPr>
            <w:tcW w:w="1350" w:type="dxa"/>
          </w:tcPr>
          <w:p w14:paraId="2C4255FA" w14:textId="77777777" w:rsidR="00E1684E" w:rsidRPr="00E1684E" w:rsidRDefault="00E1684E" w:rsidP="00CF2EEA">
            <w:pPr>
              <w:widowControl w:val="0"/>
              <w:tabs>
                <w:tab w:val="decimal" w:pos="342"/>
              </w:tabs>
              <w:jc w:val="center"/>
              <w:rPr>
                <w:sz w:val="20"/>
                <w:szCs w:val="20"/>
              </w:rPr>
            </w:pPr>
            <w:r w:rsidRPr="00E1684E">
              <w:rPr>
                <w:sz w:val="20"/>
                <w:szCs w:val="20"/>
              </w:rPr>
              <w:t>30</w:t>
            </w:r>
          </w:p>
        </w:tc>
        <w:tc>
          <w:tcPr>
            <w:tcW w:w="900" w:type="dxa"/>
          </w:tcPr>
          <w:p w14:paraId="07E91B09" w14:textId="77777777" w:rsidR="00E1684E" w:rsidRPr="00E1684E" w:rsidRDefault="00E1684E" w:rsidP="00CF2EEA">
            <w:pPr>
              <w:widowControl w:val="0"/>
              <w:tabs>
                <w:tab w:val="decimal" w:pos="162"/>
              </w:tabs>
              <w:jc w:val="center"/>
              <w:rPr>
                <w:sz w:val="20"/>
                <w:szCs w:val="20"/>
              </w:rPr>
            </w:pPr>
          </w:p>
        </w:tc>
      </w:tr>
      <w:tr w:rsidR="00E1684E" w:rsidRPr="00E1684E" w14:paraId="5604C8A3" w14:textId="77777777" w:rsidTr="00A720AB">
        <w:tc>
          <w:tcPr>
            <w:tcW w:w="3618" w:type="dxa"/>
          </w:tcPr>
          <w:p w14:paraId="789C6495" w14:textId="77777777" w:rsidR="00E1684E" w:rsidRPr="00E1684E" w:rsidRDefault="00E1684E" w:rsidP="00CF2EEA">
            <w:pPr>
              <w:widowControl w:val="0"/>
              <w:ind w:left="288"/>
              <w:rPr>
                <w:sz w:val="20"/>
                <w:szCs w:val="20"/>
              </w:rPr>
            </w:pPr>
            <w:r w:rsidRPr="00E1684E">
              <w:rPr>
                <w:sz w:val="20"/>
                <w:szCs w:val="20"/>
              </w:rPr>
              <w:t>Average/participant, M (SD)</w:t>
            </w:r>
          </w:p>
        </w:tc>
        <w:tc>
          <w:tcPr>
            <w:tcW w:w="1350" w:type="dxa"/>
          </w:tcPr>
          <w:p w14:paraId="22CB9EAB" w14:textId="77777777" w:rsidR="00E1684E" w:rsidRPr="00E1684E" w:rsidRDefault="00E1684E" w:rsidP="00CF2EEA">
            <w:pPr>
              <w:widowControl w:val="0"/>
              <w:tabs>
                <w:tab w:val="decimal" w:pos="342"/>
              </w:tabs>
              <w:jc w:val="center"/>
              <w:rPr>
                <w:sz w:val="20"/>
                <w:szCs w:val="20"/>
              </w:rPr>
            </w:pPr>
            <w:r w:rsidRPr="00E1684E">
              <w:rPr>
                <w:sz w:val="20"/>
                <w:szCs w:val="20"/>
              </w:rPr>
              <w:t>0.3 (0.7)</w:t>
            </w:r>
          </w:p>
        </w:tc>
        <w:tc>
          <w:tcPr>
            <w:tcW w:w="1440" w:type="dxa"/>
          </w:tcPr>
          <w:p w14:paraId="7892C761" w14:textId="77777777" w:rsidR="00E1684E" w:rsidRPr="00E1684E" w:rsidRDefault="00E1684E" w:rsidP="00CF2EEA">
            <w:pPr>
              <w:widowControl w:val="0"/>
              <w:tabs>
                <w:tab w:val="decimal" w:pos="342"/>
              </w:tabs>
              <w:jc w:val="center"/>
              <w:rPr>
                <w:sz w:val="20"/>
                <w:szCs w:val="20"/>
              </w:rPr>
            </w:pPr>
            <w:r w:rsidRPr="00E1684E">
              <w:rPr>
                <w:sz w:val="20"/>
                <w:szCs w:val="20"/>
              </w:rPr>
              <w:t>0.4 (0.8)</w:t>
            </w:r>
          </w:p>
        </w:tc>
        <w:tc>
          <w:tcPr>
            <w:tcW w:w="1350" w:type="dxa"/>
          </w:tcPr>
          <w:p w14:paraId="31F7DC76" w14:textId="77777777" w:rsidR="00E1684E" w:rsidRPr="00E1684E" w:rsidRDefault="00E1684E" w:rsidP="00CF2EEA">
            <w:pPr>
              <w:widowControl w:val="0"/>
              <w:tabs>
                <w:tab w:val="decimal" w:pos="342"/>
              </w:tabs>
              <w:jc w:val="center"/>
              <w:rPr>
                <w:sz w:val="20"/>
                <w:szCs w:val="20"/>
              </w:rPr>
            </w:pPr>
            <w:r w:rsidRPr="00E1684E">
              <w:rPr>
                <w:sz w:val="20"/>
                <w:szCs w:val="20"/>
              </w:rPr>
              <w:t>0.3 (0.7)</w:t>
            </w:r>
          </w:p>
        </w:tc>
        <w:tc>
          <w:tcPr>
            <w:tcW w:w="900" w:type="dxa"/>
          </w:tcPr>
          <w:p w14:paraId="0CD1570A" w14:textId="77777777" w:rsidR="00E1684E" w:rsidRPr="00E1684E" w:rsidRDefault="00E1684E" w:rsidP="00CF2EEA">
            <w:pPr>
              <w:widowControl w:val="0"/>
              <w:tabs>
                <w:tab w:val="decimal" w:pos="162"/>
              </w:tabs>
              <w:jc w:val="center"/>
              <w:rPr>
                <w:sz w:val="20"/>
                <w:szCs w:val="20"/>
              </w:rPr>
            </w:pPr>
            <w:r w:rsidRPr="00E1684E">
              <w:rPr>
                <w:sz w:val="20"/>
                <w:szCs w:val="20"/>
              </w:rPr>
              <w:t>.66</w:t>
            </w:r>
          </w:p>
        </w:tc>
      </w:tr>
      <w:tr w:rsidR="00E1684E" w:rsidRPr="00E1684E" w14:paraId="45631DB4" w14:textId="77777777" w:rsidTr="00A720AB">
        <w:tc>
          <w:tcPr>
            <w:tcW w:w="3618" w:type="dxa"/>
          </w:tcPr>
          <w:p w14:paraId="1092034A" w14:textId="49F1F593" w:rsidR="00E1684E" w:rsidRPr="00E1684E" w:rsidRDefault="00E1684E" w:rsidP="00CF2EEA">
            <w:pPr>
              <w:widowControl w:val="0"/>
              <w:ind w:left="288"/>
              <w:rPr>
                <w:sz w:val="20"/>
                <w:szCs w:val="20"/>
              </w:rPr>
            </w:pPr>
            <w:r w:rsidRPr="00E1684E">
              <w:rPr>
                <w:sz w:val="20"/>
                <w:szCs w:val="20"/>
              </w:rPr>
              <w:t xml:space="preserve">Percent who reported </w:t>
            </w:r>
            <w:r w:rsidR="00E60A45">
              <w:rPr>
                <w:rFonts w:cs="Times New Roman"/>
                <w:sz w:val="20"/>
                <w:szCs w:val="20"/>
              </w:rPr>
              <w:t xml:space="preserve">≥ </w:t>
            </w:r>
            <w:r w:rsidRPr="00E1684E">
              <w:rPr>
                <w:sz w:val="20"/>
                <w:szCs w:val="20"/>
              </w:rPr>
              <w:t>1</w:t>
            </w:r>
          </w:p>
        </w:tc>
        <w:tc>
          <w:tcPr>
            <w:tcW w:w="1350" w:type="dxa"/>
          </w:tcPr>
          <w:p w14:paraId="4C94DAD7" w14:textId="77777777" w:rsidR="00E1684E" w:rsidRPr="00E1684E" w:rsidRDefault="00E1684E" w:rsidP="00CF2EEA">
            <w:pPr>
              <w:widowControl w:val="0"/>
              <w:tabs>
                <w:tab w:val="decimal" w:pos="342"/>
              </w:tabs>
              <w:jc w:val="center"/>
              <w:rPr>
                <w:sz w:val="20"/>
                <w:szCs w:val="20"/>
              </w:rPr>
            </w:pPr>
            <w:r w:rsidRPr="00E1684E">
              <w:rPr>
                <w:sz w:val="20"/>
                <w:szCs w:val="20"/>
              </w:rPr>
              <w:t>23%</w:t>
            </w:r>
          </w:p>
        </w:tc>
        <w:tc>
          <w:tcPr>
            <w:tcW w:w="1440" w:type="dxa"/>
          </w:tcPr>
          <w:p w14:paraId="059C4359" w14:textId="77777777" w:rsidR="00E1684E" w:rsidRPr="00E1684E" w:rsidRDefault="00E1684E" w:rsidP="00CF2EEA">
            <w:pPr>
              <w:widowControl w:val="0"/>
              <w:tabs>
                <w:tab w:val="decimal" w:pos="342"/>
              </w:tabs>
              <w:jc w:val="center"/>
              <w:rPr>
                <w:sz w:val="20"/>
                <w:szCs w:val="20"/>
              </w:rPr>
            </w:pPr>
            <w:r w:rsidRPr="00E1684E">
              <w:rPr>
                <w:sz w:val="20"/>
                <w:szCs w:val="20"/>
              </w:rPr>
              <w:t>27%</w:t>
            </w:r>
          </w:p>
        </w:tc>
        <w:tc>
          <w:tcPr>
            <w:tcW w:w="1350" w:type="dxa"/>
          </w:tcPr>
          <w:p w14:paraId="56D06D9F" w14:textId="77777777" w:rsidR="00E1684E" w:rsidRPr="00E1684E" w:rsidRDefault="00E1684E" w:rsidP="00CF2EEA">
            <w:pPr>
              <w:widowControl w:val="0"/>
              <w:tabs>
                <w:tab w:val="decimal" w:pos="342"/>
              </w:tabs>
              <w:jc w:val="center"/>
              <w:rPr>
                <w:sz w:val="20"/>
                <w:szCs w:val="20"/>
              </w:rPr>
            </w:pPr>
            <w:r w:rsidRPr="00E1684E">
              <w:rPr>
                <w:sz w:val="20"/>
                <w:szCs w:val="20"/>
              </w:rPr>
              <w:t>25%</w:t>
            </w:r>
          </w:p>
        </w:tc>
        <w:tc>
          <w:tcPr>
            <w:tcW w:w="900" w:type="dxa"/>
          </w:tcPr>
          <w:p w14:paraId="150A40C2" w14:textId="77777777" w:rsidR="00E1684E" w:rsidRPr="00E1684E" w:rsidRDefault="00E1684E" w:rsidP="00CF2EEA">
            <w:pPr>
              <w:widowControl w:val="0"/>
              <w:tabs>
                <w:tab w:val="decimal" w:pos="162"/>
              </w:tabs>
              <w:jc w:val="center"/>
              <w:rPr>
                <w:sz w:val="20"/>
                <w:szCs w:val="20"/>
              </w:rPr>
            </w:pPr>
            <w:r w:rsidRPr="00E1684E">
              <w:rPr>
                <w:sz w:val="20"/>
                <w:szCs w:val="20"/>
              </w:rPr>
              <w:t>.66</w:t>
            </w:r>
          </w:p>
        </w:tc>
      </w:tr>
      <w:tr w:rsidR="00E1684E" w:rsidRPr="00E1684E" w14:paraId="57CACE1C" w14:textId="77777777" w:rsidTr="00A720AB">
        <w:tc>
          <w:tcPr>
            <w:tcW w:w="3618" w:type="dxa"/>
          </w:tcPr>
          <w:p w14:paraId="06776A52" w14:textId="302BAAB4" w:rsidR="00E1684E" w:rsidRPr="00E1684E" w:rsidRDefault="00A359E2" w:rsidP="00CF2EEA">
            <w:pPr>
              <w:widowControl w:val="0"/>
              <w:ind w:left="288"/>
              <w:rPr>
                <w:sz w:val="20"/>
                <w:szCs w:val="20"/>
              </w:rPr>
            </w:pPr>
            <w:r>
              <w:rPr>
                <w:sz w:val="20"/>
                <w:szCs w:val="20"/>
              </w:rPr>
              <w:t>Number</w:t>
            </w:r>
            <w:r w:rsidR="00E1684E" w:rsidRPr="00E1684E">
              <w:rPr>
                <w:sz w:val="20"/>
                <w:szCs w:val="20"/>
              </w:rPr>
              <w:t xml:space="preserve"> </w:t>
            </w:r>
            <w:proofErr w:type="gramStart"/>
            <w:r w:rsidR="00E1684E" w:rsidRPr="00E1684E">
              <w:rPr>
                <w:sz w:val="20"/>
                <w:szCs w:val="20"/>
              </w:rPr>
              <w:t>definitely related</w:t>
            </w:r>
            <w:proofErr w:type="gramEnd"/>
            <w:r w:rsidR="00E1684E" w:rsidRPr="00E1684E">
              <w:rPr>
                <w:sz w:val="20"/>
                <w:szCs w:val="20"/>
              </w:rPr>
              <w:t xml:space="preserve"> to treatment</w:t>
            </w:r>
          </w:p>
        </w:tc>
        <w:tc>
          <w:tcPr>
            <w:tcW w:w="1350" w:type="dxa"/>
          </w:tcPr>
          <w:p w14:paraId="2E367CCB" w14:textId="77777777" w:rsidR="00E1684E" w:rsidRPr="00E1684E" w:rsidRDefault="00E1684E" w:rsidP="00CF2EEA">
            <w:pPr>
              <w:widowControl w:val="0"/>
              <w:tabs>
                <w:tab w:val="decimal" w:pos="342"/>
              </w:tabs>
              <w:jc w:val="center"/>
              <w:rPr>
                <w:sz w:val="20"/>
                <w:szCs w:val="20"/>
              </w:rPr>
            </w:pPr>
            <w:r w:rsidRPr="00E1684E">
              <w:rPr>
                <w:sz w:val="20"/>
                <w:szCs w:val="20"/>
              </w:rPr>
              <w:t>0</w:t>
            </w:r>
          </w:p>
        </w:tc>
        <w:tc>
          <w:tcPr>
            <w:tcW w:w="1440" w:type="dxa"/>
          </w:tcPr>
          <w:p w14:paraId="7B5E49A4" w14:textId="77777777" w:rsidR="00E1684E" w:rsidRPr="00E1684E" w:rsidRDefault="00E1684E" w:rsidP="00CF2EEA">
            <w:pPr>
              <w:widowControl w:val="0"/>
              <w:tabs>
                <w:tab w:val="decimal" w:pos="342"/>
              </w:tabs>
              <w:jc w:val="center"/>
              <w:rPr>
                <w:sz w:val="20"/>
                <w:szCs w:val="20"/>
              </w:rPr>
            </w:pPr>
            <w:r w:rsidRPr="00E1684E">
              <w:rPr>
                <w:sz w:val="20"/>
                <w:szCs w:val="20"/>
              </w:rPr>
              <w:t>0</w:t>
            </w:r>
          </w:p>
        </w:tc>
        <w:tc>
          <w:tcPr>
            <w:tcW w:w="1350" w:type="dxa"/>
          </w:tcPr>
          <w:p w14:paraId="6B3C06DF" w14:textId="77777777" w:rsidR="00E1684E" w:rsidRPr="00E1684E" w:rsidRDefault="00E1684E" w:rsidP="00CF2EEA">
            <w:pPr>
              <w:widowControl w:val="0"/>
              <w:tabs>
                <w:tab w:val="decimal" w:pos="342"/>
              </w:tabs>
              <w:jc w:val="center"/>
              <w:rPr>
                <w:sz w:val="20"/>
                <w:szCs w:val="20"/>
              </w:rPr>
            </w:pPr>
            <w:r w:rsidRPr="00E1684E">
              <w:rPr>
                <w:sz w:val="20"/>
                <w:szCs w:val="20"/>
              </w:rPr>
              <w:t>0</w:t>
            </w:r>
          </w:p>
        </w:tc>
        <w:tc>
          <w:tcPr>
            <w:tcW w:w="900" w:type="dxa"/>
          </w:tcPr>
          <w:p w14:paraId="78E0813C" w14:textId="77777777" w:rsidR="00E1684E" w:rsidRPr="00E1684E" w:rsidRDefault="00E1684E" w:rsidP="00CF2EEA">
            <w:pPr>
              <w:widowControl w:val="0"/>
              <w:tabs>
                <w:tab w:val="decimal" w:pos="162"/>
              </w:tabs>
              <w:jc w:val="center"/>
              <w:rPr>
                <w:sz w:val="20"/>
                <w:szCs w:val="20"/>
              </w:rPr>
            </w:pPr>
            <w:proofErr w:type="spellStart"/>
            <w:r w:rsidRPr="00E1684E">
              <w:rPr>
                <w:sz w:val="20"/>
                <w:szCs w:val="20"/>
              </w:rPr>
              <w:t>na</w:t>
            </w:r>
            <w:proofErr w:type="spellEnd"/>
          </w:p>
        </w:tc>
      </w:tr>
      <w:tr w:rsidR="00E1684E" w:rsidRPr="00E1684E" w14:paraId="6E079395" w14:textId="77777777" w:rsidTr="00A720AB">
        <w:tc>
          <w:tcPr>
            <w:tcW w:w="3618" w:type="dxa"/>
          </w:tcPr>
          <w:p w14:paraId="1A51F6FE" w14:textId="77777777" w:rsidR="00E1684E" w:rsidRPr="00E1684E" w:rsidRDefault="00E1684E" w:rsidP="00CF2EEA">
            <w:pPr>
              <w:widowControl w:val="0"/>
              <w:rPr>
                <w:sz w:val="20"/>
                <w:szCs w:val="20"/>
              </w:rPr>
            </w:pPr>
          </w:p>
        </w:tc>
        <w:tc>
          <w:tcPr>
            <w:tcW w:w="1350" w:type="dxa"/>
          </w:tcPr>
          <w:p w14:paraId="557D3A8D" w14:textId="77777777" w:rsidR="00E1684E" w:rsidRPr="00E1684E" w:rsidRDefault="00E1684E" w:rsidP="00CF2EEA">
            <w:pPr>
              <w:widowControl w:val="0"/>
              <w:tabs>
                <w:tab w:val="decimal" w:pos="342"/>
              </w:tabs>
              <w:rPr>
                <w:sz w:val="20"/>
                <w:szCs w:val="20"/>
              </w:rPr>
            </w:pPr>
          </w:p>
        </w:tc>
        <w:tc>
          <w:tcPr>
            <w:tcW w:w="1440" w:type="dxa"/>
          </w:tcPr>
          <w:p w14:paraId="403C099E" w14:textId="77777777" w:rsidR="00E1684E" w:rsidRPr="00E1684E" w:rsidRDefault="00E1684E" w:rsidP="00CF2EEA">
            <w:pPr>
              <w:widowControl w:val="0"/>
              <w:tabs>
                <w:tab w:val="decimal" w:pos="342"/>
              </w:tabs>
              <w:rPr>
                <w:sz w:val="20"/>
                <w:szCs w:val="20"/>
              </w:rPr>
            </w:pPr>
          </w:p>
        </w:tc>
        <w:tc>
          <w:tcPr>
            <w:tcW w:w="1350" w:type="dxa"/>
          </w:tcPr>
          <w:p w14:paraId="5A49B66F" w14:textId="77777777" w:rsidR="00E1684E" w:rsidRPr="00E1684E" w:rsidRDefault="00E1684E" w:rsidP="00CF2EEA">
            <w:pPr>
              <w:widowControl w:val="0"/>
              <w:tabs>
                <w:tab w:val="decimal" w:pos="342"/>
              </w:tabs>
              <w:rPr>
                <w:sz w:val="20"/>
                <w:szCs w:val="20"/>
              </w:rPr>
            </w:pPr>
          </w:p>
        </w:tc>
        <w:tc>
          <w:tcPr>
            <w:tcW w:w="900" w:type="dxa"/>
          </w:tcPr>
          <w:p w14:paraId="58E89777" w14:textId="77777777" w:rsidR="00E1684E" w:rsidRPr="00E1684E" w:rsidRDefault="00E1684E" w:rsidP="00CF2EEA">
            <w:pPr>
              <w:widowControl w:val="0"/>
              <w:tabs>
                <w:tab w:val="decimal" w:pos="162"/>
              </w:tabs>
              <w:jc w:val="center"/>
              <w:rPr>
                <w:sz w:val="20"/>
                <w:szCs w:val="20"/>
              </w:rPr>
            </w:pPr>
          </w:p>
        </w:tc>
      </w:tr>
      <w:tr w:rsidR="00E1684E" w:rsidRPr="00E1684E" w14:paraId="34044EFD" w14:textId="77777777" w:rsidTr="00A720AB">
        <w:tc>
          <w:tcPr>
            <w:tcW w:w="8658" w:type="dxa"/>
            <w:gridSpan w:val="5"/>
          </w:tcPr>
          <w:p w14:paraId="1BFF80FE" w14:textId="53C8735A" w:rsidR="00E1684E" w:rsidRPr="00E1684E" w:rsidRDefault="00E1684E" w:rsidP="00CF2EEA">
            <w:pPr>
              <w:widowControl w:val="0"/>
              <w:tabs>
                <w:tab w:val="decimal" w:pos="162"/>
              </w:tabs>
              <w:rPr>
                <w:sz w:val="20"/>
                <w:szCs w:val="20"/>
              </w:rPr>
            </w:pPr>
            <w:r w:rsidRPr="00E1684E">
              <w:rPr>
                <w:sz w:val="20"/>
                <w:szCs w:val="20"/>
              </w:rPr>
              <w:t>Adverse events reported in at least 5% in one or both treatment groups</w:t>
            </w:r>
          </w:p>
        </w:tc>
      </w:tr>
      <w:tr w:rsidR="00E1684E" w:rsidRPr="00E1684E" w14:paraId="08351D0A" w14:textId="77777777" w:rsidTr="00A720AB">
        <w:tc>
          <w:tcPr>
            <w:tcW w:w="3618" w:type="dxa"/>
          </w:tcPr>
          <w:p w14:paraId="24571B06" w14:textId="77777777" w:rsidR="00E1684E" w:rsidRPr="00E1684E" w:rsidRDefault="00E1684E" w:rsidP="00CF2EEA">
            <w:pPr>
              <w:widowControl w:val="0"/>
              <w:ind w:left="288"/>
              <w:rPr>
                <w:sz w:val="20"/>
                <w:szCs w:val="20"/>
              </w:rPr>
            </w:pPr>
            <w:r w:rsidRPr="00E1684E">
              <w:rPr>
                <w:sz w:val="20"/>
                <w:szCs w:val="20"/>
              </w:rPr>
              <w:t>Common cold</w:t>
            </w:r>
          </w:p>
        </w:tc>
        <w:tc>
          <w:tcPr>
            <w:tcW w:w="1350" w:type="dxa"/>
          </w:tcPr>
          <w:p w14:paraId="3CB48A39" w14:textId="77777777" w:rsidR="00E1684E" w:rsidRPr="00E1684E" w:rsidRDefault="00E1684E" w:rsidP="00CF2EEA">
            <w:pPr>
              <w:widowControl w:val="0"/>
              <w:tabs>
                <w:tab w:val="decimal" w:pos="342"/>
              </w:tabs>
              <w:rPr>
                <w:sz w:val="20"/>
                <w:szCs w:val="20"/>
              </w:rPr>
            </w:pPr>
            <w:r w:rsidRPr="00E1684E">
              <w:rPr>
                <w:sz w:val="20"/>
                <w:szCs w:val="20"/>
              </w:rPr>
              <w:t>25.0%</w:t>
            </w:r>
          </w:p>
        </w:tc>
        <w:tc>
          <w:tcPr>
            <w:tcW w:w="1440" w:type="dxa"/>
          </w:tcPr>
          <w:p w14:paraId="75278CC3" w14:textId="77777777" w:rsidR="00E1684E" w:rsidRPr="00E1684E" w:rsidRDefault="00E1684E" w:rsidP="00CF2EEA">
            <w:pPr>
              <w:widowControl w:val="0"/>
              <w:tabs>
                <w:tab w:val="decimal" w:pos="342"/>
              </w:tabs>
              <w:rPr>
                <w:sz w:val="20"/>
                <w:szCs w:val="20"/>
              </w:rPr>
            </w:pPr>
            <w:r w:rsidRPr="00E1684E">
              <w:rPr>
                <w:sz w:val="20"/>
                <w:szCs w:val="20"/>
              </w:rPr>
              <w:t>12.2%</w:t>
            </w:r>
          </w:p>
        </w:tc>
        <w:tc>
          <w:tcPr>
            <w:tcW w:w="1350" w:type="dxa"/>
          </w:tcPr>
          <w:p w14:paraId="09500FCD" w14:textId="77777777" w:rsidR="00E1684E" w:rsidRPr="00E1684E" w:rsidRDefault="00E1684E" w:rsidP="00CF2EEA">
            <w:pPr>
              <w:widowControl w:val="0"/>
              <w:tabs>
                <w:tab w:val="decimal" w:pos="342"/>
              </w:tabs>
              <w:rPr>
                <w:sz w:val="20"/>
                <w:szCs w:val="20"/>
              </w:rPr>
            </w:pPr>
            <w:r w:rsidRPr="00E1684E">
              <w:rPr>
                <w:sz w:val="20"/>
                <w:szCs w:val="20"/>
              </w:rPr>
              <w:t>18.8%</w:t>
            </w:r>
          </w:p>
        </w:tc>
        <w:tc>
          <w:tcPr>
            <w:tcW w:w="900" w:type="dxa"/>
          </w:tcPr>
          <w:p w14:paraId="5F7AE1CB" w14:textId="77777777" w:rsidR="00E1684E" w:rsidRPr="00E1684E" w:rsidRDefault="00E1684E" w:rsidP="00CF2EEA">
            <w:pPr>
              <w:widowControl w:val="0"/>
              <w:tabs>
                <w:tab w:val="decimal" w:pos="162"/>
              </w:tabs>
              <w:jc w:val="center"/>
              <w:rPr>
                <w:sz w:val="20"/>
                <w:szCs w:val="20"/>
              </w:rPr>
            </w:pPr>
            <w:r w:rsidRPr="00E1684E">
              <w:rPr>
                <w:sz w:val="20"/>
                <w:szCs w:val="20"/>
              </w:rPr>
              <w:t>.13</w:t>
            </w:r>
          </w:p>
        </w:tc>
      </w:tr>
      <w:tr w:rsidR="00E1684E" w:rsidRPr="00E1684E" w14:paraId="293DBFE6" w14:textId="77777777" w:rsidTr="00A720AB">
        <w:tc>
          <w:tcPr>
            <w:tcW w:w="3618" w:type="dxa"/>
          </w:tcPr>
          <w:p w14:paraId="78A7B882" w14:textId="77777777" w:rsidR="00E1684E" w:rsidRPr="00E1684E" w:rsidRDefault="00E1684E" w:rsidP="00CF2EEA">
            <w:pPr>
              <w:widowControl w:val="0"/>
              <w:ind w:left="288"/>
              <w:rPr>
                <w:sz w:val="20"/>
                <w:szCs w:val="20"/>
              </w:rPr>
            </w:pPr>
            <w:r w:rsidRPr="00E1684E">
              <w:rPr>
                <w:sz w:val="20"/>
                <w:szCs w:val="20"/>
              </w:rPr>
              <w:t>Muscle or joint pain</w:t>
            </w:r>
          </w:p>
        </w:tc>
        <w:tc>
          <w:tcPr>
            <w:tcW w:w="1350" w:type="dxa"/>
          </w:tcPr>
          <w:p w14:paraId="555E560D" w14:textId="77777777" w:rsidR="00E1684E" w:rsidRPr="00E1684E" w:rsidRDefault="00E1684E" w:rsidP="00CF2EEA">
            <w:pPr>
              <w:widowControl w:val="0"/>
              <w:tabs>
                <w:tab w:val="decimal" w:pos="342"/>
              </w:tabs>
              <w:rPr>
                <w:sz w:val="20"/>
                <w:szCs w:val="20"/>
              </w:rPr>
            </w:pPr>
            <w:r w:rsidRPr="00E1684E">
              <w:rPr>
                <w:sz w:val="20"/>
                <w:szCs w:val="20"/>
              </w:rPr>
              <w:t>18.2%</w:t>
            </w:r>
          </w:p>
        </w:tc>
        <w:tc>
          <w:tcPr>
            <w:tcW w:w="1440" w:type="dxa"/>
          </w:tcPr>
          <w:p w14:paraId="1F181042" w14:textId="77777777" w:rsidR="00E1684E" w:rsidRPr="00E1684E" w:rsidRDefault="00E1684E" w:rsidP="00CF2EEA">
            <w:pPr>
              <w:widowControl w:val="0"/>
              <w:tabs>
                <w:tab w:val="decimal" w:pos="342"/>
              </w:tabs>
              <w:rPr>
                <w:sz w:val="20"/>
                <w:szCs w:val="20"/>
              </w:rPr>
            </w:pPr>
            <w:r w:rsidRPr="00E1684E">
              <w:rPr>
                <w:sz w:val="20"/>
                <w:szCs w:val="20"/>
              </w:rPr>
              <w:t>12.2%</w:t>
            </w:r>
          </w:p>
        </w:tc>
        <w:tc>
          <w:tcPr>
            <w:tcW w:w="1350" w:type="dxa"/>
          </w:tcPr>
          <w:p w14:paraId="79347E27" w14:textId="77777777" w:rsidR="00E1684E" w:rsidRPr="00E1684E" w:rsidRDefault="00E1684E" w:rsidP="00CF2EEA">
            <w:pPr>
              <w:widowControl w:val="0"/>
              <w:tabs>
                <w:tab w:val="decimal" w:pos="342"/>
              </w:tabs>
              <w:rPr>
                <w:sz w:val="20"/>
                <w:szCs w:val="20"/>
              </w:rPr>
            </w:pPr>
            <w:r w:rsidRPr="00E1684E">
              <w:rPr>
                <w:sz w:val="20"/>
                <w:szCs w:val="20"/>
              </w:rPr>
              <w:t>15.3%</w:t>
            </w:r>
          </w:p>
        </w:tc>
        <w:tc>
          <w:tcPr>
            <w:tcW w:w="900" w:type="dxa"/>
          </w:tcPr>
          <w:p w14:paraId="6DD897A0" w14:textId="77777777" w:rsidR="00E1684E" w:rsidRPr="00E1684E" w:rsidRDefault="00E1684E" w:rsidP="00CF2EEA">
            <w:pPr>
              <w:widowControl w:val="0"/>
              <w:tabs>
                <w:tab w:val="decimal" w:pos="162"/>
              </w:tabs>
              <w:jc w:val="center"/>
              <w:rPr>
                <w:sz w:val="20"/>
                <w:szCs w:val="20"/>
              </w:rPr>
            </w:pPr>
            <w:r w:rsidRPr="00E1684E">
              <w:rPr>
                <w:sz w:val="20"/>
                <w:szCs w:val="20"/>
              </w:rPr>
              <w:t>.44</w:t>
            </w:r>
          </w:p>
        </w:tc>
      </w:tr>
      <w:tr w:rsidR="00E1684E" w:rsidRPr="00E1684E" w14:paraId="6A55FE04" w14:textId="77777777" w:rsidTr="00A720AB">
        <w:tc>
          <w:tcPr>
            <w:tcW w:w="3618" w:type="dxa"/>
          </w:tcPr>
          <w:p w14:paraId="40F7AE40" w14:textId="77777777" w:rsidR="00E1684E" w:rsidRPr="00E1684E" w:rsidRDefault="00E1684E" w:rsidP="00CF2EEA">
            <w:pPr>
              <w:widowControl w:val="0"/>
              <w:ind w:left="288"/>
              <w:rPr>
                <w:sz w:val="20"/>
                <w:szCs w:val="20"/>
              </w:rPr>
            </w:pPr>
            <w:r w:rsidRPr="00E1684E">
              <w:rPr>
                <w:sz w:val="20"/>
                <w:szCs w:val="20"/>
              </w:rPr>
              <w:t>Abdominal discomfort</w:t>
            </w:r>
          </w:p>
        </w:tc>
        <w:tc>
          <w:tcPr>
            <w:tcW w:w="1350" w:type="dxa"/>
          </w:tcPr>
          <w:p w14:paraId="78E4A2F7" w14:textId="77777777" w:rsidR="00E1684E" w:rsidRPr="00E1684E" w:rsidRDefault="00E1684E" w:rsidP="00CF2EEA">
            <w:pPr>
              <w:widowControl w:val="0"/>
              <w:tabs>
                <w:tab w:val="decimal" w:pos="342"/>
              </w:tabs>
              <w:rPr>
                <w:sz w:val="20"/>
                <w:szCs w:val="20"/>
              </w:rPr>
            </w:pPr>
            <w:r w:rsidRPr="00E1684E">
              <w:rPr>
                <w:sz w:val="20"/>
                <w:szCs w:val="20"/>
              </w:rPr>
              <w:t>4.5%</w:t>
            </w:r>
          </w:p>
        </w:tc>
        <w:tc>
          <w:tcPr>
            <w:tcW w:w="1440" w:type="dxa"/>
          </w:tcPr>
          <w:p w14:paraId="764CD623" w14:textId="77777777" w:rsidR="00E1684E" w:rsidRPr="00E1684E" w:rsidRDefault="00E1684E" w:rsidP="00CF2EEA">
            <w:pPr>
              <w:widowControl w:val="0"/>
              <w:tabs>
                <w:tab w:val="decimal" w:pos="342"/>
              </w:tabs>
              <w:rPr>
                <w:sz w:val="20"/>
                <w:szCs w:val="20"/>
              </w:rPr>
            </w:pPr>
            <w:r w:rsidRPr="00E1684E">
              <w:rPr>
                <w:sz w:val="20"/>
                <w:szCs w:val="20"/>
              </w:rPr>
              <w:t>14.6%</w:t>
            </w:r>
          </w:p>
        </w:tc>
        <w:tc>
          <w:tcPr>
            <w:tcW w:w="1350" w:type="dxa"/>
          </w:tcPr>
          <w:p w14:paraId="7CBFF904" w14:textId="77777777" w:rsidR="00E1684E" w:rsidRPr="00E1684E" w:rsidRDefault="00E1684E" w:rsidP="00CF2EEA">
            <w:pPr>
              <w:widowControl w:val="0"/>
              <w:tabs>
                <w:tab w:val="decimal" w:pos="342"/>
              </w:tabs>
              <w:rPr>
                <w:sz w:val="20"/>
                <w:szCs w:val="20"/>
              </w:rPr>
            </w:pPr>
            <w:r w:rsidRPr="00E1684E">
              <w:rPr>
                <w:sz w:val="20"/>
                <w:szCs w:val="20"/>
              </w:rPr>
              <w:t>9.4%</w:t>
            </w:r>
          </w:p>
        </w:tc>
        <w:tc>
          <w:tcPr>
            <w:tcW w:w="900" w:type="dxa"/>
          </w:tcPr>
          <w:p w14:paraId="6BC11BD7" w14:textId="77777777" w:rsidR="00E1684E" w:rsidRPr="00E1684E" w:rsidRDefault="00E1684E" w:rsidP="00CF2EEA">
            <w:pPr>
              <w:widowControl w:val="0"/>
              <w:tabs>
                <w:tab w:val="decimal" w:pos="162"/>
              </w:tabs>
              <w:jc w:val="center"/>
              <w:rPr>
                <w:sz w:val="20"/>
                <w:szCs w:val="20"/>
              </w:rPr>
            </w:pPr>
            <w:r w:rsidRPr="00E1684E">
              <w:rPr>
                <w:sz w:val="20"/>
                <w:szCs w:val="20"/>
              </w:rPr>
              <w:t>.11</w:t>
            </w:r>
          </w:p>
        </w:tc>
      </w:tr>
      <w:tr w:rsidR="00E1684E" w:rsidRPr="00E1684E" w14:paraId="536D2902" w14:textId="77777777" w:rsidTr="00A720AB">
        <w:tc>
          <w:tcPr>
            <w:tcW w:w="3618" w:type="dxa"/>
          </w:tcPr>
          <w:p w14:paraId="7FFEC37B" w14:textId="77777777" w:rsidR="00E1684E" w:rsidRPr="00E1684E" w:rsidRDefault="00E1684E" w:rsidP="00CF2EEA">
            <w:pPr>
              <w:widowControl w:val="0"/>
              <w:ind w:left="288"/>
              <w:rPr>
                <w:sz w:val="20"/>
                <w:szCs w:val="20"/>
              </w:rPr>
            </w:pPr>
            <w:r w:rsidRPr="00E1684E">
              <w:rPr>
                <w:sz w:val="20"/>
                <w:szCs w:val="20"/>
              </w:rPr>
              <w:t>Headache</w:t>
            </w:r>
          </w:p>
        </w:tc>
        <w:tc>
          <w:tcPr>
            <w:tcW w:w="1350" w:type="dxa"/>
          </w:tcPr>
          <w:p w14:paraId="6B9E3254" w14:textId="77777777" w:rsidR="00E1684E" w:rsidRPr="00E1684E" w:rsidRDefault="00E1684E" w:rsidP="00CF2EEA">
            <w:pPr>
              <w:widowControl w:val="0"/>
              <w:tabs>
                <w:tab w:val="decimal" w:pos="342"/>
              </w:tabs>
              <w:rPr>
                <w:sz w:val="20"/>
                <w:szCs w:val="20"/>
              </w:rPr>
            </w:pPr>
            <w:r w:rsidRPr="00E1684E">
              <w:rPr>
                <w:sz w:val="20"/>
                <w:szCs w:val="20"/>
              </w:rPr>
              <w:t>4.5%</w:t>
            </w:r>
          </w:p>
        </w:tc>
        <w:tc>
          <w:tcPr>
            <w:tcW w:w="1440" w:type="dxa"/>
          </w:tcPr>
          <w:p w14:paraId="2EFDA90B" w14:textId="77777777" w:rsidR="00E1684E" w:rsidRPr="00E1684E" w:rsidRDefault="00E1684E" w:rsidP="00CF2EEA">
            <w:pPr>
              <w:widowControl w:val="0"/>
              <w:tabs>
                <w:tab w:val="decimal" w:pos="342"/>
              </w:tabs>
              <w:rPr>
                <w:sz w:val="20"/>
                <w:szCs w:val="20"/>
              </w:rPr>
            </w:pPr>
            <w:r w:rsidRPr="00E1684E">
              <w:rPr>
                <w:sz w:val="20"/>
                <w:szCs w:val="20"/>
              </w:rPr>
              <w:t>7.3%</w:t>
            </w:r>
          </w:p>
        </w:tc>
        <w:tc>
          <w:tcPr>
            <w:tcW w:w="1350" w:type="dxa"/>
          </w:tcPr>
          <w:p w14:paraId="544ACD75" w14:textId="77777777" w:rsidR="00E1684E" w:rsidRPr="00E1684E" w:rsidRDefault="00E1684E" w:rsidP="00CF2EEA">
            <w:pPr>
              <w:widowControl w:val="0"/>
              <w:tabs>
                <w:tab w:val="decimal" w:pos="342"/>
              </w:tabs>
              <w:rPr>
                <w:sz w:val="20"/>
                <w:szCs w:val="20"/>
              </w:rPr>
            </w:pPr>
            <w:r w:rsidRPr="00E1684E">
              <w:rPr>
                <w:sz w:val="20"/>
                <w:szCs w:val="20"/>
              </w:rPr>
              <w:t>5.9%</w:t>
            </w:r>
          </w:p>
        </w:tc>
        <w:tc>
          <w:tcPr>
            <w:tcW w:w="900" w:type="dxa"/>
          </w:tcPr>
          <w:p w14:paraId="54B8DFC3" w14:textId="77777777" w:rsidR="00E1684E" w:rsidRPr="00E1684E" w:rsidRDefault="00E1684E" w:rsidP="00CF2EEA">
            <w:pPr>
              <w:widowControl w:val="0"/>
              <w:tabs>
                <w:tab w:val="decimal" w:pos="162"/>
              </w:tabs>
              <w:jc w:val="center"/>
              <w:rPr>
                <w:sz w:val="20"/>
                <w:szCs w:val="20"/>
              </w:rPr>
            </w:pPr>
            <w:r w:rsidRPr="00E1684E">
              <w:rPr>
                <w:sz w:val="20"/>
                <w:szCs w:val="20"/>
              </w:rPr>
              <w:t>.59</w:t>
            </w:r>
          </w:p>
        </w:tc>
      </w:tr>
    </w:tbl>
    <w:p w14:paraId="540FF08A" w14:textId="2DFF1F77" w:rsidR="00E1684E" w:rsidRDefault="009E21E2" w:rsidP="00CF2EEA">
      <w:pPr>
        <w:widowControl w:val="0"/>
        <w:rPr>
          <w:rFonts w:eastAsia="Times New Roman" w:cs="Times New Roman"/>
          <w:b/>
          <w:szCs w:val="24"/>
        </w:rPr>
      </w:pPr>
      <w:r w:rsidRPr="003D0ED6">
        <w:rPr>
          <w:rFonts w:cs="Times New Roman"/>
          <w:i/>
          <w:szCs w:val="24"/>
        </w:rPr>
        <w:t xml:space="preserve">Note. </w:t>
      </w:r>
      <w:r w:rsidRPr="00A359E2">
        <w:rPr>
          <w:rFonts w:cs="Times New Roman"/>
          <w:szCs w:val="24"/>
        </w:rPr>
        <w:t>AEBT-TTM = Acceptance-enhanced behavior therapy for trichotillomania; PST = Psychoeducation and supportive therapy</w:t>
      </w:r>
      <w:r w:rsidR="00EA042B">
        <w:rPr>
          <w:rFonts w:cs="Times New Roman"/>
          <w:szCs w:val="24"/>
        </w:rPr>
        <w:t>.</w:t>
      </w:r>
    </w:p>
    <w:p w14:paraId="3B6FC942" w14:textId="77777777" w:rsidR="00A46E14" w:rsidRDefault="00A46E14" w:rsidP="00CF2EEA">
      <w:pPr>
        <w:widowControl w:val="0"/>
        <w:rPr>
          <w:rFonts w:eastAsia="Times New Roman" w:cs="Times New Roman"/>
          <w:b/>
          <w:szCs w:val="24"/>
        </w:rPr>
      </w:pPr>
    </w:p>
    <w:p w14:paraId="4A88ACC9" w14:textId="77777777" w:rsidR="00A46E14" w:rsidRDefault="00A46E14" w:rsidP="00CF2EEA">
      <w:pPr>
        <w:widowControl w:val="0"/>
        <w:rPr>
          <w:rFonts w:eastAsia="Times New Roman" w:cs="Times New Roman"/>
          <w:b/>
          <w:szCs w:val="24"/>
        </w:rPr>
        <w:sectPr w:rsidR="00A46E14" w:rsidSect="00E1684E">
          <w:pgSz w:w="12240" w:h="15840"/>
          <w:pgMar w:top="1440" w:right="1440" w:bottom="1440" w:left="1440" w:header="720" w:footer="720" w:gutter="0"/>
          <w:cols w:space="720"/>
          <w:docGrid w:linePitch="360"/>
        </w:sectPr>
      </w:pPr>
    </w:p>
    <w:p w14:paraId="51EC79C5" w14:textId="51327269" w:rsidR="00232E6F" w:rsidRDefault="00031940" w:rsidP="00CF2EEA">
      <w:pPr>
        <w:widowControl w:val="0"/>
        <w:rPr>
          <w:rFonts w:eastAsia="Times New Roman" w:cs="Times New Roman"/>
          <w:b/>
          <w:szCs w:val="24"/>
        </w:rPr>
      </w:pPr>
      <w:r w:rsidRPr="00031940">
        <w:rPr>
          <w:rFonts w:ascii="Calibri" w:eastAsia="Calibri" w:hAnsi="Calibri" w:cs="Times New Roman"/>
          <w:noProof/>
          <w:sz w:val="22"/>
        </w:rPr>
        <w:lastRenderedPageBreak/>
        <mc:AlternateContent>
          <mc:Choice Requires="wpc">
            <w:drawing>
              <wp:inline distT="0" distB="0" distL="0" distR="0" wp14:anchorId="226492E8" wp14:editId="71C9A4FE">
                <wp:extent cx="8637909" cy="6513195"/>
                <wp:effectExtent l="0" t="0" r="10795" b="0"/>
                <wp:docPr id="322" name="Canvas 32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 name="Text Box 2"/>
                        <wps:cNvSpPr txBox="1">
                          <a:spLocks noChangeArrowheads="1"/>
                        </wps:cNvSpPr>
                        <wps:spPr bwMode="auto">
                          <a:xfrm>
                            <a:off x="3746154" y="457193"/>
                            <a:ext cx="1371599" cy="276224"/>
                          </a:xfrm>
                          <a:prstGeom prst="rect">
                            <a:avLst/>
                          </a:prstGeom>
                          <a:noFill/>
                          <a:ln w="9525">
                            <a:solidFill>
                              <a:srgbClr val="000000"/>
                            </a:solidFill>
                            <a:miter lim="800000"/>
                            <a:headEnd/>
                            <a:tailEnd/>
                          </a:ln>
                        </wps:spPr>
                        <wps:txbx>
                          <w:txbxContent>
                            <w:p w14:paraId="4EC51655" w14:textId="77777777" w:rsidR="00A720DE" w:rsidRDefault="00A720DE" w:rsidP="00031940">
                              <w:pPr>
                                <w:pStyle w:val="NormalWeb"/>
                                <w:jc w:val="center"/>
                              </w:pPr>
                              <w:r>
                                <w:rPr>
                                  <w:rFonts w:eastAsia="Calibri"/>
                                </w:rPr>
                                <w:t>271 Phone Screens</w:t>
                              </w:r>
                            </w:p>
                          </w:txbxContent>
                        </wps:txbx>
                        <wps:bodyPr rot="0" vert="horz" wrap="square" lIns="91440" tIns="45720" rIns="91440" bIns="45720" anchor="t" anchorCtr="0">
                          <a:spAutoFit/>
                        </wps:bodyPr>
                      </wps:wsp>
                      <wps:wsp>
                        <wps:cNvPr id="3" name="Text Box 2"/>
                        <wps:cNvSpPr txBox="1">
                          <a:spLocks noChangeArrowheads="1"/>
                        </wps:cNvSpPr>
                        <wps:spPr bwMode="auto">
                          <a:xfrm>
                            <a:off x="4581820" y="3912043"/>
                            <a:ext cx="1097280" cy="640080"/>
                          </a:xfrm>
                          <a:prstGeom prst="rect">
                            <a:avLst/>
                          </a:prstGeom>
                          <a:noFill/>
                          <a:ln w="9525">
                            <a:solidFill>
                              <a:srgbClr val="000000"/>
                            </a:solidFill>
                            <a:miter lim="800000"/>
                            <a:headEnd/>
                            <a:tailEnd/>
                          </a:ln>
                        </wps:spPr>
                        <wps:txbx>
                          <w:txbxContent>
                            <w:p w14:paraId="061E2CB7" w14:textId="345243E7" w:rsidR="00A720DE" w:rsidRDefault="00A720DE" w:rsidP="00031940">
                              <w:pPr>
                                <w:pStyle w:val="NormalWeb"/>
                                <w:jc w:val="center"/>
                              </w:pPr>
                              <w:r>
                                <w:rPr>
                                  <w:rFonts w:eastAsia="Calibri"/>
                                </w:rPr>
                                <w:t>42 Completed Mid Assessment</w:t>
                              </w:r>
                            </w:p>
                          </w:txbxContent>
                        </wps:txbx>
                        <wps:bodyPr rot="0" vert="horz" wrap="square" lIns="91440" tIns="45720" rIns="91440" bIns="45720" anchor="t" anchorCtr="0">
                          <a:noAutofit/>
                        </wps:bodyPr>
                      </wps:wsp>
                      <wps:wsp>
                        <wps:cNvPr id="4" name="Text Box 2"/>
                        <wps:cNvSpPr txBox="1">
                          <a:spLocks noChangeArrowheads="1"/>
                        </wps:cNvSpPr>
                        <wps:spPr bwMode="auto">
                          <a:xfrm>
                            <a:off x="4579915" y="3090545"/>
                            <a:ext cx="1097280" cy="457200"/>
                          </a:xfrm>
                          <a:prstGeom prst="rect">
                            <a:avLst/>
                          </a:prstGeom>
                          <a:noFill/>
                          <a:ln w="9525">
                            <a:solidFill>
                              <a:srgbClr val="000000"/>
                            </a:solidFill>
                            <a:miter lim="800000"/>
                            <a:headEnd/>
                            <a:tailEnd/>
                          </a:ln>
                        </wps:spPr>
                        <wps:txbx>
                          <w:txbxContent>
                            <w:p w14:paraId="54F01EA9" w14:textId="5FEB2980" w:rsidR="00A720DE" w:rsidRDefault="00A720DE" w:rsidP="00031940">
                              <w:pPr>
                                <w:pStyle w:val="NormalWeb"/>
                                <w:jc w:val="center"/>
                              </w:pPr>
                              <w:r>
                                <w:rPr>
                                  <w:rFonts w:eastAsia="Calibri"/>
                                </w:rPr>
                                <w:t>42 Completed Session 1</w:t>
                              </w:r>
                            </w:p>
                          </w:txbxContent>
                        </wps:txbx>
                        <wps:bodyPr rot="0" vert="horz" wrap="square" lIns="91440" tIns="45720" rIns="91440" bIns="45720" anchor="t" anchorCtr="0">
                          <a:noAutofit/>
                        </wps:bodyPr>
                      </wps:wsp>
                      <wps:wsp>
                        <wps:cNvPr id="5" name="Text Box 2"/>
                        <wps:cNvSpPr txBox="1">
                          <a:spLocks noChangeArrowheads="1"/>
                        </wps:cNvSpPr>
                        <wps:spPr bwMode="auto">
                          <a:xfrm>
                            <a:off x="3288960" y="3090545"/>
                            <a:ext cx="1097280" cy="457200"/>
                          </a:xfrm>
                          <a:prstGeom prst="rect">
                            <a:avLst/>
                          </a:prstGeom>
                          <a:noFill/>
                          <a:ln w="9525">
                            <a:solidFill>
                              <a:srgbClr val="000000"/>
                            </a:solidFill>
                            <a:miter lim="800000"/>
                            <a:headEnd/>
                            <a:tailEnd/>
                          </a:ln>
                        </wps:spPr>
                        <wps:txbx>
                          <w:txbxContent>
                            <w:p w14:paraId="7A19446F" w14:textId="394DAE80" w:rsidR="00A720DE" w:rsidRDefault="00A720DE" w:rsidP="00031940">
                              <w:pPr>
                                <w:pStyle w:val="NormalWeb"/>
                                <w:jc w:val="center"/>
                              </w:pPr>
                              <w:r>
                                <w:rPr>
                                  <w:rFonts w:eastAsia="Calibri"/>
                                </w:rPr>
                                <w:t>40 Completed Session 1</w:t>
                              </w:r>
                            </w:p>
                          </w:txbxContent>
                        </wps:txbx>
                        <wps:bodyPr rot="0" vert="horz" wrap="square" lIns="91440" tIns="45720" rIns="91440" bIns="45720" anchor="t" anchorCtr="0">
                          <a:noAutofit/>
                        </wps:bodyPr>
                      </wps:wsp>
                      <wps:wsp>
                        <wps:cNvPr id="6" name="Text Box 2"/>
                        <wps:cNvSpPr txBox="1">
                          <a:spLocks noChangeArrowheads="1"/>
                        </wps:cNvSpPr>
                        <wps:spPr bwMode="auto">
                          <a:xfrm>
                            <a:off x="4585630" y="2267585"/>
                            <a:ext cx="1005840" cy="457200"/>
                          </a:xfrm>
                          <a:prstGeom prst="rect">
                            <a:avLst/>
                          </a:prstGeom>
                          <a:noFill/>
                          <a:ln w="9525">
                            <a:solidFill>
                              <a:srgbClr val="000000"/>
                            </a:solidFill>
                            <a:miter lim="800000"/>
                            <a:headEnd/>
                            <a:tailEnd/>
                          </a:ln>
                        </wps:spPr>
                        <wps:txbx>
                          <w:txbxContent>
                            <w:p w14:paraId="199FA5F3" w14:textId="133888DB" w:rsidR="00A720DE" w:rsidRDefault="00A720DE" w:rsidP="00031940">
                              <w:pPr>
                                <w:pStyle w:val="NormalWeb"/>
                                <w:jc w:val="center"/>
                              </w:pPr>
                              <w:r>
                                <w:rPr>
                                  <w:rFonts w:eastAsia="Calibri"/>
                                </w:rPr>
                                <w:t>43 Assigned AEBT-TTM</w:t>
                              </w:r>
                            </w:p>
                          </w:txbxContent>
                        </wps:txbx>
                        <wps:bodyPr rot="0" vert="horz" wrap="square" lIns="91440" tIns="45720" rIns="91440" bIns="45720" anchor="t" anchorCtr="0">
                          <a:noAutofit/>
                        </wps:bodyPr>
                      </wps:wsp>
                      <wps:wsp>
                        <wps:cNvPr id="7" name="Text Box 2"/>
                        <wps:cNvSpPr txBox="1">
                          <a:spLocks noChangeArrowheads="1"/>
                        </wps:cNvSpPr>
                        <wps:spPr bwMode="auto">
                          <a:xfrm>
                            <a:off x="3295945" y="2267585"/>
                            <a:ext cx="1005840" cy="457200"/>
                          </a:xfrm>
                          <a:prstGeom prst="rect">
                            <a:avLst/>
                          </a:prstGeom>
                          <a:noFill/>
                          <a:ln w="9525">
                            <a:solidFill>
                              <a:srgbClr val="000000"/>
                            </a:solidFill>
                            <a:miter lim="800000"/>
                            <a:headEnd/>
                            <a:tailEnd/>
                          </a:ln>
                        </wps:spPr>
                        <wps:txbx>
                          <w:txbxContent>
                            <w:p w14:paraId="60A9038B" w14:textId="77777777" w:rsidR="00A720DE" w:rsidRDefault="00A720DE" w:rsidP="00031940">
                              <w:pPr>
                                <w:pStyle w:val="NormalWeb"/>
                                <w:jc w:val="center"/>
                              </w:pPr>
                              <w:r>
                                <w:rPr>
                                  <w:rFonts w:eastAsia="Calibri"/>
                                </w:rPr>
                                <w:t>42 Assigned PST</w:t>
                              </w:r>
                            </w:p>
                          </w:txbxContent>
                        </wps:txbx>
                        <wps:bodyPr rot="0" vert="horz" wrap="square" lIns="91440" tIns="45720" rIns="91440" bIns="45720" anchor="t" anchorCtr="0">
                          <a:noAutofit/>
                        </wps:bodyPr>
                      </wps:wsp>
                      <wps:wsp>
                        <wps:cNvPr id="8" name="Text Box 2"/>
                        <wps:cNvSpPr txBox="1">
                          <a:spLocks noChangeArrowheads="1"/>
                        </wps:cNvSpPr>
                        <wps:spPr bwMode="auto">
                          <a:xfrm>
                            <a:off x="3746154" y="1024239"/>
                            <a:ext cx="1371599" cy="276224"/>
                          </a:xfrm>
                          <a:prstGeom prst="rect">
                            <a:avLst/>
                          </a:prstGeom>
                          <a:noFill/>
                          <a:ln w="9525">
                            <a:solidFill>
                              <a:srgbClr val="000000"/>
                            </a:solidFill>
                            <a:miter lim="800000"/>
                            <a:headEnd/>
                            <a:tailEnd/>
                          </a:ln>
                        </wps:spPr>
                        <wps:txbx>
                          <w:txbxContent>
                            <w:p w14:paraId="645E2900" w14:textId="77777777" w:rsidR="00A720DE" w:rsidRDefault="00A720DE" w:rsidP="00031940">
                              <w:pPr>
                                <w:pStyle w:val="NormalWeb"/>
                                <w:jc w:val="center"/>
                              </w:pPr>
                              <w:r>
                                <w:rPr>
                                  <w:rFonts w:eastAsia="Calibri"/>
                                </w:rPr>
                                <w:t>117 Screened</w:t>
                              </w:r>
                            </w:p>
                          </w:txbxContent>
                        </wps:txbx>
                        <wps:bodyPr rot="0" vert="horz" wrap="square" lIns="91440" tIns="45720" rIns="91440" bIns="45720" anchor="t" anchorCtr="0">
                          <a:spAutoFit/>
                        </wps:bodyPr>
                      </wps:wsp>
                      <wps:wsp>
                        <wps:cNvPr id="15" name="Text Box 2"/>
                        <wps:cNvSpPr txBox="1">
                          <a:spLocks noChangeArrowheads="1"/>
                        </wps:cNvSpPr>
                        <wps:spPr bwMode="auto">
                          <a:xfrm>
                            <a:off x="3290865" y="3912043"/>
                            <a:ext cx="1097280" cy="640080"/>
                          </a:xfrm>
                          <a:prstGeom prst="rect">
                            <a:avLst/>
                          </a:prstGeom>
                          <a:noFill/>
                          <a:ln w="9525">
                            <a:solidFill>
                              <a:srgbClr val="000000"/>
                            </a:solidFill>
                            <a:miter lim="800000"/>
                            <a:headEnd/>
                            <a:tailEnd/>
                          </a:ln>
                        </wps:spPr>
                        <wps:txbx>
                          <w:txbxContent>
                            <w:p w14:paraId="4282D5C8" w14:textId="04F77806" w:rsidR="00A720DE" w:rsidRDefault="00A720DE" w:rsidP="00031940">
                              <w:pPr>
                                <w:pStyle w:val="NormalWeb"/>
                                <w:jc w:val="center"/>
                              </w:pPr>
                              <w:r>
                                <w:rPr>
                                  <w:rFonts w:eastAsia="Calibri"/>
                                </w:rPr>
                                <w:t>36 Completed Mid Assessment</w:t>
                              </w:r>
                            </w:p>
                          </w:txbxContent>
                        </wps:txbx>
                        <wps:bodyPr rot="0" vert="horz" wrap="square" lIns="91440" tIns="45720" rIns="91440" bIns="45720" anchor="t" anchorCtr="0">
                          <a:noAutofit/>
                        </wps:bodyPr>
                      </wps:wsp>
                      <wps:wsp>
                        <wps:cNvPr id="20" name="Text Box 2"/>
                        <wps:cNvSpPr txBox="1">
                          <a:spLocks noChangeArrowheads="1"/>
                        </wps:cNvSpPr>
                        <wps:spPr bwMode="auto">
                          <a:xfrm>
                            <a:off x="3746154" y="1591285"/>
                            <a:ext cx="1371599" cy="276224"/>
                          </a:xfrm>
                          <a:prstGeom prst="rect">
                            <a:avLst/>
                          </a:prstGeom>
                          <a:noFill/>
                          <a:ln w="9525">
                            <a:solidFill>
                              <a:srgbClr val="000000"/>
                            </a:solidFill>
                            <a:miter lim="800000"/>
                            <a:headEnd/>
                            <a:tailEnd/>
                          </a:ln>
                        </wps:spPr>
                        <wps:txbx>
                          <w:txbxContent>
                            <w:p w14:paraId="121BE68F" w14:textId="77777777" w:rsidR="00A720DE" w:rsidRDefault="00A720DE" w:rsidP="00031940">
                              <w:pPr>
                                <w:pStyle w:val="NormalWeb"/>
                                <w:jc w:val="center"/>
                              </w:pPr>
                              <w:r>
                                <w:rPr>
                                  <w:rFonts w:eastAsia="Calibri"/>
                                </w:rPr>
                                <w:t>85 Randomized</w:t>
                              </w:r>
                            </w:p>
                          </w:txbxContent>
                        </wps:txbx>
                        <wps:bodyPr rot="0" vert="horz" wrap="square" lIns="91440" tIns="45720" rIns="91440" bIns="45720" anchor="t" anchorCtr="0">
                          <a:spAutoFit/>
                        </wps:bodyPr>
                      </wps:wsp>
                      <wps:wsp>
                        <wps:cNvPr id="21" name="Text Box 2"/>
                        <wps:cNvSpPr txBox="1">
                          <a:spLocks noChangeArrowheads="1"/>
                        </wps:cNvSpPr>
                        <wps:spPr bwMode="auto">
                          <a:xfrm>
                            <a:off x="3285150" y="4865473"/>
                            <a:ext cx="1097280" cy="640080"/>
                          </a:xfrm>
                          <a:prstGeom prst="rect">
                            <a:avLst/>
                          </a:prstGeom>
                          <a:noFill/>
                          <a:ln w="9525">
                            <a:solidFill>
                              <a:srgbClr val="000000"/>
                            </a:solidFill>
                            <a:miter lim="800000"/>
                            <a:headEnd/>
                            <a:tailEnd/>
                          </a:ln>
                        </wps:spPr>
                        <wps:txbx>
                          <w:txbxContent>
                            <w:p w14:paraId="732A0E3D" w14:textId="2CC0B895" w:rsidR="00A720DE" w:rsidRDefault="00A720DE" w:rsidP="00031940">
                              <w:pPr>
                                <w:pStyle w:val="NormalWeb"/>
                                <w:jc w:val="center"/>
                              </w:pPr>
                              <w:r>
                                <w:rPr>
                                  <w:rFonts w:eastAsia="Calibri"/>
                                </w:rPr>
                                <w:t>35 Completed Post Assessment</w:t>
                              </w:r>
                            </w:p>
                          </w:txbxContent>
                        </wps:txbx>
                        <wps:bodyPr rot="0" vert="horz" wrap="square" lIns="91440" tIns="45720" rIns="91440" bIns="45720" anchor="t" anchorCtr="0">
                          <a:noAutofit/>
                        </wps:bodyPr>
                      </wps:wsp>
                      <wps:wsp>
                        <wps:cNvPr id="23" name="Text Box 2"/>
                        <wps:cNvSpPr txBox="1">
                          <a:spLocks noChangeArrowheads="1"/>
                        </wps:cNvSpPr>
                        <wps:spPr bwMode="auto">
                          <a:xfrm>
                            <a:off x="4585630" y="4864838"/>
                            <a:ext cx="1097280" cy="640080"/>
                          </a:xfrm>
                          <a:prstGeom prst="rect">
                            <a:avLst/>
                          </a:prstGeom>
                          <a:noFill/>
                          <a:ln w="9525">
                            <a:solidFill>
                              <a:srgbClr val="000000"/>
                            </a:solidFill>
                            <a:miter lim="800000"/>
                            <a:headEnd/>
                            <a:tailEnd/>
                          </a:ln>
                        </wps:spPr>
                        <wps:txbx>
                          <w:txbxContent>
                            <w:p w14:paraId="25D5F3BD" w14:textId="6F5D4B08" w:rsidR="00A720DE" w:rsidRDefault="00A720DE" w:rsidP="00031940">
                              <w:pPr>
                                <w:pStyle w:val="NormalWeb"/>
                                <w:jc w:val="center"/>
                              </w:pPr>
                              <w:r>
                                <w:rPr>
                                  <w:rFonts w:eastAsia="Calibri"/>
                                </w:rPr>
                                <w:t>34 Completed Post Assessment</w:t>
                              </w:r>
                            </w:p>
                          </w:txbxContent>
                        </wps:txbx>
                        <wps:bodyPr rot="0" vert="horz" wrap="square" lIns="91440" tIns="45720" rIns="91440" bIns="45720" anchor="t" anchorCtr="0">
                          <a:noAutofit/>
                        </wps:bodyPr>
                      </wps:wsp>
                      <wps:wsp>
                        <wps:cNvPr id="26" name="Straight Arrow Connector 26"/>
                        <wps:cNvCnPr/>
                        <wps:spPr>
                          <a:xfrm>
                            <a:off x="4431960" y="731520"/>
                            <a:ext cx="0" cy="292608"/>
                          </a:xfrm>
                          <a:prstGeom prst="straightConnector1">
                            <a:avLst/>
                          </a:prstGeom>
                          <a:noFill/>
                          <a:ln w="6350" cap="flat" cmpd="sng" algn="ctr">
                            <a:solidFill>
                              <a:sysClr val="windowText" lastClr="000000"/>
                            </a:solidFill>
                            <a:prstDash val="solid"/>
                            <a:miter lim="800000"/>
                            <a:tailEnd type="triangle"/>
                          </a:ln>
                          <a:effectLst/>
                        </wps:spPr>
                        <wps:bodyPr/>
                      </wps:wsp>
                      <wps:wsp>
                        <wps:cNvPr id="27" name="Straight Arrow Connector 27"/>
                        <wps:cNvCnPr/>
                        <wps:spPr>
                          <a:xfrm>
                            <a:off x="4431960" y="1298575"/>
                            <a:ext cx="0" cy="301752"/>
                          </a:xfrm>
                          <a:prstGeom prst="straightConnector1">
                            <a:avLst/>
                          </a:prstGeom>
                          <a:noFill/>
                          <a:ln w="6350" cap="flat" cmpd="sng" algn="ctr">
                            <a:solidFill>
                              <a:sysClr val="windowText" lastClr="000000"/>
                            </a:solidFill>
                            <a:prstDash val="solid"/>
                            <a:miter lim="800000"/>
                            <a:tailEnd type="triangle"/>
                          </a:ln>
                          <a:effectLst/>
                        </wps:spPr>
                        <wps:bodyPr/>
                      </wps:wsp>
                      <wps:wsp>
                        <wps:cNvPr id="28" name="Connector: Elbow 28"/>
                        <wps:cNvCnPr/>
                        <wps:spPr>
                          <a:xfrm rot="5400000">
                            <a:off x="3919896" y="1746250"/>
                            <a:ext cx="393192" cy="630936"/>
                          </a:xfrm>
                          <a:prstGeom prst="bentConnector3">
                            <a:avLst/>
                          </a:prstGeom>
                          <a:noFill/>
                          <a:ln w="6350" cap="flat" cmpd="sng" algn="ctr">
                            <a:solidFill>
                              <a:sysClr val="windowText" lastClr="000000"/>
                            </a:solidFill>
                            <a:prstDash val="solid"/>
                            <a:miter lim="800000"/>
                            <a:tailEnd type="triangle"/>
                          </a:ln>
                          <a:effectLst/>
                        </wps:spPr>
                        <wps:bodyPr/>
                      </wps:wsp>
                      <wps:wsp>
                        <wps:cNvPr id="29" name="Connector: Elbow 29"/>
                        <wps:cNvCnPr/>
                        <wps:spPr>
                          <a:xfrm rot="16200000" flipH="1">
                            <a:off x="4564548" y="1737847"/>
                            <a:ext cx="393192" cy="658368"/>
                          </a:xfrm>
                          <a:prstGeom prst="bentConnector3">
                            <a:avLst>
                              <a:gd name="adj1" fmla="val 50000"/>
                            </a:avLst>
                          </a:prstGeom>
                          <a:noFill/>
                          <a:ln w="6350" cap="flat" cmpd="sng" algn="ctr">
                            <a:solidFill>
                              <a:sysClr val="windowText" lastClr="000000"/>
                            </a:solidFill>
                            <a:prstDash val="solid"/>
                            <a:miter lim="800000"/>
                            <a:tailEnd type="triangle"/>
                          </a:ln>
                          <a:effectLst/>
                        </wps:spPr>
                        <wps:bodyPr/>
                      </wps:wsp>
                      <wps:wsp>
                        <wps:cNvPr id="30" name="Straight Arrow Connector 30"/>
                        <wps:cNvCnPr/>
                        <wps:spPr>
                          <a:xfrm flipH="1">
                            <a:off x="3791879" y="2724785"/>
                            <a:ext cx="9144" cy="365760"/>
                          </a:xfrm>
                          <a:prstGeom prst="straightConnector1">
                            <a:avLst/>
                          </a:prstGeom>
                          <a:noFill/>
                          <a:ln w="6350" cap="flat" cmpd="sng" algn="ctr">
                            <a:solidFill>
                              <a:sysClr val="windowText" lastClr="000000"/>
                            </a:solidFill>
                            <a:prstDash val="solid"/>
                            <a:miter lim="800000"/>
                            <a:tailEnd type="triangle"/>
                          </a:ln>
                          <a:effectLst/>
                        </wps:spPr>
                        <wps:bodyPr/>
                      </wps:wsp>
                      <wps:wsp>
                        <wps:cNvPr id="31" name="Straight Arrow Connector 31"/>
                        <wps:cNvCnPr/>
                        <wps:spPr>
                          <a:xfrm flipH="1">
                            <a:off x="5082834" y="2724785"/>
                            <a:ext cx="9144" cy="365760"/>
                          </a:xfrm>
                          <a:prstGeom prst="straightConnector1">
                            <a:avLst/>
                          </a:prstGeom>
                          <a:noFill/>
                          <a:ln w="6350" cap="flat" cmpd="sng" algn="ctr">
                            <a:solidFill>
                              <a:sysClr val="windowText" lastClr="000000"/>
                            </a:solidFill>
                            <a:prstDash val="solid"/>
                            <a:miter lim="800000"/>
                            <a:tailEnd type="triangle"/>
                          </a:ln>
                          <a:effectLst/>
                        </wps:spPr>
                        <wps:bodyPr/>
                      </wps:wsp>
                      <wps:wsp>
                        <wps:cNvPr id="288" name="Straight Arrow Connector 288"/>
                        <wps:cNvCnPr/>
                        <wps:spPr>
                          <a:xfrm flipH="1">
                            <a:off x="3793784" y="3547745"/>
                            <a:ext cx="9144" cy="365760"/>
                          </a:xfrm>
                          <a:prstGeom prst="straightConnector1">
                            <a:avLst/>
                          </a:prstGeom>
                          <a:noFill/>
                          <a:ln w="6350" cap="flat" cmpd="sng" algn="ctr">
                            <a:solidFill>
                              <a:sysClr val="windowText" lastClr="000000"/>
                            </a:solidFill>
                            <a:prstDash val="solid"/>
                            <a:miter lim="800000"/>
                            <a:tailEnd type="triangle"/>
                          </a:ln>
                          <a:effectLst/>
                        </wps:spPr>
                        <wps:bodyPr/>
                      </wps:wsp>
                      <wps:wsp>
                        <wps:cNvPr id="289" name="Straight Arrow Connector 289"/>
                        <wps:cNvCnPr/>
                        <wps:spPr>
                          <a:xfrm>
                            <a:off x="5082835" y="3547745"/>
                            <a:ext cx="0" cy="365760"/>
                          </a:xfrm>
                          <a:prstGeom prst="straightConnector1">
                            <a:avLst/>
                          </a:prstGeom>
                          <a:noFill/>
                          <a:ln w="6350" cap="flat" cmpd="sng" algn="ctr">
                            <a:solidFill>
                              <a:sysClr val="windowText" lastClr="000000"/>
                            </a:solidFill>
                            <a:prstDash val="solid"/>
                            <a:miter lim="800000"/>
                            <a:tailEnd type="triangle"/>
                          </a:ln>
                          <a:effectLst/>
                        </wps:spPr>
                        <wps:bodyPr/>
                      </wps:wsp>
                      <wps:wsp>
                        <wps:cNvPr id="290" name="Straight Arrow Connector 290"/>
                        <wps:cNvCnPr/>
                        <wps:spPr>
                          <a:xfrm flipH="1">
                            <a:off x="3788070" y="4552123"/>
                            <a:ext cx="5715" cy="313350"/>
                          </a:xfrm>
                          <a:prstGeom prst="straightConnector1">
                            <a:avLst/>
                          </a:prstGeom>
                          <a:noFill/>
                          <a:ln w="6350" cap="flat" cmpd="sng" algn="ctr">
                            <a:solidFill>
                              <a:sysClr val="windowText" lastClr="000000"/>
                            </a:solidFill>
                            <a:prstDash val="solid"/>
                            <a:miter lim="800000"/>
                            <a:tailEnd type="triangle"/>
                          </a:ln>
                          <a:effectLst/>
                        </wps:spPr>
                        <wps:bodyPr/>
                      </wps:wsp>
                      <wps:wsp>
                        <wps:cNvPr id="291" name="Straight Arrow Connector 291"/>
                        <wps:cNvCnPr/>
                        <wps:spPr>
                          <a:xfrm>
                            <a:off x="5084740" y="4552123"/>
                            <a:ext cx="3810" cy="312715"/>
                          </a:xfrm>
                          <a:prstGeom prst="straightConnector1">
                            <a:avLst/>
                          </a:prstGeom>
                          <a:noFill/>
                          <a:ln w="6350" cap="flat" cmpd="sng" algn="ctr">
                            <a:solidFill>
                              <a:sysClr val="windowText" lastClr="000000"/>
                            </a:solidFill>
                            <a:prstDash val="solid"/>
                            <a:miter lim="800000"/>
                            <a:tailEnd type="triangle"/>
                          </a:ln>
                          <a:effectLst/>
                        </wps:spPr>
                        <wps:bodyPr/>
                      </wps:wsp>
                      <wps:wsp>
                        <wps:cNvPr id="297" name="Text Box 2"/>
                        <wps:cNvSpPr txBox="1">
                          <a:spLocks noChangeArrowheads="1"/>
                        </wps:cNvSpPr>
                        <wps:spPr bwMode="auto">
                          <a:xfrm>
                            <a:off x="6075685" y="70306"/>
                            <a:ext cx="2562224" cy="2554604"/>
                          </a:xfrm>
                          <a:prstGeom prst="rect">
                            <a:avLst/>
                          </a:prstGeom>
                          <a:solidFill>
                            <a:srgbClr val="FFFFFF"/>
                          </a:solidFill>
                          <a:ln w="9525">
                            <a:solidFill>
                              <a:sysClr val="windowText" lastClr="000000"/>
                            </a:solidFill>
                            <a:miter lim="800000"/>
                            <a:headEnd/>
                            <a:tailEnd/>
                          </a:ln>
                        </wps:spPr>
                        <wps:txbx>
                          <w:txbxContent>
                            <w:p w14:paraId="6DD67D91" w14:textId="4B8696FE" w:rsidR="00A720DE" w:rsidRDefault="00A720DE" w:rsidP="00031940">
                              <w:pPr>
                                <w:pStyle w:val="NormalWeb"/>
                              </w:pPr>
                              <w:r>
                                <w:rPr>
                                  <w:rFonts w:eastAsia="Calibri"/>
                                </w:rPr>
                                <w:t>20 were ineligible at Screen</w:t>
                              </w:r>
                            </w:p>
                            <w:p w14:paraId="589C24B3" w14:textId="6F220571" w:rsidR="00A720DE" w:rsidRDefault="00A720DE" w:rsidP="00624E6A">
                              <w:pPr>
                                <w:pStyle w:val="NormalWeb"/>
                                <w:ind w:left="360"/>
                              </w:pPr>
                              <w:r>
                                <w:rPr>
                                  <w:rFonts w:eastAsia="Calibri"/>
                                </w:rPr>
                                <w:t>13 – below minimum TTM severity</w:t>
                              </w:r>
                            </w:p>
                            <w:p w14:paraId="7938DF22" w14:textId="15350C94" w:rsidR="00A720DE" w:rsidRDefault="00A720DE" w:rsidP="00624E6A">
                              <w:pPr>
                                <w:pStyle w:val="NormalWeb"/>
                                <w:ind w:left="360"/>
                              </w:pPr>
                              <w:r>
                                <w:rPr>
                                  <w:rFonts w:eastAsia="Calibri"/>
                                </w:rPr>
                                <w:t xml:space="preserve">5 – no TTM diagnosis </w:t>
                              </w:r>
                            </w:p>
                            <w:p w14:paraId="15D52213" w14:textId="6BAD1748" w:rsidR="00A720DE" w:rsidRDefault="00A720DE" w:rsidP="00624E6A">
                              <w:pPr>
                                <w:pStyle w:val="NormalWeb"/>
                                <w:ind w:left="360"/>
                              </w:pPr>
                              <w:r>
                                <w:rPr>
                                  <w:rFonts w:eastAsia="Calibri"/>
                                </w:rPr>
                                <w:t>1 – below minimum IQ</w:t>
                              </w:r>
                            </w:p>
                            <w:p w14:paraId="2C88FD28" w14:textId="7002583B" w:rsidR="00A720DE" w:rsidRDefault="00A720DE" w:rsidP="00624E6A">
                              <w:pPr>
                                <w:pStyle w:val="NormalWeb"/>
                                <w:ind w:left="360"/>
                              </w:pPr>
                              <w:r>
                                <w:rPr>
                                  <w:rFonts w:eastAsia="Calibri"/>
                                </w:rPr>
                                <w:t>1 – primary skin picking</w:t>
                              </w:r>
                            </w:p>
                            <w:p w14:paraId="1E64C199" w14:textId="2F304F4D" w:rsidR="00A720DE" w:rsidRDefault="00A720DE" w:rsidP="00031940">
                              <w:pPr>
                                <w:pStyle w:val="NormalWeb"/>
                              </w:pPr>
                              <w:r>
                                <w:rPr>
                                  <w:rFonts w:eastAsia="Calibri"/>
                                </w:rPr>
                                <w:t>6 dropped before Baseline</w:t>
                              </w:r>
                            </w:p>
                            <w:p w14:paraId="1A63CACC" w14:textId="682FFF51" w:rsidR="00A720DE" w:rsidRDefault="00A720DE" w:rsidP="00624E6A">
                              <w:pPr>
                                <w:pStyle w:val="NormalWeb"/>
                                <w:ind w:firstLine="360"/>
                              </w:pPr>
                              <w:r>
                                <w:rPr>
                                  <w:rFonts w:eastAsia="Calibri"/>
                                </w:rPr>
                                <w:t>2 – lost contact</w:t>
                              </w:r>
                            </w:p>
                            <w:p w14:paraId="0167C124" w14:textId="189638CA" w:rsidR="00A720DE" w:rsidRDefault="00A720DE" w:rsidP="00624E6A">
                              <w:pPr>
                                <w:pStyle w:val="NormalWeb"/>
                                <w:ind w:firstLine="360"/>
                              </w:pPr>
                              <w:r>
                                <w:rPr>
                                  <w:rFonts w:eastAsia="Calibri"/>
                                </w:rPr>
                                <w:t>4 – unknown reasons</w:t>
                              </w:r>
                            </w:p>
                            <w:p w14:paraId="04692B11" w14:textId="6B5F0607" w:rsidR="00A720DE" w:rsidRDefault="00A720DE" w:rsidP="00031940">
                              <w:pPr>
                                <w:pStyle w:val="NormalWeb"/>
                              </w:pPr>
                              <w:r>
                                <w:rPr>
                                  <w:rFonts w:eastAsia="Calibri"/>
                                </w:rPr>
                                <w:t>6 received Baseline, not randomized</w:t>
                              </w:r>
                            </w:p>
                            <w:p w14:paraId="51A5EC5D" w14:textId="37771834" w:rsidR="00A720DE" w:rsidRDefault="00A720DE" w:rsidP="00624E6A">
                              <w:pPr>
                                <w:pStyle w:val="NormalWeb"/>
                                <w:ind w:left="360"/>
                              </w:pPr>
                              <w:r>
                                <w:rPr>
                                  <w:rFonts w:eastAsia="Calibri"/>
                                </w:rPr>
                                <w:t>1 – lost contact</w:t>
                              </w:r>
                            </w:p>
                            <w:p w14:paraId="6569922B" w14:textId="6EE85ED3" w:rsidR="00A720DE" w:rsidRDefault="00A720DE" w:rsidP="00624E6A">
                              <w:pPr>
                                <w:pStyle w:val="NormalWeb"/>
                                <w:ind w:left="360"/>
                              </w:pPr>
                              <w:r>
                                <w:rPr>
                                  <w:rFonts w:eastAsia="Calibri"/>
                                </w:rPr>
                                <w:t>1 – training case</w:t>
                              </w:r>
                            </w:p>
                            <w:p w14:paraId="1E19692B" w14:textId="054D60AD" w:rsidR="00A720DE" w:rsidRDefault="00A720DE" w:rsidP="00624E6A">
                              <w:pPr>
                                <w:pStyle w:val="NormalWeb"/>
                                <w:ind w:left="360"/>
                              </w:pPr>
                              <w:r>
                                <w:rPr>
                                  <w:rFonts w:eastAsia="Calibri"/>
                                </w:rPr>
                                <w:t>1 – primary mood disorder</w:t>
                              </w:r>
                            </w:p>
                            <w:p w14:paraId="4FE45F87" w14:textId="1E2E3A11" w:rsidR="00A720DE" w:rsidRDefault="00A720DE" w:rsidP="00624E6A">
                              <w:pPr>
                                <w:pStyle w:val="NormalWeb"/>
                                <w:ind w:left="360"/>
                              </w:pPr>
                              <w:r>
                                <w:rPr>
                                  <w:rFonts w:eastAsia="Calibri"/>
                                </w:rPr>
                                <w:t>3 – unknown</w:t>
                              </w:r>
                            </w:p>
                          </w:txbxContent>
                        </wps:txbx>
                        <wps:bodyPr rot="0" vert="horz" wrap="square" lIns="91440" tIns="45720" rIns="91440" bIns="45720" anchor="t" anchorCtr="0">
                          <a:spAutoFit/>
                        </wps:bodyPr>
                      </wps:wsp>
                      <wps:wsp>
                        <wps:cNvPr id="299" name="Text Box 2"/>
                        <wps:cNvSpPr txBox="1">
                          <a:spLocks noChangeArrowheads="1"/>
                        </wps:cNvSpPr>
                        <wps:spPr bwMode="auto">
                          <a:xfrm>
                            <a:off x="6073138" y="2778638"/>
                            <a:ext cx="2468244" cy="276224"/>
                          </a:xfrm>
                          <a:prstGeom prst="rect">
                            <a:avLst/>
                          </a:prstGeom>
                          <a:solidFill>
                            <a:srgbClr val="FFFFFF"/>
                          </a:solidFill>
                          <a:ln w="9525">
                            <a:solidFill>
                              <a:sysClr val="windowText" lastClr="000000"/>
                            </a:solidFill>
                            <a:miter lim="800000"/>
                            <a:headEnd/>
                            <a:tailEnd/>
                          </a:ln>
                        </wps:spPr>
                        <wps:txbx>
                          <w:txbxContent>
                            <w:p w14:paraId="13187C3C" w14:textId="3EA0ED68" w:rsidR="00A720DE" w:rsidRDefault="00A720DE" w:rsidP="00031940">
                              <w:pPr>
                                <w:pStyle w:val="NormalWeb"/>
                              </w:pPr>
                              <w:r>
                                <w:rPr>
                                  <w:rFonts w:eastAsia="Calibri"/>
                                </w:rPr>
                                <w:t>1 dropped for unknown reasons</w:t>
                              </w:r>
                            </w:p>
                          </w:txbxContent>
                        </wps:txbx>
                        <wps:bodyPr rot="0" vert="horz" wrap="square" lIns="91440" tIns="45720" rIns="91440" bIns="45720" anchor="t" anchorCtr="0">
                          <a:spAutoFit/>
                        </wps:bodyPr>
                      </wps:wsp>
                      <wps:wsp>
                        <wps:cNvPr id="300" name="Text Box 2"/>
                        <wps:cNvSpPr txBox="1">
                          <a:spLocks noChangeArrowheads="1"/>
                        </wps:cNvSpPr>
                        <wps:spPr bwMode="auto">
                          <a:xfrm>
                            <a:off x="6073809" y="4206240"/>
                            <a:ext cx="2468879" cy="802004"/>
                          </a:xfrm>
                          <a:prstGeom prst="rect">
                            <a:avLst/>
                          </a:prstGeom>
                          <a:solidFill>
                            <a:srgbClr val="FFFFFF"/>
                          </a:solidFill>
                          <a:ln w="9525">
                            <a:solidFill>
                              <a:sysClr val="windowText" lastClr="000000"/>
                            </a:solidFill>
                            <a:miter lim="800000"/>
                            <a:headEnd/>
                            <a:tailEnd/>
                          </a:ln>
                        </wps:spPr>
                        <wps:txbx>
                          <w:txbxContent>
                            <w:p w14:paraId="42D577A4" w14:textId="77777777" w:rsidR="00A720DE" w:rsidRDefault="00A720DE" w:rsidP="00031940">
                              <w:pPr>
                                <w:pStyle w:val="NormalWeb"/>
                              </w:pPr>
                              <w:r>
                                <w:rPr>
                                  <w:rFonts w:eastAsia="Calibri"/>
                                </w:rPr>
                                <w:t>8 dropped before Post Assessment</w:t>
                              </w:r>
                            </w:p>
                            <w:p w14:paraId="125BA965" w14:textId="4F466163" w:rsidR="00A720DE" w:rsidRDefault="00A720DE" w:rsidP="00624E6A">
                              <w:pPr>
                                <w:pStyle w:val="NormalWeb"/>
                                <w:ind w:left="360"/>
                              </w:pPr>
                              <w:r>
                                <w:rPr>
                                  <w:rFonts w:eastAsia="Calibri"/>
                                </w:rPr>
                                <w:t>2 – lost contact</w:t>
                              </w:r>
                            </w:p>
                            <w:p w14:paraId="617E40DC" w14:textId="23CB643C" w:rsidR="00A720DE" w:rsidRDefault="00A720DE" w:rsidP="00624E6A">
                              <w:pPr>
                                <w:pStyle w:val="NormalWeb"/>
                                <w:ind w:left="360"/>
                              </w:pPr>
                              <w:r>
                                <w:rPr>
                                  <w:rFonts w:eastAsia="Calibri"/>
                                </w:rPr>
                                <w:t>5 – time commitment</w:t>
                              </w:r>
                            </w:p>
                            <w:p w14:paraId="438B2877" w14:textId="0A6AD89B" w:rsidR="00A720DE" w:rsidRDefault="00A720DE" w:rsidP="00624E6A">
                              <w:pPr>
                                <w:pStyle w:val="NormalWeb"/>
                                <w:ind w:left="360"/>
                              </w:pPr>
                              <w:r>
                                <w:rPr>
                                  <w:rFonts w:eastAsia="Calibri"/>
                                </w:rPr>
                                <w:t>1 – unknown reasons</w:t>
                              </w:r>
                            </w:p>
                          </w:txbxContent>
                        </wps:txbx>
                        <wps:bodyPr rot="0" vert="horz" wrap="square" lIns="91440" tIns="45720" rIns="91440" bIns="45720" anchor="t" anchorCtr="0">
                          <a:spAutoFit/>
                        </wps:bodyPr>
                      </wps:wsp>
                      <wps:wsp>
                        <wps:cNvPr id="303" name="Straight Connector 303"/>
                        <wps:cNvCnPr/>
                        <wps:spPr>
                          <a:xfrm>
                            <a:off x="4438061" y="1463040"/>
                            <a:ext cx="1636776" cy="0"/>
                          </a:xfrm>
                          <a:prstGeom prst="line">
                            <a:avLst/>
                          </a:prstGeom>
                          <a:noFill/>
                          <a:ln w="6350" cap="flat" cmpd="sng" algn="ctr">
                            <a:solidFill>
                              <a:sysClr val="windowText" lastClr="000000"/>
                            </a:solidFill>
                            <a:prstDash val="solid"/>
                            <a:miter lim="800000"/>
                          </a:ln>
                          <a:effectLst/>
                        </wps:spPr>
                        <wps:bodyPr/>
                      </wps:wsp>
                      <wps:wsp>
                        <wps:cNvPr id="304" name="Straight Connector 304"/>
                        <wps:cNvCnPr/>
                        <wps:spPr>
                          <a:xfrm>
                            <a:off x="5104811" y="2880360"/>
                            <a:ext cx="969264" cy="0"/>
                          </a:xfrm>
                          <a:prstGeom prst="line">
                            <a:avLst/>
                          </a:prstGeom>
                          <a:noFill/>
                          <a:ln w="6350" cap="flat" cmpd="sng" algn="ctr">
                            <a:solidFill>
                              <a:sysClr val="windowText" lastClr="000000"/>
                            </a:solidFill>
                            <a:prstDash val="solid"/>
                            <a:miter lim="800000"/>
                          </a:ln>
                          <a:effectLst/>
                        </wps:spPr>
                        <wps:bodyPr/>
                      </wps:wsp>
                      <wps:wsp>
                        <wps:cNvPr id="309" name="Straight Connector 309"/>
                        <wps:cNvCnPr/>
                        <wps:spPr>
                          <a:xfrm>
                            <a:off x="5104810" y="4681855"/>
                            <a:ext cx="969264" cy="0"/>
                          </a:xfrm>
                          <a:prstGeom prst="line">
                            <a:avLst/>
                          </a:prstGeom>
                          <a:noFill/>
                          <a:ln w="6350" cap="flat" cmpd="sng" algn="ctr">
                            <a:solidFill>
                              <a:sysClr val="windowText" lastClr="000000"/>
                            </a:solidFill>
                            <a:prstDash val="solid"/>
                            <a:miter lim="800000"/>
                          </a:ln>
                          <a:effectLst/>
                        </wps:spPr>
                        <wps:bodyPr/>
                      </wps:wsp>
                      <wps:wsp>
                        <wps:cNvPr id="314" name="Text Box 2"/>
                        <wps:cNvSpPr txBox="1">
                          <a:spLocks noChangeArrowheads="1"/>
                        </wps:cNvSpPr>
                        <wps:spPr bwMode="auto">
                          <a:xfrm>
                            <a:off x="415886" y="2523490"/>
                            <a:ext cx="2468879" cy="802004"/>
                          </a:xfrm>
                          <a:prstGeom prst="rect">
                            <a:avLst/>
                          </a:prstGeom>
                          <a:solidFill>
                            <a:srgbClr val="FFFFFF"/>
                          </a:solidFill>
                          <a:ln w="9525">
                            <a:solidFill>
                              <a:srgbClr val="000000"/>
                            </a:solidFill>
                            <a:miter lim="800000"/>
                            <a:headEnd/>
                            <a:tailEnd/>
                          </a:ln>
                        </wps:spPr>
                        <wps:txbx>
                          <w:txbxContent>
                            <w:p w14:paraId="0EBA62E9" w14:textId="77777777" w:rsidR="00A720DE" w:rsidRDefault="00A720DE" w:rsidP="00031940">
                              <w:pPr>
                                <w:pStyle w:val="NormalWeb"/>
                              </w:pPr>
                              <w:r>
                                <w:rPr>
                                  <w:rFonts w:eastAsia="Calibri"/>
                                </w:rPr>
                                <w:t>2 dropped before session 1</w:t>
                              </w:r>
                            </w:p>
                            <w:p w14:paraId="1F712EC2" w14:textId="4D19BF6A" w:rsidR="00A720DE" w:rsidRDefault="00A720DE" w:rsidP="00624E6A">
                              <w:pPr>
                                <w:pStyle w:val="NormalWeb"/>
                                <w:ind w:left="360"/>
                              </w:pPr>
                              <w:r>
                                <w:rPr>
                                  <w:rFonts w:eastAsia="Calibri"/>
                                </w:rPr>
                                <w:t>1 – treatment assignment objections</w:t>
                              </w:r>
                            </w:p>
                            <w:p w14:paraId="541B7F19" w14:textId="368046AB" w:rsidR="00A720DE" w:rsidRDefault="00A720DE" w:rsidP="00624E6A">
                              <w:pPr>
                                <w:pStyle w:val="NormalWeb"/>
                                <w:ind w:left="547" w:hanging="187"/>
                              </w:pPr>
                              <w:r>
                                <w:rPr>
                                  <w:rFonts w:eastAsia="Calibri"/>
                                </w:rPr>
                                <w:t>1 – unknown reasons</w:t>
                              </w:r>
                            </w:p>
                          </w:txbxContent>
                        </wps:txbx>
                        <wps:bodyPr rot="0" vert="horz" wrap="square" lIns="91440" tIns="45720" rIns="91440" bIns="45720" anchor="t" anchorCtr="0">
                          <a:spAutoFit/>
                        </wps:bodyPr>
                      </wps:wsp>
                      <wps:wsp>
                        <wps:cNvPr id="315" name="Text Box 2"/>
                        <wps:cNvSpPr txBox="1">
                          <a:spLocks noChangeArrowheads="1"/>
                        </wps:cNvSpPr>
                        <wps:spPr bwMode="auto">
                          <a:xfrm>
                            <a:off x="411479" y="3448081"/>
                            <a:ext cx="2468879" cy="977264"/>
                          </a:xfrm>
                          <a:prstGeom prst="rect">
                            <a:avLst/>
                          </a:prstGeom>
                          <a:solidFill>
                            <a:srgbClr val="FFFFFF"/>
                          </a:solidFill>
                          <a:ln w="9525">
                            <a:solidFill>
                              <a:srgbClr val="000000"/>
                            </a:solidFill>
                            <a:miter lim="800000"/>
                            <a:headEnd/>
                            <a:tailEnd/>
                          </a:ln>
                        </wps:spPr>
                        <wps:txbx>
                          <w:txbxContent>
                            <w:p w14:paraId="008562DD" w14:textId="77777777" w:rsidR="00A720DE" w:rsidRDefault="00A720DE" w:rsidP="00031940">
                              <w:pPr>
                                <w:pStyle w:val="NormalWeb"/>
                              </w:pPr>
                              <w:r>
                                <w:rPr>
                                  <w:rFonts w:eastAsia="Calibri"/>
                                </w:rPr>
                                <w:t>3 dropped before Mid Assessment</w:t>
                              </w:r>
                            </w:p>
                            <w:p w14:paraId="182E6FE2" w14:textId="7F06619A" w:rsidR="00A720DE" w:rsidRDefault="00A720DE" w:rsidP="00624E6A">
                              <w:pPr>
                                <w:pStyle w:val="NormalWeb"/>
                                <w:ind w:firstLine="360"/>
                              </w:pPr>
                              <w:r>
                                <w:rPr>
                                  <w:rFonts w:eastAsia="Calibri"/>
                                </w:rPr>
                                <w:t>1 – lost contact</w:t>
                              </w:r>
                            </w:p>
                            <w:p w14:paraId="48870266" w14:textId="235D49A0" w:rsidR="00A720DE" w:rsidRDefault="00A720DE" w:rsidP="00624E6A">
                              <w:pPr>
                                <w:pStyle w:val="NormalWeb"/>
                                <w:ind w:firstLine="360"/>
                              </w:pPr>
                              <w:r>
                                <w:rPr>
                                  <w:rFonts w:eastAsia="Calibri"/>
                                </w:rPr>
                                <w:t>1 – time commitment objections</w:t>
                              </w:r>
                            </w:p>
                            <w:p w14:paraId="7E73EB77" w14:textId="04FA1C18" w:rsidR="00A720DE" w:rsidRDefault="00A720DE" w:rsidP="00624E6A">
                              <w:pPr>
                                <w:pStyle w:val="NormalWeb"/>
                                <w:ind w:firstLine="360"/>
                              </w:pPr>
                              <w:r>
                                <w:rPr>
                                  <w:rFonts w:eastAsia="Calibri"/>
                                </w:rPr>
                                <w:t>1 – unknown reasons</w:t>
                              </w:r>
                            </w:p>
                            <w:p w14:paraId="401D25AC" w14:textId="77777777" w:rsidR="00A720DE" w:rsidRDefault="00A720DE" w:rsidP="00031940">
                              <w:pPr>
                                <w:pStyle w:val="NormalWeb"/>
                              </w:pPr>
                              <w:r>
                                <w:rPr>
                                  <w:rFonts w:eastAsia="Calibri"/>
                                </w:rPr>
                                <w:t>1 skipped Mid Assessment</w:t>
                              </w:r>
                            </w:p>
                          </w:txbxContent>
                        </wps:txbx>
                        <wps:bodyPr rot="0" vert="horz" wrap="square" lIns="91440" tIns="45720" rIns="91440" bIns="45720" anchor="t" anchorCtr="0">
                          <a:spAutoFit/>
                        </wps:bodyPr>
                      </wps:wsp>
                      <wps:wsp>
                        <wps:cNvPr id="316" name="Text Box 2"/>
                        <wps:cNvSpPr txBox="1">
                          <a:spLocks noChangeArrowheads="1"/>
                        </wps:cNvSpPr>
                        <wps:spPr bwMode="auto">
                          <a:xfrm>
                            <a:off x="415887" y="4551508"/>
                            <a:ext cx="2468879" cy="626744"/>
                          </a:xfrm>
                          <a:prstGeom prst="rect">
                            <a:avLst/>
                          </a:prstGeom>
                          <a:solidFill>
                            <a:srgbClr val="FFFFFF"/>
                          </a:solidFill>
                          <a:ln w="9525">
                            <a:solidFill>
                              <a:srgbClr val="000000"/>
                            </a:solidFill>
                            <a:miter lim="800000"/>
                            <a:headEnd/>
                            <a:tailEnd/>
                          </a:ln>
                        </wps:spPr>
                        <wps:txbx>
                          <w:txbxContent>
                            <w:p w14:paraId="2A1FEE4F" w14:textId="77777777" w:rsidR="00A720DE" w:rsidRDefault="00A720DE" w:rsidP="00031940">
                              <w:pPr>
                                <w:pStyle w:val="NormalWeb"/>
                              </w:pPr>
                              <w:r>
                                <w:rPr>
                                  <w:rFonts w:eastAsia="Calibri"/>
                                </w:rPr>
                                <w:t>2 dropped before Post Assessment</w:t>
                              </w:r>
                            </w:p>
                            <w:p w14:paraId="2606159B" w14:textId="05B5DBFD" w:rsidR="00A720DE" w:rsidRDefault="00A720DE" w:rsidP="00624E6A">
                              <w:pPr>
                                <w:pStyle w:val="NormalWeb"/>
                                <w:ind w:left="360"/>
                              </w:pPr>
                              <w:r>
                                <w:rPr>
                                  <w:rFonts w:eastAsia="Calibri"/>
                                </w:rPr>
                                <w:t>1 – time commitment objections</w:t>
                              </w:r>
                            </w:p>
                            <w:p w14:paraId="5277AB08" w14:textId="2421F9AE" w:rsidR="00A720DE" w:rsidRDefault="00A720DE" w:rsidP="00624E6A">
                              <w:pPr>
                                <w:pStyle w:val="NormalWeb"/>
                                <w:ind w:left="360"/>
                              </w:pPr>
                              <w:r>
                                <w:rPr>
                                  <w:rFonts w:eastAsia="Calibri"/>
                                </w:rPr>
                                <w:t>1 – unknown reasons</w:t>
                              </w:r>
                            </w:p>
                          </w:txbxContent>
                        </wps:txbx>
                        <wps:bodyPr rot="0" vert="horz" wrap="square" lIns="91440" tIns="45720" rIns="91440" bIns="45720" anchor="t" anchorCtr="0">
                          <a:spAutoFit/>
                        </wps:bodyPr>
                      </wps:wsp>
                      <wps:wsp>
                        <wps:cNvPr id="319" name="Straight Connector 319"/>
                        <wps:cNvCnPr/>
                        <wps:spPr>
                          <a:xfrm>
                            <a:off x="2884768" y="2880360"/>
                            <a:ext cx="914400" cy="0"/>
                          </a:xfrm>
                          <a:prstGeom prst="line">
                            <a:avLst/>
                          </a:prstGeom>
                          <a:noFill/>
                          <a:ln w="6350" cap="flat" cmpd="sng" algn="ctr">
                            <a:solidFill>
                              <a:sysClr val="windowText" lastClr="000000"/>
                            </a:solidFill>
                            <a:prstDash val="solid"/>
                            <a:miter lim="800000"/>
                          </a:ln>
                          <a:effectLst/>
                        </wps:spPr>
                        <wps:bodyPr/>
                      </wps:wsp>
                      <wps:wsp>
                        <wps:cNvPr id="320" name="Straight Connector 320"/>
                        <wps:cNvCnPr/>
                        <wps:spPr>
                          <a:xfrm>
                            <a:off x="2884768" y="3703320"/>
                            <a:ext cx="914400" cy="0"/>
                          </a:xfrm>
                          <a:prstGeom prst="line">
                            <a:avLst/>
                          </a:prstGeom>
                          <a:noFill/>
                          <a:ln w="6350" cap="flat" cmpd="sng" algn="ctr">
                            <a:solidFill>
                              <a:sysClr val="windowText" lastClr="000000"/>
                            </a:solidFill>
                            <a:prstDash val="solid"/>
                            <a:miter lim="800000"/>
                          </a:ln>
                          <a:effectLst/>
                        </wps:spPr>
                        <wps:bodyPr/>
                      </wps:wsp>
                      <wps:wsp>
                        <wps:cNvPr id="321" name="Straight Connector 321"/>
                        <wps:cNvCnPr/>
                        <wps:spPr>
                          <a:xfrm>
                            <a:off x="2896926" y="4681855"/>
                            <a:ext cx="896112" cy="0"/>
                          </a:xfrm>
                          <a:prstGeom prst="line">
                            <a:avLst/>
                          </a:prstGeom>
                          <a:noFill/>
                          <a:ln w="6350" cap="flat" cmpd="sng" algn="ctr">
                            <a:solidFill>
                              <a:sysClr val="windowText" lastClr="000000"/>
                            </a:solidFill>
                            <a:prstDash val="solid"/>
                            <a:miter lim="800000"/>
                          </a:ln>
                          <a:effectLst/>
                        </wps:spPr>
                        <wps:bodyPr/>
                      </wps:wsp>
                    </wpc:wpc>
                  </a:graphicData>
                </a:graphic>
              </wp:inline>
            </w:drawing>
          </mc:Choice>
          <mc:Fallback>
            <w:pict>
              <v:group w14:anchorId="226492E8" id="Canvas 322" o:spid="_x0000_s1026" editas="canvas" style="width:680.15pt;height:512.85pt;mso-position-horizontal-relative:char;mso-position-vertical-relative:line" coordsize="86379,65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6379;height:65131;visibility:visible;mso-wrap-style:square">
                  <v:fill o:detectmouseclick="t"/>
                  <v:path o:connecttype="none"/>
                </v:shape>
                <v:shapetype id="_x0000_t202" coordsize="21600,21600" o:spt="202" path="m,l,21600r21600,l21600,xe">
                  <v:stroke joinstyle="miter"/>
                  <v:path gradientshapeok="t" o:connecttype="rect"/>
                </v:shapetype>
                <v:shape id="Text Box 2" o:spid="_x0000_s1028" type="#_x0000_t202" style="position:absolute;left:37461;top:4571;width:13716;height: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" filled="f">
                  <v:textbox style="mso-fit-shape-to-text:t">
                    <w:txbxContent>
                      <w:p w14:paraId="4EC51655" w14:textId="77777777" w:rsidR="00A720DE" w:rsidRDefault="00A720DE" w:rsidP="00031940">
                        <w:pPr>
                          <w:pStyle w:val="NormalWeb"/>
                          <w:jc w:val="center"/>
                        </w:pPr>
                        <w:r>
                          <w:rPr>
                            <w:rFonts w:eastAsia="Calibri"/>
                          </w:rPr>
                          <w:t>271 Phone Screens</w:t>
                        </w:r>
                      </w:p>
                    </w:txbxContent>
                  </v:textbox>
                </v:shape>
                <v:shape id="Text Box 2" o:spid="_x0000_s1029" type="#_x0000_t202" style="position:absolute;left:45818;top:39120;width:10973;height:6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" filled="f">
                  <v:textbox>
                    <w:txbxContent>
                      <w:p w14:paraId="061E2CB7" w14:textId="345243E7" w:rsidR="00A720DE" w:rsidRDefault="00A720DE" w:rsidP="00031940">
                        <w:pPr>
                          <w:pStyle w:val="NormalWeb"/>
                          <w:jc w:val="center"/>
                        </w:pPr>
                        <w:r>
                          <w:rPr>
                            <w:rFonts w:eastAsia="Calibri"/>
                          </w:rPr>
                          <w:t>42 Completed Mid Assessment</w:t>
                        </w:r>
                      </w:p>
                    </w:txbxContent>
                  </v:textbox>
                </v:shape>
                <v:shape id="Text Box 2" o:spid="_x0000_s1030" type="#_x0000_t202" style="position:absolute;left:45799;top:30905;width:10972;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" filled="f">
                  <v:textbox>
                    <w:txbxContent>
                      <w:p w14:paraId="54F01EA9" w14:textId="5FEB2980" w:rsidR="00A720DE" w:rsidRDefault="00A720DE" w:rsidP="00031940">
                        <w:pPr>
                          <w:pStyle w:val="NormalWeb"/>
                          <w:jc w:val="center"/>
                        </w:pPr>
                        <w:r>
                          <w:rPr>
                            <w:rFonts w:eastAsia="Calibri"/>
                          </w:rPr>
                          <w:t>42 Completed Session 1</w:t>
                        </w:r>
                      </w:p>
                    </w:txbxContent>
                  </v:textbox>
                </v:shape>
                <v:shape id="Text Box 2" o:spid="_x0000_s1031" type="#_x0000_t202" style="position:absolute;left:32889;top:30905;width:10973;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" filled="f">
                  <v:textbox>
                    <w:txbxContent>
                      <w:p w14:paraId="7A19446F" w14:textId="394DAE80" w:rsidR="00A720DE" w:rsidRDefault="00A720DE" w:rsidP="00031940">
                        <w:pPr>
                          <w:pStyle w:val="NormalWeb"/>
                          <w:jc w:val="center"/>
                        </w:pPr>
                        <w:r>
                          <w:rPr>
                            <w:rFonts w:eastAsia="Calibri"/>
                          </w:rPr>
                          <w:t>40 Completed Session 1</w:t>
                        </w:r>
                      </w:p>
                    </w:txbxContent>
                  </v:textbox>
                </v:shape>
                <v:shape id="Text Box 2" o:spid="_x0000_s1032" type="#_x0000_t202" style="position:absolute;left:45856;top:22675;width:10058;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" filled="f">
                  <v:textbox>
                    <w:txbxContent>
                      <w:p w14:paraId="199FA5F3" w14:textId="133888DB" w:rsidR="00A720DE" w:rsidRDefault="00A720DE" w:rsidP="00031940">
                        <w:pPr>
                          <w:pStyle w:val="NormalWeb"/>
                          <w:jc w:val="center"/>
                        </w:pPr>
                        <w:r>
                          <w:rPr>
                            <w:rFonts w:eastAsia="Calibri"/>
                          </w:rPr>
                          <w:t>43 Assigned AEBT-TTM</w:t>
                        </w:r>
                      </w:p>
                    </w:txbxContent>
                  </v:textbox>
                </v:shape>
                <v:shape id="Text Box 2" o:spid="_x0000_s1033" type="#_x0000_t202" style="position:absolute;left:32959;top:22675;width:10058;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" filled="f">
                  <v:textbox>
                    <w:txbxContent>
                      <w:p w14:paraId="60A9038B" w14:textId="77777777" w:rsidR="00A720DE" w:rsidRDefault="00A720DE" w:rsidP="00031940">
                        <w:pPr>
                          <w:pStyle w:val="NormalWeb"/>
                          <w:jc w:val="center"/>
                        </w:pPr>
                        <w:r>
                          <w:rPr>
                            <w:rFonts w:eastAsia="Calibri"/>
                          </w:rPr>
                          <w:t>42 Assigned PST</w:t>
                        </w:r>
                      </w:p>
                    </w:txbxContent>
                  </v:textbox>
                </v:shape>
                <v:shape id="Text Box 2" o:spid="_x0000_s1034" type="#_x0000_t202" style="position:absolute;left:37461;top:10242;width:13716;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" filled="f">
                  <v:textbox style="mso-fit-shape-to-text:t">
                    <w:txbxContent>
                      <w:p w14:paraId="645E2900" w14:textId="77777777" w:rsidR="00A720DE" w:rsidRDefault="00A720DE" w:rsidP="00031940">
                        <w:pPr>
                          <w:pStyle w:val="NormalWeb"/>
                          <w:jc w:val="center"/>
                        </w:pPr>
                        <w:r>
                          <w:rPr>
                            <w:rFonts w:eastAsia="Calibri"/>
                          </w:rPr>
                          <w:t>117 Screened</w:t>
                        </w:r>
                      </w:p>
                    </w:txbxContent>
                  </v:textbox>
                </v:shape>
                <v:shape id="Text Box 2" o:spid="_x0000_s1035" type="#_x0000_t202" style="position:absolute;left:32908;top:39120;width:10973;height:6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" filled="f">
                  <v:textbox>
                    <w:txbxContent>
                      <w:p w14:paraId="4282D5C8" w14:textId="04F77806" w:rsidR="00A720DE" w:rsidRDefault="00A720DE" w:rsidP="00031940">
                        <w:pPr>
                          <w:pStyle w:val="NormalWeb"/>
                          <w:jc w:val="center"/>
                        </w:pPr>
                        <w:r>
                          <w:rPr>
                            <w:rFonts w:eastAsia="Calibri"/>
                          </w:rPr>
                          <w:t>36 Completed Mid Assessment</w:t>
                        </w:r>
                      </w:p>
                    </w:txbxContent>
                  </v:textbox>
                </v:shape>
                <v:shape id="Text Box 2" o:spid="_x0000_s1036" type="#_x0000_t202" style="position:absolute;left:37461;top:15912;width:13716;height: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" filled="f">
                  <v:textbox style="mso-fit-shape-to-text:t">
                    <w:txbxContent>
                      <w:p w14:paraId="121BE68F" w14:textId="77777777" w:rsidR="00A720DE" w:rsidRDefault="00A720DE" w:rsidP="00031940">
                        <w:pPr>
                          <w:pStyle w:val="NormalWeb"/>
                          <w:jc w:val="center"/>
                        </w:pPr>
                        <w:r>
                          <w:rPr>
                            <w:rFonts w:eastAsia="Calibri"/>
                          </w:rPr>
                          <w:t>85 Randomized</w:t>
                        </w:r>
                      </w:p>
                    </w:txbxContent>
                  </v:textbox>
                </v:shape>
                <v:shape id="Text Box 2" o:spid="_x0000_s1037" type="#_x0000_t202" style="position:absolute;left:32851;top:48654;width:10973;height:6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" filled="f">
                  <v:textbox>
                    <w:txbxContent>
                      <w:p w14:paraId="732A0E3D" w14:textId="2CC0B895" w:rsidR="00A720DE" w:rsidRDefault="00A720DE" w:rsidP="00031940">
                        <w:pPr>
                          <w:pStyle w:val="NormalWeb"/>
                          <w:jc w:val="center"/>
                        </w:pPr>
                        <w:r>
                          <w:rPr>
                            <w:rFonts w:eastAsia="Calibri"/>
                          </w:rPr>
                          <w:t>35 Completed Post Assessment</w:t>
                        </w:r>
                      </w:p>
                    </w:txbxContent>
                  </v:textbox>
                </v:shape>
                <v:shape id="Text Box 2" o:spid="_x0000_s1038" type="#_x0000_t202" style="position:absolute;left:45856;top:48648;width:10973;height:6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" filled="f">
                  <v:textbox>
                    <w:txbxContent>
                      <w:p w14:paraId="25D5F3BD" w14:textId="6F5D4B08" w:rsidR="00A720DE" w:rsidRDefault="00A720DE" w:rsidP="00031940">
                        <w:pPr>
                          <w:pStyle w:val="NormalWeb"/>
                          <w:jc w:val="center"/>
                        </w:pPr>
                        <w:r>
                          <w:rPr>
                            <w:rFonts w:eastAsia="Calibri"/>
                          </w:rPr>
                          <w:t>34 Completed Post Assessment</w:t>
                        </w:r>
                      </w:p>
                    </w:txbxContent>
                  </v:textbox>
                </v:shape>
                <v:shapetype id="_x0000_t32" coordsize="21600,21600" o:spt="32" o:oned="t" path="m,l21600,21600e" filled="f">
                  <v:path arrowok="t" fillok="f" o:connecttype="none"/>
                  <o:lock v:ext="edit" shapetype="t"/>
                </v:shapetype>
                <v:shape id="Straight Arrow Connector 26" o:spid="_x0000_s1039" type="#_x0000_t32" style="position:absolute;left:44319;top:7315;width:0;height:29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" strokecolor="windowText" strokeweight=".5pt">
                  <v:stroke endarrow="block" joinstyle="miter"/>
                </v:shape>
                <v:shape id="Straight Arrow Connector 27" o:spid="_x0000_s1040" type="#_x0000_t32" style="position:absolute;left:44319;top:12985;width:0;height:30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" strokecolor="windowText" strokeweight=".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28" o:spid="_x0000_s1041" type="#_x0000_t34" style="position:absolute;left:39199;top:17462;width:3932;height:6309;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" strokecolor="windowText" strokeweight=".5pt">
                  <v:stroke endarrow="block"/>
                </v:shape>
                <v:shape id="Connector: Elbow 29" o:spid="_x0000_s1042" type="#_x0000_t34" style="position:absolute;left:45645;top:17378;width:3932;height:6584;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" strokecolor="windowText" strokeweight=".5pt">
                  <v:stroke endarrow="block"/>
                </v:shape>
                <v:shape id="Straight Arrow Connector 30" o:spid="_x0000_s1043" type="#_x0000_t32" style="position:absolute;left:37918;top:27247;width:92;height:365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" strokecolor="windowText" strokeweight=".5pt">
                  <v:stroke endarrow="block" joinstyle="miter"/>
                </v:shape>
                <v:shape id="Straight Arrow Connector 31" o:spid="_x0000_s1044" type="#_x0000_t32" style="position:absolute;left:50828;top:27247;width:91;height:365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" strokecolor="windowText" strokeweight=".5pt">
                  <v:stroke endarrow="block" joinstyle="miter"/>
                </v:shape>
                <v:shape id="Straight Arrow Connector 288" o:spid="_x0000_s1045" type="#_x0000_t32" style="position:absolute;left:37937;top:35477;width:92;height:365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" strokecolor="windowText" strokeweight=".5pt">
                  <v:stroke endarrow="block" joinstyle="miter"/>
                </v:shape>
                <v:shape id="Straight Arrow Connector 289" o:spid="_x0000_s1046" type="#_x0000_t32" style="position:absolute;left:50828;top:35477;width:0;height:36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" strokecolor="windowText" strokeweight=".5pt">
                  <v:stroke endarrow="block" joinstyle="miter"/>
                </v:shape>
                <v:shape id="Straight Arrow Connector 290" o:spid="_x0000_s1047" type="#_x0000_t32" style="position:absolute;left:37880;top:45521;width:57;height:313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" strokecolor="windowText" strokeweight=".5pt">
                  <v:stroke endarrow="block" joinstyle="miter"/>
                </v:shape>
                <v:shape id="Straight Arrow Connector 291" o:spid="_x0000_s1048" type="#_x0000_t32" style="position:absolute;left:50847;top:45521;width:38;height:31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" strokecolor="windowText" strokeweight=".5pt">
                  <v:stroke endarrow="block" joinstyle="miter"/>
                </v:shape>
                <v:shape id="Text Box 2" o:spid="_x0000_s1049" type="#_x0000_t202" style="position:absolute;left:60756;top:703;width:25623;height:25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" strokecolor="windowText">
                  <v:textbox style="mso-fit-shape-to-text:t">
                    <w:txbxContent>
                      <w:p w14:paraId="6DD67D91" w14:textId="4B8696FE" w:rsidR="00A720DE" w:rsidRDefault="00A720DE" w:rsidP="00031940">
                        <w:pPr>
                          <w:pStyle w:val="NormalWeb"/>
                        </w:pPr>
                        <w:r>
                          <w:rPr>
                            <w:rFonts w:eastAsia="Calibri"/>
                          </w:rPr>
                          <w:t>20 were ineligible at Screen</w:t>
                        </w:r>
                      </w:p>
                      <w:p w14:paraId="589C24B3" w14:textId="6F220571" w:rsidR="00A720DE" w:rsidRDefault="00A720DE" w:rsidP="00624E6A">
                        <w:pPr>
                          <w:pStyle w:val="NormalWeb"/>
                          <w:ind w:left="360"/>
                        </w:pPr>
                        <w:r>
                          <w:rPr>
                            <w:rFonts w:eastAsia="Calibri"/>
                          </w:rPr>
                          <w:t>13 – below minimum TTM severity</w:t>
                        </w:r>
                      </w:p>
                      <w:p w14:paraId="7938DF22" w14:textId="15350C94" w:rsidR="00A720DE" w:rsidRDefault="00A720DE" w:rsidP="00624E6A">
                        <w:pPr>
                          <w:pStyle w:val="NormalWeb"/>
                          <w:ind w:left="360"/>
                        </w:pPr>
                        <w:r>
                          <w:rPr>
                            <w:rFonts w:eastAsia="Calibri"/>
                          </w:rPr>
                          <w:t xml:space="preserve">5 – no TTM diagnosis </w:t>
                        </w:r>
                      </w:p>
                      <w:p w14:paraId="15D52213" w14:textId="6BAD1748" w:rsidR="00A720DE" w:rsidRDefault="00A720DE" w:rsidP="00624E6A">
                        <w:pPr>
                          <w:pStyle w:val="NormalWeb"/>
                          <w:ind w:left="360"/>
                        </w:pPr>
                        <w:r>
                          <w:rPr>
                            <w:rFonts w:eastAsia="Calibri"/>
                          </w:rPr>
                          <w:t>1 – below minimum IQ</w:t>
                        </w:r>
                      </w:p>
                      <w:p w14:paraId="2C88FD28" w14:textId="7002583B" w:rsidR="00A720DE" w:rsidRDefault="00A720DE" w:rsidP="00624E6A">
                        <w:pPr>
                          <w:pStyle w:val="NormalWeb"/>
                          <w:ind w:left="360"/>
                        </w:pPr>
                        <w:r>
                          <w:rPr>
                            <w:rFonts w:eastAsia="Calibri"/>
                          </w:rPr>
                          <w:t>1 – primary skin picking</w:t>
                        </w:r>
                      </w:p>
                      <w:p w14:paraId="1E64C199" w14:textId="2F304F4D" w:rsidR="00A720DE" w:rsidRDefault="00A720DE" w:rsidP="00031940">
                        <w:pPr>
                          <w:pStyle w:val="NormalWeb"/>
                        </w:pPr>
                        <w:r>
                          <w:rPr>
                            <w:rFonts w:eastAsia="Calibri"/>
                          </w:rPr>
                          <w:t>6 dropped before Baseline</w:t>
                        </w:r>
                      </w:p>
                      <w:p w14:paraId="1A63CACC" w14:textId="682FFF51" w:rsidR="00A720DE" w:rsidRDefault="00A720DE" w:rsidP="00624E6A">
                        <w:pPr>
                          <w:pStyle w:val="NormalWeb"/>
                          <w:ind w:firstLine="360"/>
                        </w:pPr>
                        <w:r>
                          <w:rPr>
                            <w:rFonts w:eastAsia="Calibri"/>
                          </w:rPr>
                          <w:t>2 – lost contact</w:t>
                        </w:r>
                      </w:p>
                      <w:p w14:paraId="0167C124" w14:textId="189638CA" w:rsidR="00A720DE" w:rsidRDefault="00A720DE" w:rsidP="00624E6A">
                        <w:pPr>
                          <w:pStyle w:val="NormalWeb"/>
                          <w:ind w:firstLine="360"/>
                        </w:pPr>
                        <w:r>
                          <w:rPr>
                            <w:rFonts w:eastAsia="Calibri"/>
                          </w:rPr>
                          <w:t>4 – unknown reasons</w:t>
                        </w:r>
                      </w:p>
                      <w:p w14:paraId="04692B11" w14:textId="6B5F0607" w:rsidR="00A720DE" w:rsidRDefault="00A720DE" w:rsidP="00031940">
                        <w:pPr>
                          <w:pStyle w:val="NormalWeb"/>
                        </w:pPr>
                        <w:r>
                          <w:rPr>
                            <w:rFonts w:eastAsia="Calibri"/>
                          </w:rPr>
                          <w:t>6 received Baseline, not randomized</w:t>
                        </w:r>
                      </w:p>
                      <w:p w14:paraId="51A5EC5D" w14:textId="37771834" w:rsidR="00A720DE" w:rsidRDefault="00A720DE" w:rsidP="00624E6A">
                        <w:pPr>
                          <w:pStyle w:val="NormalWeb"/>
                          <w:ind w:left="360"/>
                        </w:pPr>
                        <w:r>
                          <w:rPr>
                            <w:rFonts w:eastAsia="Calibri"/>
                          </w:rPr>
                          <w:t>1 – lost contact</w:t>
                        </w:r>
                      </w:p>
                      <w:p w14:paraId="6569922B" w14:textId="6EE85ED3" w:rsidR="00A720DE" w:rsidRDefault="00A720DE" w:rsidP="00624E6A">
                        <w:pPr>
                          <w:pStyle w:val="NormalWeb"/>
                          <w:ind w:left="360"/>
                        </w:pPr>
                        <w:r>
                          <w:rPr>
                            <w:rFonts w:eastAsia="Calibri"/>
                          </w:rPr>
                          <w:t>1 – training case</w:t>
                        </w:r>
                      </w:p>
                      <w:p w14:paraId="1E19692B" w14:textId="054D60AD" w:rsidR="00A720DE" w:rsidRDefault="00A720DE" w:rsidP="00624E6A">
                        <w:pPr>
                          <w:pStyle w:val="NormalWeb"/>
                          <w:ind w:left="360"/>
                        </w:pPr>
                        <w:r>
                          <w:rPr>
                            <w:rFonts w:eastAsia="Calibri"/>
                          </w:rPr>
                          <w:t>1 – primary mood disorder</w:t>
                        </w:r>
                      </w:p>
                      <w:p w14:paraId="4FE45F87" w14:textId="1E2E3A11" w:rsidR="00A720DE" w:rsidRDefault="00A720DE" w:rsidP="00624E6A">
                        <w:pPr>
                          <w:pStyle w:val="NormalWeb"/>
                          <w:ind w:left="360"/>
                        </w:pPr>
                        <w:r>
                          <w:rPr>
                            <w:rFonts w:eastAsia="Calibri"/>
                          </w:rPr>
                          <w:t>3 – unknown</w:t>
                        </w:r>
                      </w:p>
                    </w:txbxContent>
                  </v:textbox>
                </v:shape>
                <v:shape id="Text Box 2" o:spid="_x0000_s1050" type="#_x0000_t202" style="position:absolute;left:60731;top:27786;width:24682;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" strokecolor="windowText">
                  <v:textbox style="mso-fit-shape-to-text:t">
                    <w:txbxContent>
                      <w:p w14:paraId="13187C3C" w14:textId="3EA0ED68" w:rsidR="00A720DE" w:rsidRDefault="00A720DE" w:rsidP="00031940">
                        <w:pPr>
                          <w:pStyle w:val="NormalWeb"/>
                        </w:pPr>
                        <w:r>
                          <w:rPr>
                            <w:rFonts w:eastAsia="Calibri"/>
                          </w:rPr>
                          <w:t>1 dropped for unknown reasons</w:t>
                        </w:r>
                      </w:p>
                    </w:txbxContent>
                  </v:textbox>
                </v:shape>
                <v:shape id="Text Box 2" o:spid="_x0000_s1051" type="#_x0000_t202" style="position:absolute;left:60738;top:42062;width:24688;height:8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" strokecolor="windowText">
                  <v:textbox style="mso-fit-shape-to-text:t">
                    <w:txbxContent>
                      <w:p w14:paraId="42D577A4" w14:textId="77777777" w:rsidR="00A720DE" w:rsidRDefault="00A720DE" w:rsidP="00031940">
                        <w:pPr>
                          <w:pStyle w:val="NormalWeb"/>
                        </w:pPr>
                        <w:r>
                          <w:rPr>
                            <w:rFonts w:eastAsia="Calibri"/>
                          </w:rPr>
                          <w:t>8 dropped before Post Assessment</w:t>
                        </w:r>
                      </w:p>
                      <w:p w14:paraId="125BA965" w14:textId="4F466163" w:rsidR="00A720DE" w:rsidRDefault="00A720DE" w:rsidP="00624E6A">
                        <w:pPr>
                          <w:pStyle w:val="NormalWeb"/>
                          <w:ind w:left="360"/>
                        </w:pPr>
                        <w:r>
                          <w:rPr>
                            <w:rFonts w:eastAsia="Calibri"/>
                          </w:rPr>
                          <w:t>2 – lost contact</w:t>
                        </w:r>
                      </w:p>
                      <w:p w14:paraId="617E40DC" w14:textId="23CB643C" w:rsidR="00A720DE" w:rsidRDefault="00A720DE" w:rsidP="00624E6A">
                        <w:pPr>
                          <w:pStyle w:val="NormalWeb"/>
                          <w:ind w:left="360"/>
                        </w:pPr>
                        <w:r>
                          <w:rPr>
                            <w:rFonts w:eastAsia="Calibri"/>
                          </w:rPr>
                          <w:t>5 – time commitment</w:t>
                        </w:r>
                      </w:p>
                      <w:p w14:paraId="438B2877" w14:textId="0A6AD89B" w:rsidR="00A720DE" w:rsidRDefault="00A720DE" w:rsidP="00624E6A">
                        <w:pPr>
                          <w:pStyle w:val="NormalWeb"/>
                          <w:ind w:left="360"/>
                        </w:pPr>
                        <w:r>
                          <w:rPr>
                            <w:rFonts w:eastAsia="Calibri"/>
                          </w:rPr>
                          <w:t>1 – unknown reasons</w:t>
                        </w:r>
                      </w:p>
                    </w:txbxContent>
                  </v:textbox>
                </v:shape>
                <v:line id="Straight Connector 303" o:spid="_x0000_s1052" style="position:absolute;visibility:visible;mso-wrap-style:square" from="44380,14630" to="60748,14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" strokecolor="windowText" strokeweight=".5pt">
                  <v:stroke joinstyle="miter"/>
                </v:line>
                <v:line id="Straight Connector 304" o:spid="_x0000_s1053" style="position:absolute;visibility:visible;mso-wrap-style:square" from="51048,28803" to="60740,288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" strokecolor="windowText" strokeweight=".5pt">
                  <v:stroke joinstyle="miter"/>
                </v:line>
                <v:line id="Straight Connector 309" o:spid="_x0000_s1054" style="position:absolute;visibility:visible;mso-wrap-style:square" from="51048,46818" to="60740,46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" strokecolor="windowText" strokeweight=".5pt">
                  <v:stroke joinstyle="miter"/>
                </v:line>
                <v:shape id="Text Box 2" o:spid="_x0000_s1055" type="#_x0000_t202" style="position:absolute;left:4158;top:25234;width:24689;height:8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">
                  <v:textbox style="mso-fit-shape-to-text:t">
                    <w:txbxContent>
                      <w:p w14:paraId="0EBA62E9" w14:textId="77777777" w:rsidR="00A720DE" w:rsidRDefault="00A720DE" w:rsidP="00031940">
                        <w:pPr>
                          <w:pStyle w:val="NormalWeb"/>
                        </w:pPr>
                        <w:r>
                          <w:rPr>
                            <w:rFonts w:eastAsia="Calibri"/>
                          </w:rPr>
                          <w:t>2 dropped before session 1</w:t>
                        </w:r>
                      </w:p>
                      <w:p w14:paraId="1F712EC2" w14:textId="4D19BF6A" w:rsidR="00A720DE" w:rsidRDefault="00A720DE" w:rsidP="00624E6A">
                        <w:pPr>
                          <w:pStyle w:val="NormalWeb"/>
                          <w:ind w:left="360"/>
                        </w:pPr>
                        <w:r>
                          <w:rPr>
                            <w:rFonts w:eastAsia="Calibri"/>
                          </w:rPr>
                          <w:t>1 – treatment assignment objections</w:t>
                        </w:r>
                      </w:p>
                      <w:p w14:paraId="541B7F19" w14:textId="368046AB" w:rsidR="00A720DE" w:rsidRDefault="00A720DE" w:rsidP="00624E6A">
                        <w:pPr>
                          <w:pStyle w:val="NormalWeb"/>
                          <w:ind w:left="547" w:hanging="187"/>
                        </w:pPr>
                        <w:r>
                          <w:rPr>
                            <w:rFonts w:eastAsia="Calibri"/>
                          </w:rPr>
                          <w:t>1 – unknown reasons</w:t>
                        </w:r>
                      </w:p>
                    </w:txbxContent>
                  </v:textbox>
                </v:shape>
                <v:shape id="Text Box 2" o:spid="_x0000_s1056" type="#_x0000_t202" style="position:absolute;left:4114;top:34480;width:24689;height:9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">
                  <v:textbox style="mso-fit-shape-to-text:t">
                    <w:txbxContent>
                      <w:p w14:paraId="008562DD" w14:textId="77777777" w:rsidR="00A720DE" w:rsidRDefault="00A720DE" w:rsidP="00031940">
                        <w:pPr>
                          <w:pStyle w:val="NormalWeb"/>
                        </w:pPr>
                        <w:r>
                          <w:rPr>
                            <w:rFonts w:eastAsia="Calibri"/>
                          </w:rPr>
                          <w:t>3 dropped before Mid Assessment</w:t>
                        </w:r>
                      </w:p>
                      <w:p w14:paraId="182E6FE2" w14:textId="7F06619A" w:rsidR="00A720DE" w:rsidRDefault="00A720DE" w:rsidP="00624E6A">
                        <w:pPr>
                          <w:pStyle w:val="NormalWeb"/>
                          <w:ind w:firstLine="360"/>
                        </w:pPr>
                        <w:r>
                          <w:rPr>
                            <w:rFonts w:eastAsia="Calibri"/>
                          </w:rPr>
                          <w:t>1 – lost contact</w:t>
                        </w:r>
                      </w:p>
                      <w:p w14:paraId="48870266" w14:textId="235D49A0" w:rsidR="00A720DE" w:rsidRDefault="00A720DE" w:rsidP="00624E6A">
                        <w:pPr>
                          <w:pStyle w:val="NormalWeb"/>
                          <w:ind w:firstLine="360"/>
                        </w:pPr>
                        <w:r>
                          <w:rPr>
                            <w:rFonts w:eastAsia="Calibri"/>
                          </w:rPr>
                          <w:t>1 – time commitment objections</w:t>
                        </w:r>
                      </w:p>
                      <w:p w14:paraId="7E73EB77" w14:textId="04FA1C18" w:rsidR="00A720DE" w:rsidRDefault="00A720DE" w:rsidP="00624E6A">
                        <w:pPr>
                          <w:pStyle w:val="NormalWeb"/>
                          <w:ind w:firstLine="360"/>
                        </w:pPr>
                        <w:r>
                          <w:rPr>
                            <w:rFonts w:eastAsia="Calibri"/>
                          </w:rPr>
                          <w:t>1 – unknown reasons</w:t>
                        </w:r>
                      </w:p>
                      <w:p w14:paraId="401D25AC" w14:textId="77777777" w:rsidR="00A720DE" w:rsidRDefault="00A720DE" w:rsidP="00031940">
                        <w:pPr>
                          <w:pStyle w:val="NormalWeb"/>
                        </w:pPr>
                        <w:r>
                          <w:rPr>
                            <w:rFonts w:eastAsia="Calibri"/>
                          </w:rPr>
                          <w:t>1 skipped Mid Assessment</w:t>
                        </w:r>
                      </w:p>
                    </w:txbxContent>
                  </v:textbox>
                </v:shape>
                <v:shape id="Text Box 2" o:spid="_x0000_s1057" type="#_x0000_t202" style="position:absolute;left:4158;top:45515;width:24689;height:6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">
                  <v:textbox style="mso-fit-shape-to-text:t">
                    <w:txbxContent>
                      <w:p w14:paraId="2A1FEE4F" w14:textId="77777777" w:rsidR="00A720DE" w:rsidRDefault="00A720DE" w:rsidP="00031940">
                        <w:pPr>
                          <w:pStyle w:val="NormalWeb"/>
                        </w:pPr>
                        <w:r>
                          <w:rPr>
                            <w:rFonts w:eastAsia="Calibri"/>
                          </w:rPr>
                          <w:t>2 dropped before Post Assessment</w:t>
                        </w:r>
                      </w:p>
                      <w:p w14:paraId="2606159B" w14:textId="05B5DBFD" w:rsidR="00A720DE" w:rsidRDefault="00A720DE" w:rsidP="00624E6A">
                        <w:pPr>
                          <w:pStyle w:val="NormalWeb"/>
                          <w:ind w:left="360"/>
                        </w:pPr>
                        <w:r>
                          <w:rPr>
                            <w:rFonts w:eastAsia="Calibri"/>
                          </w:rPr>
                          <w:t>1 – time commitment objections</w:t>
                        </w:r>
                      </w:p>
                      <w:p w14:paraId="5277AB08" w14:textId="2421F9AE" w:rsidR="00A720DE" w:rsidRDefault="00A720DE" w:rsidP="00624E6A">
                        <w:pPr>
                          <w:pStyle w:val="NormalWeb"/>
                          <w:ind w:left="360"/>
                        </w:pPr>
                        <w:r>
                          <w:rPr>
                            <w:rFonts w:eastAsia="Calibri"/>
                          </w:rPr>
                          <w:t>1 – unknown reasons</w:t>
                        </w:r>
                      </w:p>
                    </w:txbxContent>
                  </v:textbox>
                </v:shape>
                <v:line id="Straight Connector 319" o:spid="_x0000_s1058" style="position:absolute;visibility:visible;mso-wrap-style:square" from="28847,28803" to="37991,288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" strokecolor="windowText" strokeweight=".5pt">
                  <v:stroke joinstyle="miter"/>
                </v:line>
                <v:line id="Straight Connector 320" o:spid="_x0000_s1059" style="position:absolute;visibility:visible;mso-wrap-style:square" from="28847,37033" to="37991,370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" strokecolor="windowText" strokeweight=".5pt">
                  <v:stroke joinstyle="miter"/>
                </v:line>
                <v:line id="Straight Connector 321" o:spid="_x0000_s1060" style="position:absolute;visibility:visible;mso-wrap-style:square" from="28969,46818" to="37930,46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" strokecolor="windowText" strokeweight=".5pt">
                  <v:stroke joinstyle="miter"/>
                </v:line>
                <w10:anchorlock/>
              </v:group>
            </w:pict>
          </mc:Fallback>
        </mc:AlternateContent>
      </w:r>
    </w:p>
    <w:p w14:paraId="471CB378" w14:textId="77777777" w:rsidR="00AD3CC7" w:rsidRDefault="00AD3CC7" w:rsidP="00CF2EEA">
      <w:pPr>
        <w:widowControl w:val="0"/>
        <w:rPr>
          <w:rFonts w:eastAsia="Times New Roman" w:cs="Times New Roman"/>
          <w:i/>
          <w:szCs w:val="24"/>
        </w:rPr>
      </w:pPr>
    </w:p>
    <w:p w14:paraId="3CFA7AEC" w14:textId="6B3FB86B" w:rsidR="00A359E2" w:rsidRPr="004D6BD4" w:rsidRDefault="008E6E3F" w:rsidP="00CF2EEA">
      <w:pPr>
        <w:widowControl w:val="0"/>
        <w:rPr>
          <w:rFonts w:eastAsia="Times New Roman" w:cs="Times New Roman"/>
          <w:b/>
          <w:szCs w:val="24"/>
        </w:rPr>
      </w:pPr>
      <w:r w:rsidRPr="00596E38">
        <w:rPr>
          <w:rFonts w:eastAsia="Times New Roman" w:cs="Times New Roman"/>
          <w:i/>
          <w:szCs w:val="24"/>
        </w:rPr>
        <w:t>Figure 1.</w:t>
      </w:r>
      <w:r w:rsidR="00E60A45" w:rsidRPr="00596E38">
        <w:rPr>
          <w:rFonts w:eastAsia="Times New Roman" w:cs="Times New Roman"/>
          <w:szCs w:val="24"/>
        </w:rPr>
        <w:t xml:space="preserve"> C</w:t>
      </w:r>
      <w:r w:rsidR="00A34485">
        <w:rPr>
          <w:rFonts w:eastAsia="Times New Roman" w:cs="Times New Roman"/>
          <w:szCs w:val="24"/>
        </w:rPr>
        <w:t>ONSORT</w:t>
      </w:r>
      <w:r w:rsidR="00E60A45" w:rsidRPr="00596E38">
        <w:rPr>
          <w:rFonts w:eastAsia="Times New Roman" w:cs="Times New Roman"/>
          <w:szCs w:val="24"/>
        </w:rPr>
        <w:t xml:space="preserve"> Diagram</w:t>
      </w:r>
      <w:r w:rsidR="00596E38" w:rsidRPr="00596E38">
        <w:rPr>
          <w:rFonts w:eastAsia="Times New Roman" w:cs="Times New Roman"/>
          <w:szCs w:val="24"/>
        </w:rPr>
        <w:t>. This figure illustrates participant flow throughout the course of the study.</w:t>
      </w:r>
    </w:p>
    <w:sectPr w:rsidR="00A359E2" w:rsidRPr="004D6BD4" w:rsidSect="00AD3CC7">
      <w:headerReference w:type="default" r:id="rId30"/>
      <w:headerReference w:type="first" r:id="rId31"/>
      <w:pgSz w:w="15840" w:h="12240" w:orient="landscape"/>
      <w:pgMar w:top="360" w:right="720" w:bottom="72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4864A" w14:textId="77777777" w:rsidR="00EE55BF" w:rsidRDefault="00EE55BF" w:rsidP="00A222CE">
      <w:r>
        <w:separator/>
      </w:r>
    </w:p>
  </w:endnote>
  <w:endnote w:type="continuationSeparator" w:id="0">
    <w:p w14:paraId="0263069C" w14:textId="77777777" w:rsidR="00EE55BF" w:rsidRDefault="00EE55BF" w:rsidP="00A222CE">
      <w:r>
        <w:continuationSeparator/>
      </w:r>
    </w:p>
  </w:endnote>
  <w:endnote w:type="continuationNotice" w:id="1">
    <w:p w14:paraId="47873B27" w14:textId="77777777" w:rsidR="00EE55BF" w:rsidRDefault="00EE55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119BF" w14:textId="77777777" w:rsidR="00EE55BF" w:rsidRDefault="00EE55BF" w:rsidP="00A222CE">
      <w:r>
        <w:separator/>
      </w:r>
    </w:p>
  </w:footnote>
  <w:footnote w:type="continuationSeparator" w:id="0">
    <w:p w14:paraId="586F0719" w14:textId="77777777" w:rsidR="00EE55BF" w:rsidRDefault="00EE55BF" w:rsidP="00A222CE">
      <w:r>
        <w:continuationSeparator/>
      </w:r>
    </w:p>
  </w:footnote>
  <w:footnote w:type="continuationNotice" w:id="1">
    <w:p w14:paraId="06A06C1A" w14:textId="77777777" w:rsidR="00EE55BF" w:rsidRDefault="00EE55BF"/>
  </w:footnote>
  <w:footnote w:id="2">
    <w:p w14:paraId="61C12FF4" w14:textId="1FB49CCA" w:rsidR="000D20B8" w:rsidRDefault="000D20B8">
      <w:pPr>
        <w:pStyle w:val="FootnoteText"/>
      </w:pPr>
      <w:r>
        <w:rPr>
          <w:rStyle w:val="FootnoteReference"/>
        </w:rPr>
        <w:footnoteRef/>
      </w:r>
      <w:r>
        <w:t xml:space="preserve"> Abbreviations Footnote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836370"/>
      <w:docPartObj>
        <w:docPartGallery w:val="Page Numbers (Top of Page)"/>
        <w:docPartUnique/>
      </w:docPartObj>
    </w:sdtPr>
    <w:sdtEndPr>
      <w:rPr>
        <w:noProof/>
      </w:rPr>
    </w:sdtEndPr>
    <w:sdtContent>
      <w:p w14:paraId="0A891BAD" w14:textId="6416802B" w:rsidR="00A720DE" w:rsidRDefault="00A720DE" w:rsidP="00145450">
        <w:pPr>
          <w:pStyle w:val="Header"/>
          <w:jc w:val="right"/>
        </w:pPr>
        <w:r>
          <w:t xml:space="preserve">RCT TESTING AEBT-TTM IN ADULTS </w:t>
        </w:r>
        <w:r>
          <w:tab/>
        </w:r>
        <w:r>
          <w:tab/>
        </w:r>
        <w:r>
          <w:fldChar w:fldCharType="begin"/>
        </w:r>
        <w:r>
          <w:instrText xml:space="preserve"> PAGE   \* MERGEFORMAT </w:instrText>
        </w:r>
        <w:r>
          <w:fldChar w:fldCharType="separate"/>
        </w:r>
        <w:r w:rsidR="00057443">
          <w:rPr>
            <w:noProof/>
          </w:rPr>
          <w:t>19</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9B6EF" w14:textId="1292CFB5" w:rsidR="00A720DE" w:rsidRDefault="00A720DE">
    <w:pPr>
      <w:pStyle w:val="Header"/>
    </w:pPr>
    <w:r>
      <w:t>Running head: RCT TESTING AEBT-TTM IN ADULTS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3A757" w14:textId="77777777" w:rsidR="00A720DE" w:rsidRPr="00867B5A" w:rsidRDefault="00A720DE" w:rsidP="00867B5A">
    <w:pPr>
      <w:pStyle w:val="Header"/>
      <w:rPr>
        <w:sz w:val="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59B16" w14:textId="77777777" w:rsidR="00A720DE" w:rsidRPr="00EA73B4" w:rsidRDefault="00A720DE" w:rsidP="00A46E14">
    <w:pPr>
      <w:pStyle w:val="Header"/>
      <w:jc w:val="center"/>
      <w:rPr>
        <w:sz w:val="40"/>
      </w:rPr>
    </w:pPr>
    <w:r w:rsidRPr="00EA73B4">
      <w:rPr>
        <w:sz w:val="40"/>
      </w:rPr>
      <w:t>AEBT Participant Flow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92"/>
      <w:numFmt w:val="decimal"/>
      <w:lvlText w:val="%1."/>
      <w:lvlJc w:val="left"/>
      <w:pPr>
        <w:ind w:hanging="360"/>
      </w:pPr>
      <w:rPr>
        <w:rFonts w:ascii="Arial" w:hAnsi="Arial" w:cs="Arial"/>
        <w:b w:val="0"/>
        <w:bCs w:val="0"/>
        <w:spacing w:val="-1"/>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12CC4CE7"/>
    <w:multiLevelType w:val="hybridMultilevel"/>
    <w:tmpl w:val="221CF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334118"/>
    <w:multiLevelType w:val="hybridMultilevel"/>
    <w:tmpl w:val="E2BCD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AB2CCA"/>
    <w:multiLevelType w:val="hybridMultilevel"/>
    <w:tmpl w:val="F79A5B8A"/>
    <w:lvl w:ilvl="0" w:tplc="AACC009E">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EF4F4B"/>
    <w:multiLevelType w:val="hybridMultilevel"/>
    <w:tmpl w:val="C574A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CC2D03"/>
    <w:multiLevelType w:val="hybridMultilevel"/>
    <w:tmpl w:val="1BBC7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CC63B6"/>
    <w:multiLevelType w:val="hybridMultilevel"/>
    <w:tmpl w:val="F216D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E80F50"/>
    <w:multiLevelType w:val="hybridMultilevel"/>
    <w:tmpl w:val="523C3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012B1B"/>
    <w:multiLevelType w:val="hybridMultilevel"/>
    <w:tmpl w:val="D6681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291856"/>
    <w:multiLevelType w:val="hybridMultilevel"/>
    <w:tmpl w:val="9BFA7598"/>
    <w:lvl w:ilvl="0" w:tplc="C64CCE26">
      <w:start w:val="1"/>
      <w:numFmt w:val="bullet"/>
      <w:lvlText w:val=""/>
      <w:lvlJc w:val="left"/>
      <w:pPr>
        <w:ind w:left="720" w:hanging="360"/>
      </w:pPr>
      <w:rPr>
        <w:rFonts w:ascii="Symbol" w:hAnsi="Symbol" w:hint="default"/>
        <w:sz w:val="36"/>
        <w:szCs w:val="36"/>
      </w:rPr>
    </w:lvl>
    <w:lvl w:ilvl="1" w:tplc="04090003">
      <w:start w:val="1"/>
      <w:numFmt w:val="bullet"/>
      <w:lvlText w:val="o"/>
      <w:lvlJc w:val="left"/>
      <w:pPr>
        <w:ind w:left="1440" w:hanging="360"/>
      </w:pPr>
      <w:rPr>
        <w:rFonts w:ascii="Courier New" w:hAnsi="Courier New" w:cs="Courier New" w:hint="default"/>
      </w:rPr>
    </w:lvl>
    <w:lvl w:ilvl="2" w:tplc="E13A2968">
      <w:start w:val="1"/>
      <w:numFmt w:val="bullet"/>
      <w:lvlText w:val=""/>
      <w:lvlJc w:val="left"/>
      <w:pPr>
        <w:ind w:left="2160" w:hanging="360"/>
      </w:pPr>
      <w:rPr>
        <w:rFonts w:ascii="Wingdings" w:hAnsi="Wingdings" w:hint="default"/>
        <w:sz w:val="24"/>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3051E5"/>
    <w:multiLevelType w:val="hybridMultilevel"/>
    <w:tmpl w:val="14B0F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192E55"/>
    <w:multiLevelType w:val="hybridMultilevel"/>
    <w:tmpl w:val="FE769870"/>
    <w:lvl w:ilvl="0" w:tplc="973422D0">
      <w:start w:val="1"/>
      <w:numFmt w:val="decimal"/>
      <w:lvlText w:val="%1."/>
      <w:lvlJc w:val="left"/>
      <w:pPr>
        <w:ind w:left="720" w:hanging="360"/>
      </w:pPr>
      <w:rPr>
        <w:rFonts w:hint="default"/>
        <w:i w:val="0"/>
        <w:iCs w:val="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5200C4"/>
    <w:multiLevelType w:val="hybridMultilevel"/>
    <w:tmpl w:val="37121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854007"/>
    <w:multiLevelType w:val="hybridMultilevel"/>
    <w:tmpl w:val="CB8EC5D0"/>
    <w:lvl w:ilvl="0" w:tplc="6F6AAFA2">
      <w:start w:val="1"/>
      <w:numFmt w:val="decimal"/>
      <w:lvlText w:val="%1."/>
      <w:lvlJc w:val="left"/>
      <w:pPr>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EA5CAB"/>
    <w:multiLevelType w:val="hybridMultilevel"/>
    <w:tmpl w:val="152EDD9A"/>
    <w:lvl w:ilvl="0" w:tplc="F8D0F7C2">
      <w:start w:val="1"/>
      <w:numFmt w:val="lowerLetter"/>
      <w:lvlText w:val="%1."/>
      <w:lvlJc w:val="left"/>
      <w:pPr>
        <w:ind w:left="720" w:hanging="360"/>
      </w:pPr>
      <w:rPr>
        <w:rFonts w:ascii="Times New Roman" w:eastAsiaTheme="minorHAnsi" w:hAnsi="Times New Roman" w:cs="Times New Roman"/>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134A96"/>
    <w:multiLevelType w:val="hybridMultilevel"/>
    <w:tmpl w:val="327AD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2637A3"/>
    <w:multiLevelType w:val="hybridMultilevel"/>
    <w:tmpl w:val="2A929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3B4B33"/>
    <w:multiLevelType w:val="hybridMultilevel"/>
    <w:tmpl w:val="61E29F7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6D396E5F"/>
    <w:multiLevelType w:val="hybridMultilevel"/>
    <w:tmpl w:val="CF407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4E1C9D"/>
    <w:multiLevelType w:val="hybridMultilevel"/>
    <w:tmpl w:val="CBA4F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A83C96"/>
    <w:multiLevelType w:val="hybridMultilevel"/>
    <w:tmpl w:val="11BCB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9104132">
    <w:abstractNumId w:val="1"/>
  </w:num>
  <w:num w:numId="2" w16cid:durableId="41439812">
    <w:abstractNumId w:val="14"/>
  </w:num>
  <w:num w:numId="3" w16cid:durableId="234321087">
    <w:abstractNumId w:val="4"/>
  </w:num>
  <w:num w:numId="4" w16cid:durableId="455682927">
    <w:abstractNumId w:val="0"/>
  </w:num>
  <w:num w:numId="5" w16cid:durableId="2094008569">
    <w:abstractNumId w:val="19"/>
  </w:num>
  <w:num w:numId="6" w16cid:durableId="1040983040">
    <w:abstractNumId w:val="7"/>
  </w:num>
  <w:num w:numId="7" w16cid:durableId="297417631">
    <w:abstractNumId w:val="10"/>
  </w:num>
  <w:num w:numId="8" w16cid:durableId="1740594055">
    <w:abstractNumId w:val="18"/>
  </w:num>
  <w:num w:numId="9" w16cid:durableId="1030761211">
    <w:abstractNumId w:val="9"/>
  </w:num>
  <w:num w:numId="10" w16cid:durableId="1861890581">
    <w:abstractNumId w:val="20"/>
  </w:num>
  <w:num w:numId="11" w16cid:durableId="1465661101">
    <w:abstractNumId w:val="13"/>
  </w:num>
  <w:num w:numId="12" w16cid:durableId="439566521">
    <w:abstractNumId w:val="3"/>
  </w:num>
  <w:num w:numId="13" w16cid:durableId="757794561">
    <w:abstractNumId w:val="15"/>
  </w:num>
  <w:num w:numId="14" w16cid:durableId="1355308676">
    <w:abstractNumId w:val="17"/>
  </w:num>
  <w:num w:numId="15" w16cid:durableId="791434357">
    <w:abstractNumId w:val="5"/>
  </w:num>
  <w:num w:numId="16" w16cid:durableId="730269691">
    <w:abstractNumId w:val="2"/>
  </w:num>
  <w:num w:numId="17" w16cid:durableId="1703937690">
    <w:abstractNumId w:val="16"/>
  </w:num>
  <w:num w:numId="18" w16cid:durableId="1381055813">
    <w:abstractNumId w:val="8"/>
  </w:num>
  <w:num w:numId="19" w16cid:durableId="1737170481">
    <w:abstractNumId w:val="11"/>
  </w:num>
  <w:num w:numId="20" w16cid:durableId="213737151">
    <w:abstractNumId w:val="12"/>
  </w:num>
  <w:num w:numId="21" w16cid:durableId="144830908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51F"/>
    <w:rsid w:val="00001CAB"/>
    <w:rsid w:val="000028DE"/>
    <w:rsid w:val="00007FA0"/>
    <w:rsid w:val="000113C8"/>
    <w:rsid w:val="00015956"/>
    <w:rsid w:val="0002103C"/>
    <w:rsid w:val="000227B4"/>
    <w:rsid w:val="0002320D"/>
    <w:rsid w:val="0002345F"/>
    <w:rsid w:val="00023779"/>
    <w:rsid w:val="00023F71"/>
    <w:rsid w:val="000266E1"/>
    <w:rsid w:val="000276C1"/>
    <w:rsid w:val="0002790B"/>
    <w:rsid w:val="00027BB9"/>
    <w:rsid w:val="000306A9"/>
    <w:rsid w:val="00030E26"/>
    <w:rsid w:val="00030F08"/>
    <w:rsid w:val="00031940"/>
    <w:rsid w:val="00031CFD"/>
    <w:rsid w:val="00033C53"/>
    <w:rsid w:val="00034F18"/>
    <w:rsid w:val="0003603C"/>
    <w:rsid w:val="00036C3E"/>
    <w:rsid w:val="000409F6"/>
    <w:rsid w:val="00041456"/>
    <w:rsid w:val="00044820"/>
    <w:rsid w:val="0005001E"/>
    <w:rsid w:val="00050C1F"/>
    <w:rsid w:val="00050F11"/>
    <w:rsid w:val="00052F44"/>
    <w:rsid w:val="00054B31"/>
    <w:rsid w:val="00054BD0"/>
    <w:rsid w:val="0005588A"/>
    <w:rsid w:val="00056BAD"/>
    <w:rsid w:val="00057443"/>
    <w:rsid w:val="00060C84"/>
    <w:rsid w:val="0006136B"/>
    <w:rsid w:val="0006208D"/>
    <w:rsid w:val="00062E40"/>
    <w:rsid w:val="00064909"/>
    <w:rsid w:val="00067A24"/>
    <w:rsid w:val="0007280F"/>
    <w:rsid w:val="000742DE"/>
    <w:rsid w:val="00076FA7"/>
    <w:rsid w:val="0007793C"/>
    <w:rsid w:val="0008429C"/>
    <w:rsid w:val="000848F8"/>
    <w:rsid w:val="00084CF6"/>
    <w:rsid w:val="000865FA"/>
    <w:rsid w:val="00094232"/>
    <w:rsid w:val="000948FA"/>
    <w:rsid w:val="00094C03"/>
    <w:rsid w:val="000A2419"/>
    <w:rsid w:val="000A3C9C"/>
    <w:rsid w:val="000A50C1"/>
    <w:rsid w:val="000A5448"/>
    <w:rsid w:val="000A605A"/>
    <w:rsid w:val="000A70D4"/>
    <w:rsid w:val="000A7126"/>
    <w:rsid w:val="000B1B5C"/>
    <w:rsid w:val="000B45F5"/>
    <w:rsid w:val="000B5BF1"/>
    <w:rsid w:val="000C23BD"/>
    <w:rsid w:val="000C2934"/>
    <w:rsid w:val="000C57D4"/>
    <w:rsid w:val="000D2052"/>
    <w:rsid w:val="000D20B8"/>
    <w:rsid w:val="000D2363"/>
    <w:rsid w:val="000D5D3E"/>
    <w:rsid w:val="000D75FA"/>
    <w:rsid w:val="000D7F59"/>
    <w:rsid w:val="000E03DA"/>
    <w:rsid w:val="000E1BC8"/>
    <w:rsid w:val="000E2F3F"/>
    <w:rsid w:val="000E422A"/>
    <w:rsid w:val="000F0897"/>
    <w:rsid w:val="000F1866"/>
    <w:rsid w:val="000F426C"/>
    <w:rsid w:val="000F4988"/>
    <w:rsid w:val="000F4F89"/>
    <w:rsid w:val="000F5BA7"/>
    <w:rsid w:val="000F653C"/>
    <w:rsid w:val="000F7F70"/>
    <w:rsid w:val="001008CF"/>
    <w:rsid w:val="0010127B"/>
    <w:rsid w:val="001043A9"/>
    <w:rsid w:val="001101F1"/>
    <w:rsid w:val="0011213D"/>
    <w:rsid w:val="0011224D"/>
    <w:rsid w:val="00112EBE"/>
    <w:rsid w:val="00114272"/>
    <w:rsid w:val="00121F68"/>
    <w:rsid w:val="001254DC"/>
    <w:rsid w:val="001272B0"/>
    <w:rsid w:val="00127A2B"/>
    <w:rsid w:val="0013137E"/>
    <w:rsid w:val="00132922"/>
    <w:rsid w:val="00134391"/>
    <w:rsid w:val="00135FA8"/>
    <w:rsid w:val="00137213"/>
    <w:rsid w:val="00137333"/>
    <w:rsid w:val="001376E3"/>
    <w:rsid w:val="00142042"/>
    <w:rsid w:val="00142EC5"/>
    <w:rsid w:val="00145450"/>
    <w:rsid w:val="00151CFE"/>
    <w:rsid w:val="00154E5A"/>
    <w:rsid w:val="001551BD"/>
    <w:rsid w:val="00160C8B"/>
    <w:rsid w:val="001628A9"/>
    <w:rsid w:val="00162FEE"/>
    <w:rsid w:val="00163CB5"/>
    <w:rsid w:val="001653D0"/>
    <w:rsid w:val="001667E0"/>
    <w:rsid w:val="00173149"/>
    <w:rsid w:val="00173EAA"/>
    <w:rsid w:val="00176303"/>
    <w:rsid w:val="00177AD0"/>
    <w:rsid w:val="001822CD"/>
    <w:rsid w:val="00185182"/>
    <w:rsid w:val="00185438"/>
    <w:rsid w:val="001860F9"/>
    <w:rsid w:val="00193334"/>
    <w:rsid w:val="00194453"/>
    <w:rsid w:val="00196B89"/>
    <w:rsid w:val="00197063"/>
    <w:rsid w:val="001973B2"/>
    <w:rsid w:val="001A0628"/>
    <w:rsid w:val="001A09FE"/>
    <w:rsid w:val="001A0A5C"/>
    <w:rsid w:val="001A0AAB"/>
    <w:rsid w:val="001A5B45"/>
    <w:rsid w:val="001A76C7"/>
    <w:rsid w:val="001B1BA8"/>
    <w:rsid w:val="001B31CB"/>
    <w:rsid w:val="001B351D"/>
    <w:rsid w:val="001B49DC"/>
    <w:rsid w:val="001B4A63"/>
    <w:rsid w:val="001B4C54"/>
    <w:rsid w:val="001B7D7B"/>
    <w:rsid w:val="001C11E0"/>
    <w:rsid w:val="001C2E88"/>
    <w:rsid w:val="001C3221"/>
    <w:rsid w:val="001C3770"/>
    <w:rsid w:val="001C3E6F"/>
    <w:rsid w:val="001C7D76"/>
    <w:rsid w:val="001D0113"/>
    <w:rsid w:val="001D2CD8"/>
    <w:rsid w:val="001D4431"/>
    <w:rsid w:val="001D5048"/>
    <w:rsid w:val="001E2485"/>
    <w:rsid w:val="001E2547"/>
    <w:rsid w:val="001E2A36"/>
    <w:rsid w:val="001E43B0"/>
    <w:rsid w:val="001E5837"/>
    <w:rsid w:val="001E7E1A"/>
    <w:rsid w:val="001F078C"/>
    <w:rsid w:val="001F162D"/>
    <w:rsid w:val="001F3D5A"/>
    <w:rsid w:val="001F5486"/>
    <w:rsid w:val="001F5B08"/>
    <w:rsid w:val="001F72F5"/>
    <w:rsid w:val="001F7AB6"/>
    <w:rsid w:val="00201C8B"/>
    <w:rsid w:val="002028AA"/>
    <w:rsid w:val="00202EDE"/>
    <w:rsid w:val="00204215"/>
    <w:rsid w:val="00205956"/>
    <w:rsid w:val="00206ADC"/>
    <w:rsid w:val="002075A3"/>
    <w:rsid w:val="002116E7"/>
    <w:rsid w:val="00212BAE"/>
    <w:rsid w:val="00215604"/>
    <w:rsid w:val="002156C4"/>
    <w:rsid w:val="00216D49"/>
    <w:rsid w:val="00216FD7"/>
    <w:rsid w:val="0022019C"/>
    <w:rsid w:val="00220210"/>
    <w:rsid w:val="00221C34"/>
    <w:rsid w:val="00225D77"/>
    <w:rsid w:val="00232E6F"/>
    <w:rsid w:val="00233D7F"/>
    <w:rsid w:val="002347DC"/>
    <w:rsid w:val="002368C1"/>
    <w:rsid w:val="00236A0D"/>
    <w:rsid w:val="002377BC"/>
    <w:rsid w:val="002410AA"/>
    <w:rsid w:val="00245A8A"/>
    <w:rsid w:val="00246116"/>
    <w:rsid w:val="002540B1"/>
    <w:rsid w:val="00255252"/>
    <w:rsid w:val="0025739E"/>
    <w:rsid w:val="00257863"/>
    <w:rsid w:val="00261BC3"/>
    <w:rsid w:val="00262C58"/>
    <w:rsid w:val="00267FC7"/>
    <w:rsid w:val="00270B50"/>
    <w:rsid w:val="00271D79"/>
    <w:rsid w:val="002728D5"/>
    <w:rsid w:val="00273B7D"/>
    <w:rsid w:val="00274E5C"/>
    <w:rsid w:val="0027503B"/>
    <w:rsid w:val="002769CC"/>
    <w:rsid w:val="002774F5"/>
    <w:rsid w:val="00281838"/>
    <w:rsid w:val="00283DAD"/>
    <w:rsid w:val="002851C2"/>
    <w:rsid w:val="00293916"/>
    <w:rsid w:val="00297EBD"/>
    <w:rsid w:val="002A03FD"/>
    <w:rsid w:val="002A0803"/>
    <w:rsid w:val="002A45AB"/>
    <w:rsid w:val="002A494B"/>
    <w:rsid w:val="002B152A"/>
    <w:rsid w:val="002B3F71"/>
    <w:rsid w:val="002B59EC"/>
    <w:rsid w:val="002B686D"/>
    <w:rsid w:val="002C128D"/>
    <w:rsid w:val="002C1763"/>
    <w:rsid w:val="002C37EB"/>
    <w:rsid w:val="002C56E4"/>
    <w:rsid w:val="002D0316"/>
    <w:rsid w:val="002D0845"/>
    <w:rsid w:val="002D4A0D"/>
    <w:rsid w:val="002D4CAA"/>
    <w:rsid w:val="002D66D3"/>
    <w:rsid w:val="002D6E31"/>
    <w:rsid w:val="002D7B60"/>
    <w:rsid w:val="002E023F"/>
    <w:rsid w:val="002E1522"/>
    <w:rsid w:val="002E2BAC"/>
    <w:rsid w:val="002E3FF2"/>
    <w:rsid w:val="002E7CA2"/>
    <w:rsid w:val="002F3781"/>
    <w:rsid w:val="002F41BD"/>
    <w:rsid w:val="002F4648"/>
    <w:rsid w:val="002F633B"/>
    <w:rsid w:val="003021E9"/>
    <w:rsid w:val="0030423E"/>
    <w:rsid w:val="003071DE"/>
    <w:rsid w:val="00310686"/>
    <w:rsid w:val="0031152E"/>
    <w:rsid w:val="003118CE"/>
    <w:rsid w:val="0031200B"/>
    <w:rsid w:val="0031272D"/>
    <w:rsid w:val="00312F23"/>
    <w:rsid w:val="00313215"/>
    <w:rsid w:val="0031333E"/>
    <w:rsid w:val="00314CDE"/>
    <w:rsid w:val="00321CA8"/>
    <w:rsid w:val="0032225E"/>
    <w:rsid w:val="003235C1"/>
    <w:rsid w:val="00324BC2"/>
    <w:rsid w:val="0032588D"/>
    <w:rsid w:val="00326AF2"/>
    <w:rsid w:val="00330688"/>
    <w:rsid w:val="00331D1F"/>
    <w:rsid w:val="00331F63"/>
    <w:rsid w:val="003357EC"/>
    <w:rsid w:val="003360BF"/>
    <w:rsid w:val="0033771D"/>
    <w:rsid w:val="00340009"/>
    <w:rsid w:val="00341D04"/>
    <w:rsid w:val="003539C9"/>
    <w:rsid w:val="00356FB9"/>
    <w:rsid w:val="003605AD"/>
    <w:rsid w:val="003628A1"/>
    <w:rsid w:val="00364A9F"/>
    <w:rsid w:val="00367079"/>
    <w:rsid w:val="003708C2"/>
    <w:rsid w:val="00372758"/>
    <w:rsid w:val="0037396F"/>
    <w:rsid w:val="00373B55"/>
    <w:rsid w:val="003755F0"/>
    <w:rsid w:val="00375E0D"/>
    <w:rsid w:val="003770D8"/>
    <w:rsid w:val="00377750"/>
    <w:rsid w:val="00381A7F"/>
    <w:rsid w:val="003851E6"/>
    <w:rsid w:val="003853C3"/>
    <w:rsid w:val="003875C9"/>
    <w:rsid w:val="00390AA1"/>
    <w:rsid w:val="003956EC"/>
    <w:rsid w:val="003A0151"/>
    <w:rsid w:val="003A0F6A"/>
    <w:rsid w:val="003A6228"/>
    <w:rsid w:val="003B0D47"/>
    <w:rsid w:val="003B1B6B"/>
    <w:rsid w:val="003B28A7"/>
    <w:rsid w:val="003B4225"/>
    <w:rsid w:val="003B4FC5"/>
    <w:rsid w:val="003B54B1"/>
    <w:rsid w:val="003B5C95"/>
    <w:rsid w:val="003B612A"/>
    <w:rsid w:val="003C1490"/>
    <w:rsid w:val="003C36C7"/>
    <w:rsid w:val="003C5FA4"/>
    <w:rsid w:val="003D0528"/>
    <w:rsid w:val="003D0ED6"/>
    <w:rsid w:val="003D59C0"/>
    <w:rsid w:val="003D6ED2"/>
    <w:rsid w:val="003E1404"/>
    <w:rsid w:val="003E2D53"/>
    <w:rsid w:val="003E5246"/>
    <w:rsid w:val="003E74EA"/>
    <w:rsid w:val="003E7E44"/>
    <w:rsid w:val="003F05F5"/>
    <w:rsid w:val="003F2879"/>
    <w:rsid w:val="003F2E54"/>
    <w:rsid w:val="003F35D5"/>
    <w:rsid w:val="003F38BE"/>
    <w:rsid w:val="003F6FA4"/>
    <w:rsid w:val="003F7BF2"/>
    <w:rsid w:val="00400B7B"/>
    <w:rsid w:val="0040348D"/>
    <w:rsid w:val="00404365"/>
    <w:rsid w:val="00405BC7"/>
    <w:rsid w:val="00412466"/>
    <w:rsid w:val="0041499B"/>
    <w:rsid w:val="00415206"/>
    <w:rsid w:val="0041584F"/>
    <w:rsid w:val="004161DA"/>
    <w:rsid w:val="00417A07"/>
    <w:rsid w:val="00421610"/>
    <w:rsid w:val="00424FFF"/>
    <w:rsid w:val="004251D1"/>
    <w:rsid w:val="00425804"/>
    <w:rsid w:val="0042601C"/>
    <w:rsid w:val="00430FB4"/>
    <w:rsid w:val="004328F3"/>
    <w:rsid w:val="004329B5"/>
    <w:rsid w:val="004426DE"/>
    <w:rsid w:val="00443752"/>
    <w:rsid w:val="00444E52"/>
    <w:rsid w:val="00447C43"/>
    <w:rsid w:val="004500AC"/>
    <w:rsid w:val="00454478"/>
    <w:rsid w:val="0045534E"/>
    <w:rsid w:val="004564D1"/>
    <w:rsid w:val="00456D1C"/>
    <w:rsid w:val="00464777"/>
    <w:rsid w:val="0046481C"/>
    <w:rsid w:val="00464D6E"/>
    <w:rsid w:val="004665F5"/>
    <w:rsid w:val="004721B4"/>
    <w:rsid w:val="004735AF"/>
    <w:rsid w:val="0047594F"/>
    <w:rsid w:val="00480DD3"/>
    <w:rsid w:val="0048171B"/>
    <w:rsid w:val="00483728"/>
    <w:rsid w:val="004846F6"/>
    <w:rsid w:val="00484DAA"/>
    <w:rsid w:val="00486166"/>
    <w:rsid w:val="00487067"/>
    <w:rsid w:val="004877F1"/>
    <w:rsid w:val="00490C8E"/>
    <w:rsid w:val="0049140D"/>
    <w:rsid w:val="00491A76"/>
    <w:rsid w:val="00491AED"/>
    <w:rsid w:val="00491BEB"/>
    <w:rsid w:val="0049201D"/>
    <w:rsid w:val="00492EC5"/>
    <w:rsid w:val="00494135"/>
    <w:rsid w:val="00497426"/>
    <w:rsid w:val="004A043E"/>
    <w:rsid w:val="004A3349"/>
    <w:rsid w:val="004A4A23"/>
    <w:rsid w:val="004B0C04"/>
    <w:rsid w:val="004B1FC7"/>
    <w:rsid w:val="004B44B5"/>
    <w:rsid w:val="004B4D18"/>
    <w:rsid w:val="004B4E75"/>
    <w:rsid w:val="004B5929"/>
    <w:rsid w:val="004B6A00"/>
    <w:rsid w:val="004B77D3"/>
    <w:rsid w:val="004C2927"/>
    <w:rsid w:val="004C53FA"/>
    <w:rsid w:val="004D26CB"/>
    <w:rsid w:val="004D338D"/>
    <w:rsid w:val="004D58EC"/>
    <w:rsid w:val="004D5FBC"/>
    <w:rsid w:val="004D60A5"/>
    <w:rsid w:val="004D6640"/>
    <w:rsid w:val="004D6BD4"/>
    <w:rsid w:val="004E0089"/>
    <w:rsid w:val="004E1F9A"/>
    <w:rsid w:val="004E50A6"/>
    <w:rsid w:val="004F0A56"/>
    <w:rsid w:val="004F0E35"/>
    <w:rsid w:val="004F2402"/>
    <w:rsid w:val="004F2C57"/>
    <w:rsid w:val="004F41E1"/>
    <w:rsid w:val="0050128D"/>
    <w:rsid w:val="0050285E"/>
    <w:rsid w:val="00502B01"/>
    <w:rsid w:val="00503DDC"/>
    <w:rsid w:val="00503FF9"/>
    <w:rsid w:val="00505B12"/>
    <w:rsid w:val="005126FB"/>
    <w:rsid w:val="00513A9A"/>
    <w:rsid w:val="005143BA"/>
    <w:rsid w:val="00514531"/>
    <w:rsid w:val="00514B1A"/>
    <w:rsid w:val="00515826"/>
    <w:rsid w:val="00515C8A"/>
    <w:rsid w:val="005232CF"/>
    <w:rsid w:val="005240B1"/>
    <w:rsid w:val="005276BC"/>
    <w:rsid w:val="00531EE4"/>
    <w:rsid w:val="005326E2"/>
    <w:rsid w:val="00533BBC"/>
    <w:rsid w:val="00534B48"/>
    <w:rsid w:val="00535B23"/>
    <w:rsid w:val="005371A6"/>
    <w:rsid w:val="005429EE"/>
    <w:rsid w:val="00542DE7"/>
    <w:rsid w:val="00543EED"/>
    <w:rsid w:val="005459A6"/>
    <w:rsid w:val="00546C99"/>
    <w:rsid w:val="005532FA"/>
    <w:rsid w:val="00554B10"/>
    <w:rsid w:val="0055592C"/>
    <w:rsid w:val="00555E32"/>
    <w:rsid w:val="00560522"/>
    <w:rsid w:val="00561DD9"/>
    <w:rsid w:val="00564EFA"/>
    <w:rsid w:val="00566F6D"/>
    <w:rsid w:val="0056741A"/>
    <w:rsid w:val="00567C96"/>
    <w:rsid w:val="00570CA3"/>
    <w:rsid w:val="0057234D"/>
    <w:rsid w:val="00577A73"/>
    <w:rsid w:val="00577B36"/>
    <w:rsid w:val="00580A4B"/>
    <w:rsid w:val="00582823"/>
    <w:rsid w:val="0058651F"/>
    <w:rsid w:val="00586D68"/>
    <w:rsid w:val="0058715C"/>
    <w:rsid w:val="005901E1"/>
    <w:rsid w:val="005905F1"/>
    <w:rsid w:val="00590675"/>
    <w:rsid w:val="005908D8"/>
    <w:rsid w:val="00590B3B"/>
    <w:rsid w:val="00596E38"/>
    <w:rsid w:val="005A077E"/>
    <w:rsid w:val="005A1146"/>
    <w:rsid w:val="005A521A"/>
    <w:rsid w:val="005A7242"/>
    <w:rsid w:val="005A7418"/>
    <w:rsid w:val="005B0126"/>
    <w:rsid w:val="005B1910"/>
    <w:rsid w:val="005B21D6"/>
    <w:rsid w:val="005B3F05"/>
    <w:rsid w:val="005B4442"/>
    <w:rsid w:val="005B6007"/>
    <w:rsid w:val="005B7A50"/>
    <w:rsid w:val="005B7C25"/>
    <w:rsid w:val="005C3227"/>
    <w:rsid w:val="005C5AC5"/>
    <w:rsid w:val="005C6C76"/>
    <w:rsid w:val="005D0BEE"/>
    <w:rsid w:val="005D0DAA"/>
    <w:rsid w:val="005D0DDF"/>
    <w:rsid w:val="005D21B4"/>
    <w:rsid w:val="005D2EBE"/>
    <w:rsid w:val="005D3414"/>
    <w:rsid w:val="005D3C5D"/>
    <w:rsid w:val="005D7387"/>
    <w:rsid w:val="005E128D"/>
    <w:rsid w:val="005E58EB"/>
    <w:rsid w:val="005F264F"/>
    <w:rsid w:val="005F314F"/>
    <w:rsid w:val="005F527A"/>
    <w:rsid w:val="005F5EED"/>
    <w:rsid w:val="005F7CF7"/>
    <w:rsid w:val="006023CD"/>
    <w:rsid w:val="00604E00"/>
    <w:rsid w:val="006055D4"/>
    <w:rsid w:val="0060570D"/>
    <w:rsid w:val="0060637A"/>
    <w:rsid w:val="006078B5"/>
    <w:rsid w:val="006100C3"/>
    <w:rsid w:val="00616B3B"/>
    <w:rsid w:val="00617F6F"/>
    <w:rsid w:val="00620F80"/>
    <w:rsid w:val="00621BCA"/>
    <w:rsid w:val="006220BE"/>
    <w:rsid w:val="0062341C"/>
    <w:rsid w:val="00624E6A"/>
    <w:rsid w:val="00624EEE"/>
    <w:rsid w:val="0062563B"/>
    <w:rsid w:val="00627E2A"/>
    <w:rsid w:val="006326B2"/>
    <w:rsid w:val="00632AA0"/>
    <w:rsid w:val="0063644F"/>
    <w:rsid w:val="00637161"/>
    <w:rsid w:val="006407B1"/>
    <w:rsid w:val="006433F1"/>
    <w:rsid w:val="0064342E"/>
    <w:rsid w:val="006436B1"/>
    <w:rsid w:val="006479B8"/>
    <w:rsid w:val="00654035"/>
    <w:rsid w:val="006577EF"/>
    <w:rsid w:val="006601E4"/>
    <w:rsid w:val="00662918"/>
    <w:rsid w:val="006633AC"/>
    <w:rsid w:val="00664BF6"/>
    <w:rsid w:val="00666BA7"/>
    <w:rsid w:val="006674C6"/>
    <w:rsid w:val="00670165"/>
    <w:rsid w:val="0067139A"/>
    <w:rsid w:val="006827B3"/>
    <w:rsid w:val="00684EE2"/>
    <w:rsid w:val="00685CA4"/>
    <w:rsid w:val="00687299"/>
    <w:rsid w:val="00687A40"/>
    <w:rsid w:val="006926AD"/>
    <w:rsid w:val="0069542D"/>
    <w:rsid w:val="00695698"/>
    <w:rsid w:val="00695F99"/>
    <w:rsid w:val="006B1630"/>
    <w:rsid w:val="006B165B"/>
    <w:rsid w:val="006B2A3A"/>
    <w:rsid w:val="006B3C8B"/>
    <w:rsid w:val="006B3F3A"/>
    <w:rsid w:val="006B4C8C"/>
    <w:rsid w:val="006B55D5"/>
    <w:rsid w:val="006B6DA2"/>
    <w:rsid w:val="006B7251"/>
    <w:rsid w:val="006C0D12"/>
    <w:rsid w:val="006C1B95"/>
    <w:rsid w:val="006C1E6C"/>
    <w:rsid w:val="006C2B82"/>
    <w:rsid w:val="006C4B6E"/>
    <w:rsid w:val="006C5DD5"/>
    <w:rsid w:val="006D17AC"/>
    <w:rsid w:val="006D4267"/>
    <w:rsid w:val="006D47F9"/>
    <w:rsid w:val="006D5A1B"/>
    <w:rsid w:val="006E4C3E"/>
    <w:rsid w:val="006E55A2"/>
    <w:rsid w:val="006E6193"/>
    <w:rsid w:val="006E679A"/>
    <w:rsid w:val="006E68D1"/>
    <w:rsid w:val="006F044D"/>
    <w:rsid w:val="006F15E8"/>
    <w:rsid w:val="006F5B2D"/>
    <w:rsid w:val="007002D1"/>
    <w:rsid w:val="00701327"/>
    <w:rsid w:val="007018D7"/>
    <w:rsid w:val="00703B21"/>
    <w:rsid w:val="007050A8"/>
    <w:rsid w:val="007108AF"/>
    <w:rsid w:val="00711AAF"/>
    <w:rsid w:val="007122B5"/>
    <w:rsid w:val="007135FE"/>
    <w:rsid w:val="00716B49"/>
    <w:rsid w:val="007178B3"/>
    <w:rsid w:val="007201B3"/>
    <w:rsid w:val="007213B9"/>
    <w:rsid w:val="00721ABD"/>
    <w:rsid w:val="007222B6"/>
    <w:rsid w:val="0072369A"/>
    <w:rsid w:val="007303E1"/>
    <w:rsid w:val="00732CCE"/>
    <w:rsid w:val="00732E87"/>
    <w:rsid w:val="0073572B"/>
    <w:rsid w:val="00736BBE"/>
    <w:rsid w:val="00741CA8"/>
    <w:rsid w:val="00744FB1"/>
    <w:rsid w:val="007467BD"/>
    <w:rsid w:val="0074698B"/>
    <w:rsid w:val="00750F27"/>
    <w:rsid w:val="0075286D"/>
    <w:rsid w:val="0075395A"/>
    <w:rsid w:val="0075507E"/>
    <w:rsid w:val="00755E9C"/>
    <w:rsid w:val="007560B9"/>
    <w:rsid w:val="00756FE0"/>
    <w:rsid w:val="00757BC1"/>
    <w:rsid w:val="00760A39"/>
    <w:rsid w:val="0076208C"/>
    <w:rsid w:val="00763A3D"/>
    <w:rsid w:val="007660AE"/>
    <w:rsid w:val="00771FF5"/>
    <w:rsid w:val="00772A0E"/>
    <w:rsid w:val="007730ED"/>
    <w:rsid w:val="00773AB3"/>
    <w:rsid w:val="00775E75"/>
    <w:rsid w:val="0077649C"/>
    <w:rsid w:val="007937BC"/>
    <w:rsid w:val="00793AD5"/>
    <w:rsid w:val="00795ACE"/>
    <w:rsid w:val="00797889"/>
    <w:rsid w:val="007A097E"/>
    <w:rsid w:val="007A5C61"/>
    <w:rsid w:val="007B007F"/>
    <w:rsid w:val="007B0293"/>
    <w:rsid w:val="007B2FB9"/>
    <w:rsid w:val="007B5AB1"/>
    <w:rsid w:val="007C27DC"/>
    <w:rsid w:val="007C3216"/>
    <w:rsid w:val="007C510F"/>
    <w:rsid w:val="007C5A6D"/>
    <w:rsid w:val="007C76B3"/>
    <w:rsid w:val="007D06FB"/>
    <w:rsid w:val="007D0D92"/>
    <w:rsid w:val="007D1949"/>
    <w:rsid w:val="007D3556"/>
    <w:rsid w:val="007D527A"/>
    <w:rsid w:val="007E06C0"/>
    <w:rsid w:val="007E6020"/>
    <w:rsid w:val="007E7EBB"/>
    <w:rsid w:val="007E7EDB"/>
    <w:rsid w:val="007F1577"/>
    <w:rsid w:val="007F3272"/>
    <w:rsid w:val="00806E23"/>
    <w:rsid w:val="00811471"/>
    <w:rsid w:val="00815D2D"/>
    <w:rsid w:val="0081789E"/>
    <w:rsid w:val="0082023C"/>
    <w:rsid w:val="00827F7C"/>
    <w:rsid w:val="00827FCF"/>
    <w:rsid w:val="008311E9"/>
    <w:rsid w:val="00837B12"/>
    <w:rsid w:val="00837E4A"/>
    <w:rsid w:val="00845D15"/>
    <w:rsid w:val="00846395"/>
    <w:rsid w:val="008476F9"/>
    <w:rsid w:val="008478EE"/>
    <w:rsid w:val="0085102F"/>
    <w:rsid w:val="008529FF"/>
    <w:rsid w:val="00856091"/>
    <w:rsid w:val="0085764A"/>
    <w:rsid w:val="0086056D"/>
    <w:rsid w:val="00861921"/>
    <w:rsid w:val="00863D04"/>
    <w:rsid w:val="0086485F"/>
    <w:rsid w:val="00865561"/>
    <w:rsid w:val="00867864"/>
    <w:rsid w:val="00867B5A"/>
    <w:rsid w:val="00867FF0"/>
    <w:rsid w:val="00872D2B"/>
    <w:rsid w:val="0087370E"/>
    <w:rsid w:val="008776F1"/>
    <w:rsid w:val="0087772F"/>
    <w:rsid w:val="0089345C"/>
    <w:rsid w:val="00896C12"/>
    <w:rsid w:val="008B1444"/>
    <w:rsid w:val="008B4436"/>
    <w:rsid w:val="008B5157"/>
    <w:rsid w:val="008C16B1"/>
    <w:rsid w:val="008C351B"/>
    <w:rsid w:val="008C5B8C"/>
    <w:rsid w:val="008C6172"/>
    <w:rsid w:val="008C75CD"/>
    <w:rsid w:val="008C767B"/>
    <w:rsid w:val="008C7895"/>
    <w:rsid w:val="008C7AF0"/>
    <w:rsid w:val="008C7CCC"/>
    <w:rsid w:val="008D0821"/>
    <w:rsid w:val="008D2AF7"/>
    <w:rsid w:val="008D4278"/>
    <w:rsid w:val="008D5D9C"/>
    <w:rsid w:val="008E0715"/>
    <w:rsid w:val="008E0F0F"/>
    <w:rsid w:val="008E6E3F"/>
    <w:rsid w:val="008E766F"/>
    <w:rsid w:val="008E79A5"/>
    <w:rsid w:val="008F2C7E"/>
    <w:rsid w:val="008F571B"/>
    <w:rsid w:val="00902A1C"/>
    <w:rsid w:val="00903C18"/>
    <w:rsid w:val="00905A24"/>
    <w:rsid w:val="0091121F"/>
    <w:rsid w:val="00913E47"/>
    <w:rsid w:val="00914405"/>
    <w:rsid w:val="009153CE"/>
    <w:rsid w:val="009212F5"/>
    <w:rsid w:val="00925894"/>
    <w:rsid w:val="00925DBA"/>
    <w:rsid w:val="00925F8D"/>
    <w:rsid w:val="0092632C"/>
    <w:rsid w:val="00926801"/>
    <w:rsid w:val="00931A27"/>
    <w:rsid w:val="00931B7C"/>
    <w:rsid w:val="00934857"/>
    <w:rsid w:val="00937619"/>
    <w:rsid w:val="00940730"/>
    <w:rsid w:val="00940BBB"/>
    <w:rsid w:val="009413D2"/>
    <w:rsid w:val="0094495A"/>
    <w:rsid w:val="00947F85"/>
    <w:rsid w:val="00950D36"/>
    <w:rsid w:val="00953EF9"/>
    <w:rsid w:val="009541F3"/>
    <w:rsid w:val="009546A0"/>
    <w:rsid w:val="00960135"/>
    <w:rsid w:val="00960261"/>
    <w:rsid w:val="0096044E"/>
    <w:rsid w:val="00961134"/>
    <w:rsid w:val="00961756"/>
    <w:rsid w:val="009636DA"/>
    <w:rsid w:val="00964B7E"/>
    <w:rsid w:val="009660D5"/>
    <w:rsid w:val="0096667D"/>
    <w:rsid w:val="00970475"/>
    <w:rsid w:val="00970682"/>
    <w:rsid w:val="009848ED"/>
    <w:rsid w:val="0098497F"/>
    <w:rsid w:val="0099774D"/>
    <w:rsid w:val="009A0DDF"/>
    <w:rsid w:val="009A1ADA"/>
    <w:rsid w:val="009A4A6F"/>
    <w:rsid w:val="009A52F4"/>
    <w:rsid w:val="009A6DD0"/>
    <w:rsid w:val="009B384A"/>
    <w:rsid w:val="009B6227"/>
    <w:rsid w:val="009B71EF"/>
    <w:rsid w:val="009C0AED"/>
    <w:rsid w:val="009C1298"/>
    <w:rsid w:val="009C19E3"/>
    <w:rsid w:val="009C1D54"/>
    <w:rsid w:val="009C20A5"/>
    <w:rsid w:val="009C5F6B"/>
    <w:rsid w:val="009D0096"/>
    <w:rsid w:val="009D6365"/>
    <w:rsid w:val="009D64D3"/>
    <w:rsid w:val="009D6BEE"/>
    <w:rsid w:val="009E058A"/>
    <w:rsid w:val="009E0F89"/>
    <w:rsid w:val="009E13D8"/>
    <w:rsid w:val="009E14AE"/>
    <w:rsid w:val="009E1E9D"/>
    <w:rsid w:val="009E21E2"/>
    <w:rsid w:val="009E2238"/>
    <w:rsid w:val="009E4A32"/>
    <w:rsid w:val="009E51D2"/>
    <w:rsid w:val="009F0067"/>
    <w:rsid w:val="009F1176"/>
    <w:rsid w:val="009F70F8"/>
    <w:rsid w:val="00A00782"/>
    <w:rsid w:val="00A00D61"/>
    <w:rsid w:val="00A01367"/>
    <w:rsid w:val="00A0435F"/>
    <w:rsid w:val="00A05D74"/>
    <w:rsid w:val="00A0698D"/>
    <w:rsid w:val="00A06DA6"/>
    <w:rsid w:val="00A07AEE"/>
    <w:rsid w:val="00A1127A"/>
    <w:rsid w:val="00A1147A"/>
    <w:rsid w:val="00A11EAD"/>
    <w:rsid w:val="00A12595"/>
    <w:rsid w:val="00A1284D"/>
    <w:rsid w:val="00A12A3A"/>
    <w:rsid w:val="00A16707"/>
    <w:rsid w:val="00A17229"/>
    <w:rsid w:val="00A20B39"/>
    <w:rsid w:val="00A222CE"/>
    <w:rsid w:val="00A23F9A"/>
    <w:rsid w:val="00A24CD4"/>
    <w:rsid w:val="00A26EFF"/>
    <w:rsid w:val="00A30360"/>
    <w:rsid w:val="00A3126E"/>
    <w:rsid w:val="00A316B6"/>
    <w:rsid w:val="00A3301A"/>
    <w:rsid w:val="00A33230"/>
    <w:rsid w:val="00A3436F"/>
    <w:rsid w:val="00A34485"/>
    <w:rsid w:val="00A35961"/>
    <w:rsid w:val="00A359E2"/>
    <w:rsid w:val="00A35B7E"/>
    <w:rsid w:val="00A35CB2"/>
    <w:rsid w:val="00A369BD"/>
    <w:rsid w:val="00A40389"/>
    <w:rsid w:val="00A439A9"/>
    <w:rsid w:val="00A4554E"/>
    <w:rsid w:val="00A463F7"/>
    <w:rsid w:val="00A4694A"/>
    <w:rsid w:val="00A46E14"/>
    <w:rsid w:val="00A47153"/>
    <w:rsid w:val="00A51116"/>
    <w:rsid w:val="00A51B9C"/>
    <w:rsid w:val="00A53213"/>
    <w:rsid w:val="00A57480"/>
    <w:rsid w:val="00A62C3C"/>
    <w:rsid w:val="00A700C7"/>
    <w:rsid w:val="00A7071A"/>
    <w:rsid w:val="00A71FE4"/>
    <w:rsid w:val="00A7201B"/>
    <w:rsid w:val="00A720AB"/>
    <w:rsid w:val="00A720DE"/>
    <w:rsid w:val="00A722FF"/>
    <w:rsid w:val="00A759B7"/>
    <w:rsid w:val="00A77A5F"/>
    <w:rsid w:val="00A817E4"/>
    <w:rsid w:val="00A84AAF"/>
    <w:rsid w:val="00A90356"/>
    <w:rsid w:val="00A9094A"/>
    <w:rsid w:val="00A95269"/>
    <w:rsid w:val="00A96B9B"/>
    <w:rsid w:val="00AA18E5"/>
    <w:rsid w:val="00AA2EBE"/>
    <w:rsid w:val="00AA31BA"/>
    <w:rsid w:val="00AA3597"/>
    <w:rsid w:val="00AA6D5A"/>
    <w:rsid w:val="00AC00EC"/>
    <w:rsid w:val="00AC10E6"/>
    <w:rsid w:val="00AC217B"/>
    <w:rsid w:val="00AC21E7"/>
    <w:rsid w:val="00AC7238"/>
    <w:rsid w:val="00AD0081"/>
    <w:rsid w:val="00AD1EE4"/>
    <w:rsid w:val="00AD3CC7"/>
    <w:rsid w:val="00AD6337"/>
    <w:rsid w:val="00AD7B1C"/>
    <w:rsid w:val="00AE038D"/>
    <w:rsid w:val="00AE0A71"/>
    <w:rsid w:val="00AE274B"/>
    <w:rsid w:val="00AE6A56"/>
    <w:rsid w:val="00AE6F94"/>
    <w:rsid w:val="00AF252C"/>
    <w:rsid w:val="00AF498B"/>
    <w:rsid w:val="00AF6896"/>
    <w:rsid w:val="00B01DFC"/>
    <w:rsid w:val="00B0376F"/>
    <w:rsid w:val="00B03B90"/>
    <w:rsid w:val="00B0474E"/>
    <w:rsid w:val="00B10F82"/>
    <w:rsid w:val="00B16DE3"/>
    <w:rsid w:val="00B21FEC"/>
    <w:rsid w:val="00B23064"/>
    <w:rsid w:val="00B24D20"/>
    <w:rsid w:val="00B2640A"/>
    <w:rsid w:val="00B36869"/>
    <w:rsid w:val="00B402AA"/>
    <w:rsid w:val="00B40CF6"/>
    <w:rsid w:val="00B42D65"/>
    <w:rsid w:val="00B433AE"/>
    <w:rsid w:val="00B43A71"/>
    <w:rsid w:val="00B4518A"/>
    <w:rsid w:val="00B46C73"/>
    <w:rsid w:val="00B51EA0"/>
    <w:rsid w:val="00B55F4B"/>
    <w:rsid w:val="00B56C4E"/>
    <w:rsid w:val="00B56E72"/>
    <w:rsid w:val="00B61515"/>
    <w:rsid w:val="00B6277A"/>
    <w:rsid w:val="00B64072"/>
    <w:rsid w:val="00B64380"/>
    <w:rsid w:val="00B67413"/>
    <w:rsid w:val="00B70101"/>
    <w:rsid w:val="00B714A5"/>
    <w:rsid w:val="00B72C31"/>
    <w:rsid w:val="00B74A50"/>
    <w:rsid w:val="00B75F72"/>
    <w:rsid w:val="00B81F12"/>
    <w:rsid w:val="00B82E44"/>
    <w:rsid w:val="00B82F96"/>
    <w:rsid w:val="00B868AD"/>
    <w:rsid w:val="00B87903"/>
    <w:rsid w:val="00B87C2C"/>
    <w:rsid w:val="00B91DCE"/>
    <w:rsid w:val="00B97C53"/>
    <w:rsid w:val="00BA14D4"/>
    <w:rsid w:val="00BA46F5"/>
    <w:rsid w:val="00BA4B0F"/>
    <w:rsid w:val="00BA58B6"/>
    <w:rsid w:val="00BA650B"/>
    <w:rsid w:val="00BA663D"/>
    <w:rsid w:val="00BB2D45"/>
    <w:rsid w:val="00BB5874"/>
    <w:rsid w:val="00BB6617"/>
    <w:rsid w:val="00BB666F"/>
    <w:rsid w:val="00BC54FE"/>
    <w:rsid w:val="00BC5FC1"/>
    <w:rsid w:val="00BC6014"/>
    <w:rsid w:val="00BC7AC9"/>
    <w:rsid w:val="00BD194D"/>
    <w:rsid w:val="00BD1DB5"/>
    <w:rsid w:val="00BD33A9"/>
    <w:rsid w:val="00BD3AB1"/>
    <w:rsid w:val="00BD3F4F"/>
    <w:rsid w:val="00BE1FA8"/>
    <w:rsid w:val="00BE3AE3"/>
    <w:rsid w:val="00BE6C28"/>
    <w:rsid w:val="00BF3CF9"/>
    <w:rsid w:val="00BF4912"/>
    <w:rsid w:val="00BF765A"/>
    <w:rsid w:val="00C0157C"/>
    <w:rsid w:val="00C034ED"/>
    <w:rsid w:val="00C0365E"/>
    <w:rsid w:val="00C03F8C"/>
    <w:rsid w:val="00C05940"/>
    <w:rsid w:val="00C064BE"/>
    <w:rsid w:val="00C126E2"/>
    <w:rsid w:val="00C132BC"/>
    <w:rsid w:val="00C13CE5"/>
    <w:rsid w:val="00C14A71"/>
    <w:rsid w:val="00C15112"/>
    <w:rsid w:val="00C172B2"/>
    <w:rsid w:val="00C2131D"/>
    <w:rsid w:val="00C23042"/>
    <w:rsid w:val="00C24210"/>
    <w:rsid w:val="00C242C2"/>
    <w:rsid w:val="00C2791C"/>
    <w:rsid w:val="00C31AFE"/>
    <w:rsid w:val="00C35C91"/>
    <w:rsid w:val="00C41D8B"/>
    <w:rsid w:val="00C42371"/>
    <w:rsid w:val="00C43DDC"/>
    <w:rsid w:val="00C459AA"/>
    <w:rsid w:val="00C469F0"/>
    <w:rsid w:val="00C47192"/>
    <w:rsid w:val="00C501BE"/>
    <w:rsid w:val="00C50553"/>
    <w:rsid w:val="00C50857"/>
    <w:rsid w:val="00C5343F"/>
    <w:rsid w:val="00C54110"/>
    <w:rsid w:val="00C57E34"/>
    <w:rsid w:val="00C60EF8"/>
    <w:rsid w:val="00C6197A"/>
    <w:rsid w:val="00C65540"/>
    <w:rsid w:val="00C670EC"/>
    <w:rsid w:val="00C67FF0"/>
    <w:rsid w:val="00C7288E"/>
    <w:rsid w:val="00C75A3B"/>
    <w:rsid w:val="00C80564"/>
    <w:rsid w:val="00C80B17"/>
    <w:rsid w:val="00C82268"/>
    <w:rsid w:val="00C83A16"/>
    <w:rsid w:val="00C8631A"/>
    <w:rsid w:val="00C864C7"/>
    <w:rsid w:val="00C901AD"/>
    <w:rsid w:val="00C96754"/>
    <w:rsid w:val="00C96CE9"/>
    <w:rsid w:val="00C9783C"/>
    <w:rsid w:val="00CA04DB"/>
    <w:rsid w:val="00CA6792"/>
    <w:rsid w:val="00CB120B"/>
    <w:rsid w:val="00CB2094"/>
    <w:rsid w:val="00CB56EE"/>
    <w:rsid w:val="00CC2107"/>
    <w:rsid w:val="00CC244D"/>
    <w:rsid w:val="00CC2CF3"/>
    <w:rsid w:val="00CC48E6"/>
    <w:rsid w:val="00CC5063"/>
    <w:rsid w:val="00CC7C94"/>
    <w:rsid w:val="00CD034E"/>
    <w:rsid w:val="00CD1FF2"/>
    <w:rsid w:val="00CD2B6A"/>
    <w:rsid w:val="00CE2E00"/>
    <w:rsid w:val="00CE2E81"/>
    <w:rsid w:val="00CE6BA6"/>
    <w:rsid w:val="00CE7424"/>
    <w:rsid w:val="00CE7FCE"/>
    <w:rsid w:val="00CF2BAA"/>
    <w:rsid w:val="00CF2EEA"/>
    <w:rsid w:val="00CF70D8"/>
    <w:rsid w:val="00CF7B84"/>
    <w:rsid w:val="00D0157E"/>
    <w:rsid w:val="00D0407B"/>
    <w:rsid w:val="00D046ED"/>
    <w:rsid w:val="00D04C9A"/>
    <w:rsid w:val="00D070E4"/>
    <w:rsid w:val="00D07801"/>
    <w:rsid w:val="00D128F1"/>
    <w:rsid w:val="00D15F40"/>
    <w:rsid w:val="00D16D77"/>
    <w:rsid w:val="00D17778"/>
    <w:rsid w:val="00D21486"/>
    <w:rsid w:val="00D248DA"/>
    <w:rsid w:val="00D255A8"/>
    <w:rsid w:val="00D25C7F"/>
    <w:rsid w:val="00D31FEE"/>
    <w:rsid w:val="00D32245"/>
    <w:rsid w:val="00D32F79"/>
    <w:rsid w:val="00D333D2"/>
    <w:rsid w:val="00D3359B"/>
    <w:rsid w:val="00D37E8E"/>
    <w:rsid w:val="00D41440"/>
    <w:rsid w:val="00D450DB"/>
    <w:rsid w:val="00D47906"/>
    <w:rsid w:val="00D51ED4"/>
    <w:rsid w:val="00D52C9B"/>
    <w:rsid w:val="00D54F3B"/>
    <w:rsid w:val="00D56138"/>
    <w:rsid w:val="00D60307"/>
    <w:rsid w:val="00D63405"/>
    <w:rsid w:val="00D65B07"/>
    <w:rsid w:val="00D723C6"/>
    <w:rsid w:val="00D72644"/>
    <w:rsid w:val="00D72728"/>
    <w:rsid w:val="00D74B5B"/>
    <w:rsid w:val="00D76040"/>
    <w:rsid w:val="00D762D1"/>
    <w:rsid w:val="00D770DE"/>
    <w:rsid w:val="00D8081E"/>
    <w:rsid w:val="00D83620"/>
    <w:rsid w:val="00D91BB2"/>
    <w:rsid w:val="00D92FB5"/>
    <w:rsid w:val="00D943E8"/>
    <w:rsid w:val="00D94616"/>
    <w:rsid w:val="00D9555F"/>
    <w:rsid w:val="00D96389"/>
    <w:rsid w:val="00D97660"/>
    <w:rsid w:val="00D97855"/>
    <w:rsid w:val="00DA1923"/>
    <w:rsid w:val="00DA2716"/>
    <w:rsid w:val="00DA2955"/>
    <w:rsid w:val="00DA3412"/>
    <w:rsid w:val="00DA6A68"/>
    <w:rsid w:val="00DB4876"/>
    <w:rsid w:val="00DB4ADE"/>
    <w:rsid w:val="00DB6768"/>
    <w:rsid w:val="00DB7712"/>
    <w:rsid w:val="00DC285D"/>
    <w:rsid w:val="00DC38B4"/>
    <w:rsid w:val="00DC466E"/>
    <w:rsid w:val="00DC475E"/>
    <w:rsid w:val="00DC4D13"/>
    <w:rsid w:val="00DC504C"/>
    <w:rsid w:val="00DC6A89"/>
    <w:rsid w:val="00DD194D"/>
    <w:rsid w:val="00DD2DF3"/>
    <w:rsid w:val="00DD563E"/>
    <w:rsid w:val="00DD59E5"/>
    <w:rsid w:val="00DD755A"/>
    <w:rsid w:val="00DE477C"/>
    <w:rsid w:val="00DE58A8"/>
    <w:rsid w:val="00DE7040"/>
    <w:rsid w:val="00DF0DE1"/>
    <w:rsid w:val="00DF15EB"/>
    <w:rsid w:val="00DF4372"/>
    <w:rsid w:val="00DF56E2"/>
    <w:rsid w:val="00E01098"/>
    <w:rsid w:val="00E0637D"/>
    <w:rsid w:val="00E06A35"/>
    <w:rsid w:val="00E07011"/>
    <w:rsid w:val="00E07A6E"/>
    <w:rsid w:val="00E10903"/>
    <w:rsid w:val="00E1104A"/>
    <w:rsid w:val="00E11471"/>
    <w:rsid w:val="00E116E1"/>
    <w:rsid w:val="00E1209A"/>
    <w:rsid w:val="00E13CFF"/>
    <w:rsid w:val="00E1684E"/>
    <w:rsid w:val="00E168CD"/>
    <w:rsid w:val="00E17FC1"/>
    <w:rsid w:val="00E3011B"/>
    <w:rsid w:val="00E3055C"/>
    <w:rsid w:val="00E3156D"/>
    <w:rsid w:val="00E31D66"/>
    <w:rsid w:val="00E31DF6"/>
    <w:rsid w:val="00E31FC9"/>
    <w:rsid w:val="00E321B9"/>
    <w:rsid w:val="00E35659"/>
    <w:rsid w:val="00E37E09"/>
    <w:rsid w:val="00E4005A"/>
    <w:rsid w:val="00E40633"/>
    <w:rsid w:val="00E40686"/>
    <w:rsid w:val="00E43C40"/>
    <w:rsid w:val="00E44710"/>
    <w:rsid w:val="00E506FC"/>
    <w:rsid w:val="00E52B10"/>
    <w:rsid w:val="00E54450"/>
    <w:rsid w:val="00E54F6E"/>
    <w:rsid w:val="00E60A45"/>
    <w:rsid w:val="00E60E65"/>
    <w:rsid w:val="00E626CE"/>
    <w:rsid w:val="00E64260"/>
    <w:rsid w:val="00E6448F"/>
    <w:rsid w:val="00E70A76"/>
    <w:rsid w:val="00E71015"/>
    <w:rsid w:val="00E71698"/>
    <w:rsid w:val="00E72D73"/>
    <w:rsid w:val="00E73873"/>
    <w:rsid w:val="00E73DB7"/>
    <w:rsid w:val="00E74D20"/>
    <w:rsid w:val="00E80247"/>
    <w:rsid w:val="00E8059B"/>
    <w:rsid w:val="00E825D3"/>
    <w:rsid w:val="00E87DF8"/>
    <w:rsid w:val="00E9141E"/>
    <w:rsid w:val="00E92D51"/>
    <w:rsid w:val="00E93A07"/>
    <w:rsid w:val="00E957E1"/>
    <w:rsid w:val="00E96429"/>
    <w:rsid w:val="00E97AFB"/>
    <w:rsid w:val="00EA042B"/>
    <w:rsid w:val="00EA3A9F"/>
    <w:rsid w:val="00EA401E"/>
    <w:rsid w:val="00EA68D6"/>
    <w:rsid w:val="00EB0EB7"/>
    <w:rsid w:val="00EB5CE0"/>
    <w:rsid w:val="00EC2221"/>
    <w:rsid w:val="00EC2F35"/>
    <w:rsid w:val="00EC3C01"/>
    <w:rsid w:val="00EC42BD"/>
    <w:rsid w:val="00EC70ED"/>
    <w:rsid w:val="00ED2241"/>
    <w:rsid w:val="00ED2949"/>
    <w:rsid w:val="00EE2A57"/>
    <w:rsid w:val="00EE38F5"/>
    <w:rsid w:val="00EE54F1"/>
    <w:rsid w:val="00EE55BF"/>
    <w:rsid w:val="00EE5CC7"/>
    <w:rsid w:val="00EE5F19"/>
    <w:rsid w:val="00EE6FD9"/>
    <w:rsid w:val="00EF2028"/>
    <w:rsid w:val="00EF38CE"/>
    <w:rsid w:val="00EF450C"/>
    <w:rsid w:val="00EF7515"/>
    <w:rsid w:val="00F0156D"/>
    <w:rsid w:val="00F02CCE"/>
    <w:rsid w:val="00F06BC6"/>
    <w:rsid w:val="00F1016F"/>
    <w:rsid w:val="00F11DAB"/>
    <w:rsid w:val="00F14EB7"/>
    <w:rsid w:val="00F15AF2"/>
    <w:rsid w:val="00F15C43"/>
    <w:rsid w:val="00F2208A"/>
    <w:rsid w:val="00F22CF0"/>
    <w:rsid w:val="00F24706"/>
    <w:rsid w:val="00F24EEC"/>
    <w:rsid w:val="00F255E8"/>
    <w:rsid w:val="00F26707"/>
    <w:rsid w:val="00F326A8"/>
    <w:rsid w:val="00F33B97"/>
    <w:rsid w:val="00F347EE"/>
    <w:rsid w:val="00F36F26"/>
    <w:rsid w:val="00F37375"/>
    <w:rsid w:val="00F40C02"/>
    <w:rsid w:val="00F41A6D"/>
    <w:rsid w:val="00F47B65"/>
    <w:rsid w:val="00F50336"/>
    <w:rsid w:val="00F56505"/>
    <w:rsid w:val="00F63CB8"/>
    <w:rsid w:val="00F64697"/>
    <w:rsid w:val="00F6493B"/>
    <w:rsid w:val="00F65373"/>
    <w:rsid w:val="00F65944"/>
    <w:rsid w:val="00F6683E"/>
    <w:rsid w:val="00F720D3"/>
    <w:rsid w:val="00F743E2"/>
    <w:rsid w:val="00F769EA"/>
    <w:rsid w:val="00F87D53"/>
    <w:rsid w:val="00F90AFB"/>
    <w:rsid w:val="00F941E5"/>
    <w:rsid w:val="00F96231"/>
    <w:rsid w:val="00F968AE"/>
    <w:rsid w:val="00F97465"/>
    <w:rsid w:val="00FA1042"/>
    <w:rsid w:val="00FA2602"/>
    <w:rsid w:val="00FA7C6F"/>
    <w:rsid w:val="00FA7E53"/>
    <w:rsid w:val="00FB1E29"/>
    <w:rsid w:val="00FB1F03"/>
    <w:rsid w:val="00FB1FA6"/>
    <w:rsid w:val="00FB2803"/>
    <w:rsid w:val="00FB43A5"/>
    <w:rsid w:val="00FB4952"/>
    <w:rsid w:val="00FB52C8"/>
    <w:rsid w:val="00FB59CE"/>
    <w:rsid w:val="00FB61F0"/>
    <w:rsid w:val="00FB6539"/>
    <w:rsid w:val="00FC0CAF"/>
    <w:rsid w:val="00FC191C"/>
    <w:rsid w:val="00FC1B53"/>
    <w:rsid w:val="00FC2835"/>
    <w:rsid w:val="00FC38A2"/>
    <w:rsid w:val="00FC5D52"/>
    <w:rsid w:val="00FC64B3"/>
    <w:rsid w:val="00FD0269"/>
    <w:rsid w:val="00FD0F11"/>
    <w:rsid w:val="00FD2374"/>
    <w:rsid w:val="00FD5CAF"/>
    <w:rsid w:val="00FD72C4"/>
    <w:rsid w:val="00FD72DB"/>
    <w:rsid w:val="00FD75F4"/>
    <w:rsid w:val="00FE1EC5"/>
    <w:rsid w:val="00FE280B"/>
    <w:rsid w:val="00FE4C1E"/>
    <w:rsid w:val="00FE589A"/>
    <w:rsid w:val="00FE5A9B"/>
    <w:rsid w:val="00FE74A2"/>
    <w:rsid w:val="00FE7F7E"/>
    <w:rsid w:val="00FF0C48"/>
    <w:rsid w:val="00FF16E5"/>
    <w:rsid w:val="00FF28AB"/>
    <w:rsid w:val="00FF6E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93C1156"/>
  <w15:docId w15:val="{E1DA3944-66C1-43F0-AA5F-0C49FC932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2E6F"/>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5B3F05"/>
    <w:pPr>
      <w:keepNext/>
      <w:keepLines/>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060C84"/>
    <w:pPr>
      <w:keepNext/>
      <w:keepLines/>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8651F"/>
    <w:rPr>
      <w:rFonts w:eastAsia="Times New Roman" w:cs="Times New Roman"/>
      <w:szCs w:val="24"/>
    </w:rPr>
  </w:style>
  <w:style w:type="paragraph" w:styleId="ListParagraph">
    <w:name w:val="List Paragraph"/>
    <w:basedOn w:val="Normal"/>
    <w:uiPriority w:val="34"/>
    <w:qFormat/>
    <w:rsid w:val="0058651F"/>
    <w:pPr>
      <w:ind w:left="720"/>
      <w:contextualSpacing/>
    </w:pPr>
  </w:style>
  <w:style w:type="paragraph" w:styleId="BodyText">
    <w:name w:val="Body Text"/>
    <w:aliases w:val="Body Text Char Char"/>
    <w:basedOn w:val="Normal"/>
    <w:link w:val="BodyTextChar"/>
    <w:rsid w:val="00262C58"/>
    <w:rPr>
      <w:rFonts w:eastAsia="Times New Roman" w:cs="Times New Roman"/>
      <w:szCs w:val="20"/>
    </w:rPr>
  </w:style>
  <w:style w:type="character" w:customStyle="1" w:styleId="BodyTextChar">
    <w:name w:val="Body Text Char"/>
    <w:aliases w:val="Body Text Char Char Char"/>
    <w:basedOn w:val="DefaultParagraphFont"/>
    <w:link w:val="BodyText"/>
    <w:rsid w:val="00262C58"/>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262C58"/>
    <w:pPr>
      <w:spacing w:after="120"/>
      <w:ind w:left="360"/>
    </w:pPr>
  </w:style>
  <w:style w:type="character" w:customStyle="1" w:styleId="BodyTextIndentChar">
    <w:name w:val="Body Text Indent Char"/>
    <w:basedOn w:val="DefaultParagraphFont"/>
    <w:link w:val="BodyTextIndent"/>
    <w:uiPriority w:val="99"/>
    <w:semiHidden/>
    <w:rsid w:val="00262C58"/>
  </w:style>
  <w:style w:type="paragraph" w:styleId="BalloonText">
    <w:name w:val="Balloon Text"/>
    <w:basedOn w:val="Normal"/>
    <w:link w:val="BalloonTextChar"/>
    <w:uiPriority w:val="99"/>
    <w:semiHidden/>
    <w:unhideWhenUsed/>
    <w:rsid w:val="00C619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197A"/>
    <w:rPr>
      <w:rFonts w:ascii="Lucida Grande" w:hAnsi="Lucida Grande" w:cs="Lucida Grande"/>
      <w:sz w:val="18"/>
      <w:szCs w:val="18"/>
    </w:rPr>
  </w:style>
  <w:style w:type="table" w:styleId="TableGrid">
    <w:name w:val="Table Grid"/>
    <w:basedOn w:val="TableNormal"/>
    <w:uiPriority w:val="59"/>
    <w:rsid w:val="006E68D1"/>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433F1"/>
    <w:pPr>
      <w:spacing w:after="0" w:line="240" w:lineRule="auto"/>
    </w:pPr>
  </w:style>
  <w:style w:type="character" w:styleId="CommentReference">
    <w:name w:val="annotation reference"/>
    <w:basedOn w:val="DefaultParagraphFont"/>
    <w:uiPriority w:val="99"/>
    <w:semiHidden/>
    <w:unhideWhenUsed/>
    <w:rsid w:val="004A4A23"/>
    <w:rPr>
      <w:sz w:val="18"/>
      <w:szCs w:val="18"/>
    </w:rPr>
  </w:style>
  <w:style w:type="paragraph" w:styleId="CommentText">
    <w:name w:val="annotation text"/>
    <w:basedOn w:val="Normal"/>
    <w:link w:val="CommentTextChar"/>
    <w:uiPriority w:val="99"/>
    <w:unhideWhenUsed/>
    <w:rsid w:val="004A4A23"/>
    <w:rPr>
      <w:szCs w:val="24"/>
    </w:rPr>
  </w:style>
  <w:style w:type="character" w:customStyle="1" w:styleId="CommentTextChar">
    <w:name w:val="Comment Text Char"/>
    <w:basedOn w:val="DefaultParagraphFont"/>
    <w:link w:val="CommentText"/>
    <w:uiPriority w:val="99"/>
    <w:rsid w:val="004A4A23"/>
    <w:rPr>
      <w:sz w:val="24"/>
      <w:szCs w:val="24"/>
    </w:rPr>
  </w:style>
  <w:style w:type="paragraph" w:styleId="CommentSubject">
    <w:name w:val="annotation subject"/>
    <w:basedOn w:val="CommentText"/>
    <w:next w:val="CommentText"/>
    <w:link w:val="CommentSubjectChar"/>
    <w:uiPriority w:val="99"/>
    <w:semiHidden/>
    <w:unhideWhenUsed/>
    <w:rsid w:val="004A4A23"/>
    <w:rPr>
      <w:b/>
      <w:bCs/>
      <w:sz w:val="20"/>
      <w:szCs w:val="20"/>
    </w:rPr>
  </w:style>
  <w:style w:type="character" w:customStyle="1" w:styleId="CommentSubjectChar">
    <w:name w:val="Comment Subject Char"/>
    <w:basedOn w:val="CommentTextChar"/>
    <w:link w:val="CommentSubject"/>
    <w:uiPriority w:val="99"/>
    <w:semiHidden/>
    <w:rsid w:val="004A4A23"/>
    <w:rPr>
      <w:b/>
      <w:bCs/>
      <w:sz w:val="20"/>
      <w:szCs w:val="20"/>
    </w:rPr>
  </w:style>
  <w:style w:type="character" w:styleId="Hyperlink">
    <w:name w:val="Hyperlink"/>
    <w:basedOn w:val="DefaultParagraphFont"/>
    <w:uiPriority w:val="99"/>
    <w:unhideWhenUsed/>
    <w:rsid w:val="00543EED"/>
    <w:rPr>
      <w:color w:val="0000FF" w:themeColor="hyperlink"/>
      <w:u w:val="single"/>
    </w:rPr>
  </w:style>
  <w:style w:type="paragraph" w:styleId="NoSpacing">
    <w:name w:val="No Spacing"/>
    <w:uiPriority w:val="1"/>
    <w:qFormat/>
    <w:rsid w:val="00377750"/>
    <w:pPr>
      <w:spacing w:after="0" w:line="240" w:lineRule="auto"/>
    </w:pPr>
  </w:style>
  <w:style w:type="character" w:customStyle="1" w:styleId="mixed-citation">
    <w:name w:val="mixed-citation"/>
    <w:basedOn w:val="DefaultParagraphFont"/>
    <w:rsid w:val="00377750"/>
  </w:style>
  <w:style w:type="character" w:customStyle="1" w:styleId="Heading1Char">
    <w:name w:val="Heading 1 Char"/>
    <w:basedOn w:val="DefaultParagraphFont"/>
    <w:link w:val="Heading1"/>
    <w:uiPriority w:val="9"/>
    <w:rsid w:val="005B3F05"/>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060C84"/>
    <w:rPr>
      <w:rFonts w:ascii="Times New Roman" w:eastAsiaTheme="majorEastAsia" w:hAnsi="Times New Roman" w:cstheme="majorBidi"/>
      <w:b/>
      <w:sz w:val="24"/>
      <w:szCs w:val="26"/>
    </w:rPr>
  </w:style>
  <w:style w:type="character" w:customStyle="1" w:styleId="UnresolvedMention1">
    <w:name w:val="Unresolved Mention1"/>
    <w:basedOn w:val="DefaultParagraphFont"/>
    <w:uiPriority w:val="99"/>
    <w:semiHidden/>
    <w:unhideWhenUsed/>
    <w:rsid w:val="001B31CB"/>
    <w:rPr>
      <w:color w:val="808080"/>
      <w:shd w:val="clear" w:color="auto" w:fill="E6E6E6"/>
    </w:rPr>
  </w:style>
  <w:style w:type="paragraph" w:styleId="Header">
    <w:name w:val="header"/>
    <w:basedOn w:val="Normal"/>
    <w:link w:val="HeaderChar"/>
    <w:uiPriority w:val="99"/>
    <w:unhideWhenUsed/>
    <w:rsid w:val="00A222CE"/>
    <w:pPr>
      <w:tabs>
        <w:tab w:val="center" w:pos="4680"/>
        <w:tab w:val="right" w:pos="9360"/>
      </w:tabs>
    </w:pPr>
  </w:style>
  <w:style w:type="character" w:customStyle="1" w:styleId="HeaderChar">
    <w:name w:val="Header Char"/>
    <w:basedOn w:val="DefaultParagraphFont"/>
    <w:link w:val="Header"/>
    <w:uiPriority w:val="99"/>
    <w:rsid w:val="00A222CE"/>
    <w:rPr>
      <w:rFonts w:ascii="Times New Roman" w:hAnsi="Times New Roman"/>
      <w:sz w:val="24"/>
    </w:rPr>
  </w:style>
  <w:style w:type="paragraph" w:styleId="Footer">
    <w:name w:val="footer"/>
    <w:basedOn w:val="Normal"/>
    <w:link w:val="FooterChar"/>
    <w:uiPriority w:val="99"/>
    <w:unhideWhenUsed/>
    <w:rsid w:val="00A222CE"/>
    <w:pPr>
      <w:tabs>
        <w:tab w:val="center" w:pos="4680"/>
        <w:tab w:val="right" w:pos="9360"/>
      </w:tabs>
    </w:pPr>
  </w:style>
  <w:style w:type="character" w:customStyle="1" w:styleId="FooterChar">
    <w:name w:val="Footer Char"/>
    <w:basedOn w:val="DefaultParagraphFont"/>
    <w:link w:val="Footer"/>
    <w:uiPriority w:val="99"/>
    <w:rsid w:val="00A222CE"/>
    <w:rPr>
      <w:rFonts w:ascii="Times New Roman" w:hAnsi="Times New Roman"/>
      <w:sz w:val="24"/>
    </w:rPr>
  </w:style>
  <w:style w:type="character" w:styleId="Strong">
    <w:name w:val="Strong"/>
    <w:basedOn w:val="DefaultParagraphFont"/>
    <w:uiPriority w:val="22"/>
    <w:qFormat/>
    <w:rsid w:val="00514B1A"/>
    <w:rPr>
      <w:b/>
      <w:bCs/>
    </w:rPr>
  </w:style>
  <w:style w:type="character" w:customStyle="1" w:styleId="UnresolvedMention2">
    <w:name w:val="Unresolved Mention2"/>
    <w:basedOn w:val="DefaultParagraphFont"/>
    <w:uiPriority w:val="99"/>
    <w:semiHidden/>
    <w:unhideWhenUsed/>
    <w:rsid w:val="00D92FB5"/>
    <w:rPr>
      <w:color w:val="605E5C"/>
      <w:shd w:val="clear" w:color="auto" w:fill="E1DFDD"/>
    </w:rPr>
  </w:style>
  <w:style w:type="paragraph" w:styleId="IntenseQuote">
    <w:name w:val="Intense Quote"/>
    <w:basedOn w:val="Normal"/>
    <w:next w:val="Normal"/>
    <w:link w:val="IntenseQuoteChar"/>
    <w:uiPriority w:val="30"/>
    <w:qFormat/>
    <w:rsid w:val="00A722F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A722FF"/>
    <w:rPr>
      <w:rFonts w:ascii="Times New Roman" w:hAnsi="Times New Roman"/>
      <w:i/>
      <w:iCs/>
      <w:color w:val="4F81BD" w:themeColor="accent1"/>
      <w:sz w:val="24"/>
    </w:rPr>
  </w:style>
  <w:style w:type="character" w:styleId="UnresolvedMention">
    <w:name w:val="Unresolved Mention"/>
    <w:basedOn w:val="DefaultParagraphFont"/>
    <w:uiPriority w:val="99"/>
    <w:semiHidden/>
    <w:unhideWhenUsed/>
    <w:rsid w:val="00E3156D"/>
    <w:rPr>
      <w:color w:val="605E5C"/>
      <w:shd w:val="clear" w:color="auto" w:fill="E1DFDD"/>
    </w:rPr>
  </w:style>
  <w:style w:type="character" w:styleId="FollowedHyperlink">
    <w:name w:val="FollowedHyperlink"/>
    <w:basedOn w:val="DefaultParagraphFont"/>
    <w:uiPriority w:val="99"/>
    <w:semiHidden/>
    <w:unhideWhenUsed/>
    <w:rsid w:val="007B007F"/>
    <w:rPr>
      <w:color w:val="800080" w:themeColor="followedHyperlink"/>
      <w:u w:val="single"/>
    </w:rPr>
  </w:style>
  <w:style w:type="paragraph" w:styleId="FootnoteText">
    <w:name w:val="footnote text"/>
    <w:basedOn w:val="Normal"/>
    <w:link w:val="FootnoteTextChar"/>
    <w:uiPriority w:val="99"/>
    <w:semiHidden/>
    <w:unhideWhenUsed/>
    <w:rsid w:val="000D20B8"/>
    <w:rPr>
      <w:sz w:val="20"/>
      <w:szCs w:val="20"/>
    </w:rPr>
  </w:style>
  <w:style w:type="character" w:customStyle="1" w:styleId="FootnoteTextChar">
    <w:name w:val="Footnote Text Char"/>
    <w:basedOn w:val="DefaultParagraphFont"/>
    <w:link w:val="FootnoteText"/>
    <w:uiPriority w:val="99"/>
    <w:semiHidden/>
    <w:rsid w:val="000D20B8"/>
    <w:rPr>
      <w:rFonts w:ascii="Times New Roman" w:hAnsi="Times New Roman"/>
      <w:sz w:val="20"/>
      <w:szCs w:val="20"/>
    </w:rPr>
  </w:style>
  <w:style w:type="character" w:styleId="FootnoteReference">
    <w:name w:val="footnote reference"/>
    <w:basedOn w:val="DefaultParagraphFont"/>
    <w:uiPriority w:val="99"/>
    <w:semiHidden/>
    <w:unhideWhenUsed/>
    <w:rsid w:val="000D20B8"/>
    <w:rPr>
      <w:vertAlign w:val="superscript"/>
    </w:rPr>
  </w:style>
  <w:style w:type="character" w:customStyle="1" w:styleId="apple-converted-space">
    <w:name w:val="apple-converted-space"/>
    <w:basedOn w:val="DefaultParagraphFont"/>
    <w:rsid w:val="00AF68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371362">
      <w:bodyDiv w:val="1"/>
      <w:marLeft w:val="0"/>
      <w:marRight w:val="0"/>
      <w:marTop w:val="0"/>
      <w:marBottom w:val="0"/>
      <w:divBdr>
        <w:top w:val="none" w:sz="0" w:space="0" w:color="auto"/>
        <w:left w:val="none" w:sz="0" w:space="0" w:color="auto"/>
        <w:bottom w:val="none" w:sz="0" w:space="0" w:color="auto"/>
        <w:right w:val="none" w:sz="0" w:space="0" w:color="auto"/>
      </w:divBdr>
    </w:div>
    <w:div w:id="789209057">
      <w:bodyDiv w:val="1"/>
      <w:marLeft w:val="0"/>
      <w:marRight w:val="0"/>
      <w:marTop w:val="0"/>
      <w:marBottom w:val="0"/>
      <w:divBdr>
        <w:top w:val="none" w:sz="0" w:space="0" w:color="auto"/>
        <w:left w:val="none" w:sz="0" w:space="0" w:color="auto"/>
        <w:bottom w:val="none" w:sz="0" w:space="0" w:color="auto"/>
        <w:right w:val="none" w:sz="0" w:space="0" w:color="auto"/>
      </w:divBdr>
    </w:div>
    <w:div w:id="944188068">
      <w:bodyDiv w:val="1"/>
      <w:marLeft w:val="0"/>
      <w:marRight w:val="0"/>
      <w:marTop w:val="0"/>
      <w:marBottom w:val="0"/>
      <w:divBdr>
        <w:top w:val="none" w:sz="0" w:space="0" w:color="auto"/>
        <w:left w:val="none" w:sz="0" w:space="0" w:color="auto"/>
        <w:bottom w:val="none" w:sz="0" w:space="0" w:color="auto"/>
        <w:right w:val="none" w:sz="0" w:space="0" w:color="auto"/>
      </w:divBdr>
    </w:div>
    <w:div w:id="1215242191">
      <w:bodyDiv w:val="1"/>
      <w:marLeft w:val="0"/>
      <w:marRight w:val="0"/>
      <w:marTop w:val="0"/>
      <w:marBottom w:val="0"/>
      <w:divBdr>
        <w:top w:val="none" w:sz="0" w:space="0" w:color="auto"/>
        <w:left w:val="none" w:sz="0" w:space="0" w:color="auto"/>
        <w:bottom w:val="none" w:sz="0" w:space="0" w:color="auto"/>
        <w:right w:val="none" w:sz="0" w:space="0" w:color="auto"/>
      </w:divBdr>
    </w:div>
    <w:div w:id="1346054800">
      <w:bodyDiv w:val="1"/>
      <w:marLeft w:val="0"/>
      <w:marRight w:val="0"/>
      <w:marTop w:val="0"/>
      <w:marBottom w:val="0"/>
      <w:divBdr>
        <w:top w:val="none" w:sz="0" w:space="0" w:color="auto"/>
        <w:left w:val="none" w:sz="0" w:space="0" w:color="auto"/>
        <w:bottom w:val="none" w:sz="0" w:space="0" w:color="auto"/>
        <w:right w:val="none" w:sz="0" w:space="0" w:color="auto"/>
      </w:divBdr>
      <w:divsChild>
        <w:div w:id="345643515">
          <w:marLeft w:val="0"/>
          <w:marRight w:val="0"/>
          <w:marTop w:val="0"/>
          <w:marBottom w:val="0"/>
          <w:divBdr>
            <w:top w:val="none" w:sz="0" w:space="0" w:color="auto"/>
            <w:left w:val="none" w:sz="0" w:space="0" w:color="auto"/>
            <w:bottom w:val="none" w:sz="0" w:space="0" w:color="auto"/>
            <w:right w:val="none" w:sz="0" w:space="0" w:color="auto"/>
          </w:divBdr>
        </w:div>
      </w:divsChild>
    </w:div>
    <w:div w:id="1391927355">
      <w:bodyDiv w:val="1"/>
      <w:marLeft w:val="0"/>
      <w:marRight w:val="0"/>
      <w:marTop w:val="0"/>
      <w:marBottom w:val="0"/>
      <w:divBdr>
        <w:top w:val="none" w:sz="0" w:space="0" w:color="auto"/>
        <w:left w:val="none" w:sz="0" w:space="0" w:color="auto"/>
        <w:bottom w:val="none" w:sz="0" w:space="0" w:color="auto"/>
        <w:right w:val="none" w:sz="0" w:space="0" w:color="auto"/>
      </w:divBdr>
    </w:div>
    <w:div w:id="1432579867">
      <w:bodyDiv w:val="1"/>
      <w:marLeft w:val="0"/>
      <w:marRight w:val="0"/>
      <w:marTop w:val="0"/>
      <w:marBottom w:val="0"/>
      <w:divBdr>
        <w:top w:val="none" w:sz="0" w:space="0" w:color="auto"/>
        <w:left w:val="none" w:sz="0" w:space="0" w:color="auto"/>
        <w:bottom w:val="none" w:sz="0" w:space="0" w:color="auto"/>
        <w:right w:val="none" w:sz="0" w:space="0" w:color="auto"/>
      </w:divBdr>
      <w:divsChild>
        <w:div w:id="37168568">
          <w:marLeft w:val="600"/>
          <w:marRight w:val="0"/>
          <w:marTop w:val="0"/>
          <w:marBottom w:val="0"/>
          <w:divBdr>
            <w:top w:val="none" w:sz="0" w:space="0" w:color="auto"/>
            <w:left w:val="none" w:sz="0" w:space="0" w:color="auto"/>
            <w:bottom w:val="none" w:sz="0" w:space="0" w:color="auto"/>
            <w:right w:val="none" w:sz="0" w:space="0" w:color="auto"/>
          </w:divBdr>
        </w:div>
        <w:div w:id="923300007">
          <w:blockQuote w:val="1"/>
          <w:marLeft w:val="0"/>
          <w:marRight w:val="0"/>
          <w:marTop w:val="0"/>
          <w:marBottom w:val="0"/>
          <w:divBdr>
            <w:top w:val="none" w:sz="0" w:space="0" w:color="auto"/>
            <w:left w:val="none" w:sz="0" w:space="0" w:color="auto"/>
            <w:bottom w:val="none" w:sz="0" w:space="0" w:color="auto"/>
            <w:right w:val="none" w:sz="0" w:space="0" w:color="auto"/>
          </w:divBdr>
          <w:divsChild>
            <w:div w:id="13942018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73894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neal@kent.edu" TargetMode="External"/><Relationship Id="rId18" Type="http://schemas.openxmlformats.org/officeDocument/2006/relationships/hyperlink" Target="mailto:ely.laura.j@gmail.com" TargetMode="External"/><Relationship Id="rId26" Type="http://schemas.openxmlformats.org/officeDocument/2006/relationships/hyperlink" Target="http://www.bfrb.org" TargetMode="External"/><Relationship Id="rId3" Type="http://schemas.openxmlformats.org/officeDocument/2006/relationships/styles" Target="styles.xml"/><Relationship Id="rId21" Type="http://schemas.openxmlformats.org/officeDocument/2006/relationships/hyperlink" Target="mailto:jalexander@houstonocd.org" TargetMode="External"/><Relationship Id="rId7" Type="http://schemas.openxmlformats.org/officeDocument/2006/relationships/endnotes" Target="endnotes.xml"/><Relationship Id="rId12" Type="http://schemas.openxmlformats.org/officeDocument/2006/relationships/hyperlink" Target="mailto:compt004@duke.edu" TargetMode="External"/><Relationship Id="rId17" Type="http://schemas.openxmlformats.org/officeDocument/2006/relationships/hyperlink" Target="mailto:douglas.woods@marquette.edu" TargetMode="External"/><Relationship Id="rId25" Type="http://schemas.openxmlformats.org/officeDocument/2006/relationships/hyperlink" Target="http://www.clinicaltrials.gov"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douglas.woods@marquette.edu" TargetMode="External"/><Relationship Id="rId20" Type="http://schemas.openxmlformats.org/officeDocument/2006/relationships/hyperlink" Target="mailto:espil@stanford.edu"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chael.twohig@usu.edu" TargetMode="External"/><Relationship Id="rId24" Type="http://schemas.openxmlformats.org/officeDocument/2006/relationships/hyperlink" Target="mailto:thilo.deckersbach@diploma.d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Martin.Franklin@rogersbh.org" TargetMode="External"/><Relationship Id="rId23" Type="http://schemas.openxmlformats.org/officeDocument/2006/relationships/hyperlink" Target="mailto:Martin.Franklin@rogersbh.org" TargetMode="External"/><Relationship Id="rId28" Type="http://schemas.openxmlformats.org/officeDocument/2006/relationships/header" Target="header1.xml"/><Relationship Id="rId10" Type="http://schemas.openxmlformats.org/officeDocument/2006/relationships/hyperlink" Target="mailto:cahill@uwm.edu" TargetMode="External"/><Relationship Id="rId19" Type="http://schemas.openxmlformats.org/officeDocument/2006/relationships/hyperlink" Target="mailto:chbauer@mcw.edu"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stephen.saunders@marquette.edu" TargetMode="External"/><Relationship Id="rId14" Type="http://schemas.openxmlformats.org/officeDocument/2006/relationships/hyperlink" Target="mailto:thilo.deckersbach@diploma.de" TargetMode="External"/><Relationship Id="rId22" Type="http://schemas.openxmlformats.org/officeDocument/2006/relationships/hyperlink" Target="mailto:michael_walther@brown.edu" TargetMode="External"/><Relationship Id="rId27" Type="http://schemas.openxmlformats.org/officeDocument/2006/relationships/hyperlink" Target="https://doi.org/10.1016/j.jocrd.2018.04.003" TargetMode="External"/><Relationship Id="rId30" Type="http://schemas.openxmlformats.org/officeDocument/2006/relationships/header" Target="header3.xml"/><Relationship Id="rId8" Type="http://schemas.openxmlformats.org/officeDocument/2006/relationships/hyperlink" Target="mailto:douglas.woods@marquet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B0D34-67C1-1F44-BE3C-8B1137D83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34165</Words>
  <Characters>194742</Characters>
  <Application>Microsoft Office Word</Application>
  <DocSecurity>0</DocSecurity>
  <Lines>1622</Lines>
  <Paragraphs>456</Paragraphs>
  <ScaleCrop>false</ScaleCrop>
  <HeadingPairs>
    <vt:vector size="2" baseType="variant">
      <vt:variant>
        <vt:lpstr>Title</vt:lpstr>
      </vt:variant>
      <vt:variant>
        <vt:i4>1</vt:i4>
      </vt:variant>
    </vt:vector>
  </HeadingPairs>
  <TitlesOfParts>
    <vt:vector size="1" baseType="lpstr">
      <vt:lpstr/>
    </vt:vector>
  </TitlesOfParts>
  <Company>UW-Milwaukee</Company>
  <LinksUpToDate>false</LinksUpToDate>
  <CharactersWithSpaces>228451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Douglas W Woods</dc:creator>
  <cp:lastModifiedBy>Woods, Doug</cp:lastModifiedBy>
  <cp:revision>2</cp:revision>
  <cp:lastPrinted>2022-06-30T15:55:00Z</cp:lastPrinted>
  <dcterms:created xsi:type="dcterms:W3CDTF">2022-08-12T16:11:00Z</dcterms:created>
  <dcterms:modified xsi:type="dcterms:W3CDTF">2022-08-12T16:11:00Z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849d4e48-0282-3f1e-9826-9f97d09e67ef</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http://www.zotero.org/styles/american-sociological-association</vt:lpwstr>
  </property>
  <property fmtid="{D5CDD505-2E9C-101B-9397-08002B2CF9AE}" pid="9" name="Mendeley Recent Style Name 2_1">
    <vt:lpwstr>American Sociological Association 6th edition</vt:lpwstr>
  </property>
  <property fmtid="{D5CDD505-2E9C-101B-9397-08002B2CF9AE}" pid="10" name="Mendeley Recent Style Id 3_1">
    <vt:lpwstr>http://www.zotero.org/styles/behaviour-research-and-therapy</vt:lpwstr>
  </property>
  <property fmtid="{D5CDD505-2E9C-101B-9397-08002B2CF9AE}" pid="11" name="Mendeley Recent Style Name 3_1">
    <vt:lpwstr>Behaviour Research and Therapy</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17th edition (author-date)</vt:lpwstr>
  </property>
  <property fmtid="{D5CDD505-2E9C-101B-9397-08002B2CF9AE}" pid="14" name="Mendeley Recent Style Id 5_1">
    <vt:lpwstr>http://www.zotero.org/styles/harvard-cite-them-right</vt:lpwstr>
  </property>
  <property fmtid="{D5CDD505-2E9C-101B-9397-08002B2CF9AE}" pid="15" name="Mendeley Recent Style Name 5_1">
    <vt:lpwstr>Cite Them Right 10th edition - Harvard</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8th edition</vt:lpwstr>
  </property>
  <property fmtid="{D5CDD505-2E9C-101B-9397-08002B2CF9AE}" pid="22" name="Mendeley Recent Style Id 9_1">
    <vt:lpwstr>http://www.zotero.org/styles/the-american-journal-of-psychiatry</vt:lpwstr>
  </property>
  <property fmtid="{D5CDD505-2E9C-101B-9397-08002B2CF9AE}" pid="23" name="Mendeley Recent Style Name 9_1">
    <vt:lpwstr>The American Journal of Psychiatry</vt:lpwstr>
  </property>
  <property fmtid="{D5CDD505-2E9C-101B-9397-08002B2CF9AE}" pid="24" name="Mendeley Citation Style_1">
    <vt:lpwstr>http://www.zotero.org/styles/behaviour-research-and-therapy</vt:lpwstr>
  </property>
</Properties>
</file>