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567F9" w14:textId="2F02A209" w:rsidR="00EB3E00" w:rsidRDefault="00EB3E00" w:rsidP="0087440A">
      <w:pPr>
        <w:spacing w:line="480" w:lineRule="auto"/>
        <w:rPr>
          <w:b/>
          <w:bCs/>
        </w:rPr>
      </w:pPr>
    </w:p>
    <w:p w14:paraId="130F0060" w14:textId="418E12D4" w:rsidR="00EB3E00" w:rsidRDefault="00EB3E00" w:rsidP="0087440A">
      <w:pPr>
        <w:spacing w:line="480" w:lineRule="auto"/>
        <w:rPr>
          <w:b/>
          <w:bCs/>
        </w:rPr>
      </w:pPr>
    </w:p>
    <w:p w14:paraId="02753273" w14:textId="7A20B283" w:rsidR="00EB3E00" w:rsidRDefault="00EB3E00" w:rsidP="0087440A">
      <w:pPr>
        <w:spacing w:line="480" w:lineRule="auto"/>
      </w:pPr>
    </w:p>
    <w:p w14:paraId="3D0C0C43" w14:textId="77777777" w:rsidR="00342CF3" w:rsidRDefault="00342CF3" w:rsidP="00342CF3">
      <w:pPr>
        <w:spacing w:line="480" w:lineRule="auto"/>
        <w:rPr>
          <w:b/>
          <w:bCs/>
        </w:rPr>
      </w:pPr>
    </w:p>
    <w:p w14:paraId="12F4C550" w14:textId="77777777" w:rsidR="00342CF3" w:rsidRPr="004A375A" w:rsidRDefault="00342CF3" w:rsidP="00342CF3">
      <w:pPr>
        <w:spacing w:line="480" w:lineRule="auto"/>
        <w:jc w:val="center"/>
        <w:rPr>
          <w:b/>
          <w:bCs/>
        </w:rPr>
      </w:pPr>
      <w:r>
        <w:rPr>
          <w:b/>
          <w:bCs/>
        </w:rPr>
        <w:t>Does the Cognitive Fusion Questionnaire Measure More than Frequency of Negative Thoughts?</w:t>
      </w:r>
    </w:p>
    <w:p w14:paraId="534247FB" w14:textId="77777777" w:rsidR="00342CF3" w:rsidRDefault="00342CF3" w:rsidP="00342CF3">
      <w:pPr>
        <w:spacing w:line="480" w:lineRule="auto"/>
      </w:pPr>
    </w:p>
    <w:p w14:paraId="30D051AF" w14:textId="77777777" w:rsidR="00342CF3" w:rsidRDefault="00342CF3" w:rsidP="00342CF3">
      <w:pPr>
        <w:spacing w:line="480" w:lineRule="auto"/>
      </w:pPr>
    </w:p>
    <w:p w14:paraId="42DA76D3" w14:textId="77777777" w:rsidR="00342CF3" w:rsidRPr="009A65E6" w:rsidRDefault="00342CF3" w:rsidP="00342CF3">
      <w:pPr>
        <w:spacing w:line="480" w:lineRule="auto"/>
        <w:jc w:val="center"/>
      </w:pPr>
      <w:r>
        <w:t>Jennifer Krafft</w:t>
      </w:r>
      <w:r>
        <w:rPr>
          <w:vertAlign w:val="superscript"/>
        </w:rPr>
        <w:t>1</w:t>
      </w:r>
      <w:r>
        <w:t>* and Michael E. Levin</w:t>
      </w:r>
      <w:r>
        <w:rPr>
          <w:vertAlign w:val="superscript"/>
        </w:rPr>
        <w:t>1</w:t>
      </w:r>
    </w:p>
    <w:p w14:paraId="520D44BC" w14:textId="77777777" w:rsidR="00342CF3" w:rsidRDefault="00342CF3" w:rsidP="00342CF3">
      <w:pPr>
        <w:spacing w:line="480" w:lineRule="auto"/>
        <w:jc w:val="center"/>
      </w:pPr>
      <w:r w:rsidRPr="002D6691">
        <w:rPr>
          <w:vertAlign w:val="superscript"/>
        </w:rPr>
        <w:t>1</w:t>
      </w:r>
      <w:r>
        <w:t>Department of Psychology, Utah State University, Logan, United States of America</w:t>
      </w:r>
    </w:p>
    <w:p w14:paraId="6212B018" w14:textId="77777777" w:rsidR="00342CF3" w:rsidRDefault="00342CF3" w:rsidP="00342CF3">
      <w:pPr>
        <w:spacing w:line="480" w:lineRule="auto"/>
        <w:jc w:val="center"/>
      </w:pPr>
      <w:r>
        <w:t>*Corresponding author</w:t>
      </w:r>
    </w:p>
    <w:p w14:paraId="01FA73B8" w14:textId="77777777" w:rsidR="00342CF3" w:rsidRDefault="00342CF3" w:rsidP="00342CF3">
      <w:pPr>
        <w:spacing w:line="480" w:lineRule="auto"/>
      </w:pPr>
    </w:p>
    <w:p w14:paraId="00361C02" w14:textId="77777777" w:rsidR="00342CF3" w:rsidRPr="008F70F3" w:rsidRDefault="00342CF3" w:rsidP="00342CF3">
      <w:pPr>
        <w:jc w:val="center"/>
        <w:rPr>
          <w:b/>
          <w:bCs/>
        </w:rPr>
      </w:pPr>
      <w:r>
        <w:rPr>
          <w:b/>
          <w:bCs/>
        </w:rPr>
        <w:t>Author Note</w:t>
      </w:r>
    </w:p>
    <w:p w14:paraId="36DD3B1E" w14:textId="77777777" w:rsidR="00342CF3" w:rsidRDefault="00342CF3" w:rsidP="00342CF3">
      <w:r>
        <w:tab/>
        <w:t xml:space="preserve">Jennifer Krafft, </w:t>
      </w:r>
      <w:proofErr w:type="spellStart"/>
      <w:r>
        <w:t>ORCiD</w:t>
      </w:r>
      <w:proofErr w:type="spellEnd"/>
      <w:r>
        <w:t xml:space="preserve">: </w:t>
      </w:r>
      <w:r w:rsidRPr="00BB59C7">
        <w:t>https://orcid.org/0000-0002-0943-8477</w:t>
      </w:r>
    </w:p>
    <w:p w14:paraId="6031B5D3" w14:textId="77777777" w:rsidR="00342CF3" w:rsidRDefault="00342CF3" w:rsidP="00342CF3">
      <w:r>
        <w:tab/>
      </w:r>
      <w:r w:rsidRPr="0002766F">
        <w:t>Michael E. Levin</w:t>
      </w:r>
      <w:r>
        <w:t xml:space="preserve">, </w:t>
      </w:r>
      <w:proofErr w:type="spellStart"/>
      <w:r>
        <w:t>ORCiD</w:t>
      </w:r>
      <w:proofErr w:type="spellEnd"/>
      <w:r>
        <w:t xml:space="preserve">: </w:t>
      </w:r>
      <w:r w:rsidRPr="00E6137A">
        <w:t>https://orcid.org/0000-0001-5562-2366</w:t>
      </w:r>
    </w:p>
    <w:p w14:paraId="6E19379E" w14:textId="77777777" w:rsidR="00342CF3" w:rsidRPr="00364A0E" w:rsidRDefault="00342CF3" w:rsidP="00342CF3">
      <w:r>
        <w:tab/>
      </w:r>
      <w:r w:rsidRPr="00364A0E">
        <w:t xml:space="preserve">Correspondence concerning this article should be addressed to </w:t>
      </w:r>
      <w:r>
        <w:t xml:space="preserve">Jennifer Krafft, Department of Psychology, 2810 Old Main Hill, Logan, UT 84322-2810. Email: </w:t>
      </w:r>
      <w:proofErr w:type="gramStart"/>
      <w:r>
        <w:t>jennifer.krafft@aggiemail.usu.edu .</w:t>
      </w:r>
      <w:proofErr w:type="gramEnd"/>
    </w:p>
    <w:p w14:paraId="58778BAD" w14:textId="77777777" w:rsidR="00342CF3" w:rsidRDefault="00342CF3" w:rsidP="00342CF3">
      <w:pPr>
        <w:spacing w:line="480" w:lineRule="auto"/>
      </w:pPr>
    </w:p>
    <w:p w14:paraId="7D365F9C" w14:textId="77777777" w:rsidR="00342CF3" w:rsidRPr="00E00C53" w:rsidRDefault="00342CF3" w:rsidP="00342CF3">
      <w:pPr>
        <w:spacing w:line="480" w:lineRule="auto"/>
        <w:jc w:val="center"/>
        <w:rPr>
          <w:b/>
          <w:bCs/>
        </w:rPr>
      </w:pPr>
      <w:r>
        <w:rPr>
          <w:b/>
          <w:bCs/>
        </w:rPr>
        <w:t>Declarations</w:t>
      </w:r>
    </w:p>
    <w:p w14:paraId="29FED5DD" w14:textId="77777777" w:rsidR="00342CF3" w:rsidRPr="00E00C53" w:rsidRDefault="00342CF3" w:rsidP="00342CF3">
      <w:pPr>
        <w:rPr>
          <w:b/>
          <w:bCs/>
        </w:rPr>
      </w:pPr>
      <w:r>
        <w:rPr>
          <w:b/>
          <w:bCs/>
        </w:rPr>
        <w:t>Funding</w:t>
      </w:r>
    </w:p>
    <w:p w14:paraId="305F523B" w14:textId="77777777" w:rsidR="00342CF3" w:rsidRDefault="00342CF3" w:rsidP="00342CF3">
      <w:r>
        <w:t xml:space="preserve">This study did not receive any funding. </w:t>
      </w:r>
    </w:p>
    <w:p w14:paraId="53E27E32" w14:textId="77777777" w:rsidR="00342CF3" w:rsidRDefault="00342CF3" w:rsidP="00342CF3"/>
    <w:p w14:paraId="3310190F" w14:textId="77777777" w:rsidR="00342CF3" w:rsidRDefault="00342CF3" w:rsidP="00342CF3">
      <w:pPr>
        <w:rPr>
          <w:b/>
          <w:bCs/>
        </w:rPr>
      </w:pPr>
      <w:r>
        <w:rPr>
          <w:b/>
          <w:bCs/>
        </w:rPr>
        <w:t>Conflicts of interest</w:t>
      </w:r>
    </w:p>
    <w:p w14:paraId="0B9E2693" w14:textId="77777777" w:rsidR="00342CF3" w:rsidRDefault="00342CF3" w:rsidP="00342CF3">
      <w:r w:rsidRPr="00B06D57">
        <w:t>Given his role as Editor</w:t>
      </w:r>
      <w:r>
        <w:t>,</w:t>
      </w:r>
      <w:r w:rsidRPr="00B06D57">
        <w:t xml:space="preserve"> Dr. Levin had no involvement in the peer-review of this article and had no access to information regarding its peer-review. Full responsibility for the editorial process for this article was delegated to E. Sandoz.</w:t>
      </w:r>
      <w:r>
        <w:t xml:space="preserve"> </w:t>
      </w:r>
      <w:r w:rsidRPr="009B160F">
        <w:t>The authors have no</w:t>
      </w:r>
      <w:r>
        <w:t xml:space="preserve"> other</w:t>
      </w:r>
      <w:r w:rsidRPr="009B160F">
        <w:t xml:space="preserve"> conflicts of interest to declare</w:t>
      </w:r>
      <w:r>
        <w:t>.</w:t>
      </w:r>
    </w:p>
    <w:p w14:paraId="4D3A8BE0" w14:textId="77777777" w:rsidR="00342CF3" w:rsidRDefault="00342CF3" w:rsidP="00342CF3">
      <w:pPr>
        <w:rPr>
          <w:b/>
          <w:bCs/>
        </w:rPr>
      </w:pPr>
    </w:p>
    <w:p w14:paraId="5A14EC3C" w14:textId="77777777" w:rsidR="00342CF3" w:rsidRPr="00462A25" w:rsidRDefault="00342CF3" w:rsidP="00342CF3">
      <w:pPr>
        <w:pStyle w:val="ListParagraph"/>
        <w:autoSpaceDE w:val="0"/>
        <w:autoSpaceDN w:val="0"/>
        <w:adjustRightInd w:val="0"/>
        <w:spacing w:line="480" w:lineRule="auto"/>
      </w:pPr>
    </w:p>
    <w:p w14:paraId="27C92072" w14:textId="77777777" w:rsidR="002D6691" w:rsidRDefault="002D6691" w:rsidP="002D6691">
      <w:pPr>
        <w:spacing w:line="480" w:lineRule="auto"/>
      </w:pPr>
    </w:p>
    <w:p w14:paraId="186D5757" w14:textId="52FA5DA3" w:rsidR="00C910D6" w:rsidRPr="00342CF3" w:rsidRDefault="00C910D6" w:rsidP="00342CF3">
      <w:pPr>
        <w:pStyle w:val="ListParagraph"/>
        <w:autoSpaceDE w:val="0"/>
        <w:autoSpaceDN w:val="0"/>
        <w:adjustRightInd w:val="0"/>
        <w:spacing w:line="480" w:lineRule="auto"/>
        <w:jc w:val="center"/>
      </w:pPr>
      <w:r w:rsidRPr="00C57E76">
        <w:rPr>
          <w:b/>
        </w:rPr>
        <w:lastRenderedPageBreak/>
        <w:t>Abstract</w:t>
      </w:r>
    </w:p>
    <w:p w14:paraId="0A623FDC" w14:textId="6D947FB0" w:rsidR="00C57E76" w:rsidRDefault="003101F3" w:rsidP="004A375A">
      <w:pPr>
        <w:widowControl w:val="0"/>
        <w:spacing w:line="480" w:lineRule="auto"/>
      </w:pPr>
      <w:r>
        <w:t>Cognitive fusion is a psychopathological process that appears to be relevant to a wide range of disorders</w:t>
      </w:r>
      <w:r w:rsidR="00743B21">
        <w:t>. This process is</w:t>
      </w:r>
      <w:r>
        <w:t xml:space="preserve"> frequently measured with the Cognitive Fusion Questionnaire (CFQ). However, the construct validity of similar measures has been criticized for </w:t>
      </w:r>
      <w:r w:rsidR="005B5D6B">
        <w:t>substantial</w:t>
      </w:r>
      <w:r w:rsidR="0087726E">
        <w:t xml:space="preserve"> </w:t>
      </w:r>
      <w:r>
        <w:t xml:space="preserve">overlap with distress. </w:t>
      </w:r>
      <w:r w:rsidR="009B3013">
        <w:t xml:space="preserve">It is possible the CFQ may excessively measure the presence of unwanted thoughts, rather than fusion per se. </w:t>
      </w:r>
      <w:r>
        <w:t xml:space="preserve">Therefore, this study examined the </w:t>
      </w:r>
      <w:r w:rsidR="006C2EC1">
        <w:t>discriminant</w:t>
      </w:r>
      <w:r>
        <w:t xml:space="preserve"> validity of the CFQ relative to a measure of automatic negative thoughts</w:t>
      </w:r>
      <w:r w:rsidR="00E225D7">
        <w:t xml:space="preserve"> (the Automatic Thoughts Questionnaire)</w:t>
      </w:r>
      <w:r>
        <w:t xml:space="preserve"> in a college student sample (n = 389). While the two measures were highly correlated (</w:t>
      </w:r>
      <w:r w:rsidR="00F87C42">
        <w:rPr>
          <w:i/>
          <w:iCs/>
        </w:rPr>
        <w:sym w:font="Symbol" w:char="F072"/>
      </w:r>
      <w:r>
        <w:t xml:space="preserve"> = .7</w:t>
      </w:r>
      <w:r w:rsidR="00F87C42">
        <w:t>4</w:t>
      </w:r>
      <w:r>
        <w:t>), exploratory factor analysis demonstrated that they consistently loaded onto separate f</w:t>
      </w:r>
      <w:r w:rsidR="00E225D7">
        <w:t>actors</w:t>
      </w:r>
      <w:r w:rsidR="00880608">
        <w:t>. T</w:t>
      </w:r>
      <w:r>
        <w:t>he CFQ</w:t>
      </w:r>
      <w:r w:rsidR="00880608">
        <w:t xml:space="preserve"> also</w:t>
      </w:r>
      <w:r>
        <w:t xml:space="preserve"> demonstrated incremental validity in predicting distress</w:t>
      </w:r>
      <w:r w:rsidR="00EA20DD">
        <w:t xml:space="preserve"> and anxiety</w:t>
      </w:r>
      <w:r w:rsidR="00D72146">
        <w:t xml:space="preserve"> </w:t>
      </w:r>
      <w:r>
        <w:t xml:space="preserve">over </w:t>
      </w:r>
      <w:r w:rsidR="0018141C">
        <w:t xml:space="preserve">four weeks </w:t>
      </w:r>
      <w:r w:rsidR="00D72146">
        <w:t xml:space="preserve">when controlling for </w:t>
      </w:r>
      <w:r w:rsidR="00743B21">
        <w:t xml:space="preserve">baseline </w:t>
      </w:r>
      <w:r w:rsidR="00D72146">
        <w:t>automatic negative thoughts.</w:t>
      </w:r>
      <w:r>
        <w:t xml:space="preserve"> Overall findings are consistent with the CFQ measuring its intended construct, rather than the mere presence of negative thoughts.</w:t>
      </w:r>
      <w:r w:rsidR="00DD66FC">
        <w:t xml:space="preserve"> Major limitations</w:t>
      </w:r>
      <w:r w:rsidR="00344119">
        <w:t xml:space="preserve"> to generalizability</w:t>
      </w:r>
      <w:r w:rsidR="00DD66FC">
        <w:t xml:space="preserve"> include the use of a college student sample with minimal racial and ethnic diversity</w:t>
      </w:r>
      <w:r w:rsidR="006C1129">
        <w:t>, and the lack of additional comparator measures</w:t>
      </w:r>
      <w:r w:rsidR="00FB016D">
        <w:t>.</w:t>
      </w:r>
    </w:p>
    <w:p w14:paraId="53CB3FA4" w14:textId="7DD2BE2F" w:rsidR="00C910D6" w:rsidRDefault="00C57E76" w:rsidP="00C57E76">
      <w:pPr>
        <w:widowControl w:val="0"/>
        <w:spacing w:line="480" w:lineRule="auto"/>
        <w:ind w:firstLine="720"/>
        <w:rPr>
          <w:iCs/>
        </w:rPr>
      </w:pPr>
      <w:r>
        <w:rPr>
          <w:i/>
        </w:rPr>
        <w:t xml:space="preserve">Keywords: </w:t>
      </w:r>
      <w:r w:rsidR="00E225D7">
        <w:rPr>
          <w:iCs/>
        </w:rPr>
        <w:t>assessment; psychometrics; acceptance and commitment therapy; psychological inflexibility; cognitive processes</w:t>
      </w:r>
    </w:p>
    <w:p w14:paraId="5ACF196C" w14:textId="7823B814" w:rsidR="003B78C1" w:rsidRPr="00B7166B" w:rsidRDefault="003B78C1" w:rsidP="003B78C1">
      <w:pPr>
        <w:widowControl w:val="0"/>
        <w:spacing w:line="480" w:lineRule="auto"/>
        <w:ind w:firstLine="720"/>
        <w:rPr>
          <w:b/>
          <w:bCs/>
          <w:iCs/>
        </w:rPr>
      </w:pPr>
    </w:p>
    <w:p w14:paraId="7A734E08" w14:textId="77777777" w:rsidR="00462A25" w:rsidRPr="0087440A" w:rsidRDefault="00462A25" w:rsidP="0087440A">
      <w:r w:rsidRPr="0087440A">
        <w:br w:type="page"/>
      </w:r>
    </w:p>
    <w:p w14:paraId="03CE42B8" w14:textId="77777777" w:rsidR="009A65E6" w:rsidRPr="004A375A" w:rsidRDefault="009A65E6" w:rsidP="009A65E6">
      <w:pPr>
        <w:spacing w:line="480" w:lineRule="auto"/>
        <w:jc w:val="center"/>
        <w:rPr>
          <w:b/>
          <w:bCs/>
        </w:rPr>
      </w:pPr>
      <w:r>
        <w:rPr>
          <w:b/>
          <w:bCs/>
        </w:rPr>
        <w:lastRenderedPageBreak/>
        <w:t>Is the Cognitive Fusion Questionnaire Measuring More than Frequency of Negative Thoughts?</w:t>
      </w:r>
    </w:p>
    <w:p w14:paraId="21930BC5" w14:textId="74F370DB" w:rsidR="00CC537A" w:rsidRDefault="009A65E6" w:rsidP="0087440A">
      <w:pPr>
        <w:widowControl w:val="0"/>
        <w:spacing w:line="480" w:lineRule="auto"/>
        <w:ind w:firstLine="720"/>
      </w:pPr>
      <w:r>
        <w:t xml:space="preserve">Leading voices in clinical psychology have argued for a shift toward a </w:t>
      </w:r>
      <w:r w:rsidRPr="009A65E6">
        <w:rPr>
          <w:i/>
          <w:iCs/>
        </w:rPr>
        <w:t>process-based therapy</w:t>
      </w:r>
      <w:r>
        <w:t xml:space="preserve"> framework where researchers identify transdiagnostic pathological processes that </w:t>
      </w:r>
      <w:r w:rsidR="00D67AA8">
        <w:t xml:space="preserve">broadly </w:t>
      </w:r>
      <w:r>
        <w:t xml:space="preserve">contribute to psychological dysfunction, </w:t>
      </w:r>
      <w:r w:rsidR="00D67AA8">
        <w:t>helping clinicians</w:t>
      </w:r>
      <w:r w:rsidR="00012D1D">
        <w:t xml:space="preserve"> to conduct functional analyses of diverse presenting concerns</w:t>
      </w:r>
      <w:r w:rsidR="00D67AA8">
        <w:t xml:space="preserve"> </w:t>
      </w:r>
      <w:r>
        <w:fldChar w:fldCharType="begin" w:fldLock="1"/>
      </w:r>
      <w:r w:rsidR="00012D1D">
        <w:instrText>ADDIN CSL_CITATION {"citationItems":[{"id":"ITEM-1","itemData":{"DOI":"10.1177/2167702618772296","ISSN":"21677034","abstract":"Clinical science seems to have reached a tipping point. It appears that a new paradigm is beginning to emerge that is questioning the validity and utility of the medical illness model, which assumes that latent disease entities are targeted with specific therapy protocols. A new generation of evidence-based care has begun to move toward process-based therapies to target core mediators and moderators based on testable theories. This could represent a paradigm shift in clinical science with far-reaching implications. Clinical science might see a decline of named therapies defined by set technologies, a decline of broad schools, a rise of testable models, a rise of mediation and moderation studies, the emergence of new forms of diagnosis based on functional analysis, a move from nomothetic to idiographic approaches, and a move toward processes that specify modifiable elements. These changes could integrate or bridge different treatment orientations, settings, and even cultures","author":[{"dropping-particle":"","family":"Hofmann","given":"Stefan G.","non-dropping-particle":"","parse-names":false,"suffix":""},{"dropping-particle":"","family":"Hayes","given":"Steven C.","non-dropping-particle":"","parse-names":false,"suffix":""}],"container-title":"Clinical Psychological Science","id":"ITEM-1","issued":{"date-parts":[["2018"]]},"page":"37-50","title":"The future of intervention science: Process-based therapy","type":"article-journal","volume":"7"},"uris":["http://www.mendeley.com/documents/?uuid=bb8f7a5e-7026-4015-ba22-f6e92fecbcee"]}],"mendeley":{"formattedCitation":"(Hofmann &amp; Hayes, 2018)","plainTextFormattedCitation":"(Hofmann &amp; Hayes, 2018)","previouslyFormattedCitation":"(Hofmann &amp; Hayes, 2018)"},"properties":{"noteIndex":0},"schema":"https://github.com/citation-style-language/schema/raw/master/csl-citation.json"}</w:instrText>
      </w:r>
      <w:r>
        <w:fldChar w:fldCharType="separate"/>
      </w:r>
      <w:r w:rsidRPr="009A65E6">
        <w:rPr>
          <w:noProof/>
        </w:rPr>
        <w:t>(Hofmann &amp; Hayes, 2018)</w:t>
      </w:r>
      <w:r>
        <w:fldChar w:fldCharType="end"/>
      </w:r>
      <w:r>
        <w:t xml:space="preserve">. </w:t>
      </w:r>
      <w:r w:rsidR="00012D1D">
        <w:t>Identifying such core processes, that are shared across a range of psychological</w:t>
      </w:r>
      <w:r w:rsidR="0067739E">
        <w:t xml:space="preserve"> problems</w:t>
      </w:r>
      <w:r w:rsidR="00012D1D">
        <w:t xml:space="preserve"> and can be modified through specific therapeutic procedures, may help to make </w:t>
      </w:r>
      <w:r w:rsidR="00D67AA8">
        <w:t>psychotherapy</w:t>
      </w:r>
      <w:r w:rsidR="00012D1D">
        <w:t xml:space="preserve"> more effective</w:t>
      </w:r>
      <w:r w:rsidR="00880608">
        <w:t xml:space="preserve"> and</w:t>
      </w:r>
      <w:r w:rsidR="00D67AA8">
        <w:t xml:space="preserve"> efficient</w:t>
      </w:r>
      <w:r w:rsidR="00012D1D">
        <w:t>.</w:t>
      </w:r>
    </w:p>
    <w:p w14:paraId="3F19DB22" w14:textId="1432A714" w:rsidR="00012D1D" w:rsidRDefault="009A65E6" w:rsidP="0087440A">
      <w:pPr>
        <w:widowControl w:val="0"/>
        <w:spacing w:line="480" w:lineRule="auto"/>
        <w:ind w:firstLine="720"/>
      </w:pPr>
      <w:r>
        <w:t>One</w:t>
      </w:r>
      <w:r w:rsidR="00012D1D">
        <w:t xml:space="preserve"> </w:t>
      </w:r>
      <w:r>
        <w:t>pathological process</w:t>
      </w:r>
      <w:r w:rsidR="00012D1D">
        <w:t xml:space="preserve"> that has received </w:t>
      </w:r>
      <w:r w:rsidR="002D2026">
        <w:t xml:space="preserve">notable </w:t>
      </w:r>
      <w:r w:rsidR="00012D1D">
        <w:t>attention</w:t>
      </w:r>
      <w:r>
        <w:t xml:space="preserve"> is </w:t>
      </w:r>
      <w:r w:rsidRPr="00012D1D">
        <w:rPr>
          <w:i/>
          <w:iCs/>
        </w:rPr>
        <w:t>cognitive fusion</w:t>
      </w:r>
      <w:r w:rsidR="00012D1D">
        <w:t xml:space="preserve"> </w:t>
      </w:r>
      <w:r w:rsidR="00012D1D">
        <w:fldChar w:fldCharType="begin" w:fldLock="1"/>
      </w:r>
      <w:r w:rsidR="006C7449">
        <w:instrText>ADDIN CSL_CITATION {"citationItems":[{"id":"ITEM-1","itemData":{"author":[{"dropping-particle":"","family":"Hayes","given":"Steven C.","non-dropping-particle":"","parse-names":false,"suffix":""},{"dropping-particle":"","family":"Strosahl","given":"Kirk","non-dropping-particle":"","parse-names":false,"suffix":""},{"dropping-particle":"","family":"Wilson","given":"Kelly G.","non-dropping-particle":"","parse-names":false,"suffix":""}],"edition":"2nd","id":"ITEM-1","issued":{"date-parts":[["2012"]]},"publisher":"Guilford Press","publisher-place":"New York","title":"Acceptance and commitment therapy: The process and practice of mindful change","type":"book"},"uris":["http://www.mendeley.com/documents/?uuid=d6a54fc4-24c7-4597-a845-da3bb0224b2a"]}],"mendeley":{"formattedCitation":"(Hayes et al., 2012)","plainTextFormattedCitation":"(Hayes et al., 2012)","previouslyFormattedCitation":"(Hayes et al., 2012)"},"properties":{"noteIndex":0},"schema":"https://github.com/citation-style-language/schema/raw/master/csl-citation.json"}</w:instrText>
      </w:r>
      <w:r w:rsidR="00012D1D">
        <w:fldChar w:fldCharType="separate"/>
      </w:r>
      <w:r w:rsidR="00012D1D" w:rsidRPr="00012D1D">
        <w:rPr>
          <w:noProof/>
        </w:rPr>
        <w:t>(Hayes et al., 2012)</w:t>
      </w:r>
      <w:r w:rsidR="00012D1D">
        <w:fldChar w:fldCharType="end"/>
      </w:r>
      <w:r w:rsidR="00C961EC">
        <w:t>, defined as a process in which</w:t>
      </w:r>
      <w:r w:rsidR="00880608">
        <w:t xml:space="preserve"> the literal, evaluative functions of thoughts have excessive behavior regulatory effects (i.e., responding to thoughts as if they were very important and true).</w:t>
      </w:r>
      <w:r w:rsidR="00B7050C">
        <w:t xml:space="preserve"> </w:t>
      </w:r>
      <w:r w:rsidR="004E734D">
        <w:t>For instance, someone who is cognitively fused may have the thought “No one cares for me” and disengage from relationships</w:t>
      </w:r>
      <w:r w:rsidR="00A554C7">
        <w:t>.</w:t>
      </w:r>
      <w:r w:rsidR="006C7449">
        <w:t xml:space="preserve"> In contrast, someone who is less cognitively fused might have the exact same automatic </w:t>
      </w:r>
      <w:proofErr w:type="gramStart"/>
      <w:r w:rsidR="006C7449">
        <w:t>thought, and</w:t>
      </w:r>
      <w:proofErr w:type="gramEnd"/>
      <w:r w:rsidR="006C7449">
        <w:t xml:space="preserve"> continue reaching out to others anyway. Cognitive fusion is defined not by the content of one’s thoughts, but the degree to which they rigidly govern behavior</w:t>
      </w:r>
      <w:r w:rsidR="00880608">
        <w:t xml:space="preserve"> in maladaptive ways</w:t>
      </w:r>
      <w:r w:rsidR="006C7449">
        <w:t xml:space="preserve">. </w:t>
      </w:r>
      <w:r w:rsidR="008D2492">
        <w:t xml:space="preserve">Cognitive fusion is conceptualized as one component of the broader process of </w:t>
      </w:r>
      <w:r w:rsidR="008D2492" w:rsidRPr="008D2492">
        <w:rPr>
          <w:i/>
          <w:iCs/>
        </w:rPr>
        <w:t>psychological inflexibility</w:t>
      </w:r>
      <w:r w:rsidR="008D2492">
        <w:t xml:space="preserve">, in which rigid and avoidant responding to internal experiences such as thoughts and emotions restricts meaningful behavior </w:t>
      </w:r>
      <w:r w:rsidR="008D2492">
        <w:fldChar w:fldCharType="begin" w:fldLock="1"/>
      </w:r>
      <w:r w:rsidR="008D2492">
        <w:instrText>ADDIN CSL_CITATION {"citationItems":[{"id":"ITEM-1","itemData":{"author":[{"dropping-particle":"","family":"Hayes","given":"Steven C.","non-dropping-particle":"","parse-names":false,"suffix":""},{"dropping-particle":"","family":"Strosahl","given":"Kirk","non-dropping-particle":"","parse-names":false,"suffix":""},{"dropping-particle":"","family":"Wilson","given":"Kelly G.","non-dropping-particle":"","parse-names":false,"suffix":""}],"edition":"2nd","id":"ITEM-1","issued":{"date-parts":[["2012"]]},"publisher":"Guilford Press","publisher-place":"New York","title":"Acceptance and commitment therapy: The process and practice of mindful change","type":"book"},"uris":["http://www.mendeley.com/documents/?uuid=d6a54fc4-24c7-4597-a845-da3bb0224b2a"]}],"mendeley":{"formattedCitation":"(Hayes et al., 2012)","plainTextFormattedCitation":"(Hayes et al., 2012)","previouslyFormattedCitation":"(Hayes et al., 2012)"},"properties":{"noteIndex":0},"schema":"https://github.com/citation-style-language/schema/raw/master/csl-citation.json"}</w:instrText>
      </w:r>
      <w:r w:rsidR="008D2492">
        <w:fldChar w:fldCharType="separate"/>
      </w:r>
      <w:r w:rsidR="008D2492" w:rsidRPr="008D2492">
        <w:rPr>
          <w:noProof/>
        </w:rPr>
        <w:t>(Hayes et al., 2012)</w:t>
      </w:r>
      <w:r w:rsidR="008D2492">
        <w:fldChar w:fldCharType="end"/>
      </w:r>
      <w:r w:rsidR="008D2492">
        <w:t>.</w:t>
      </w:r>
    </w:p>
    <w:p w14:paraId="18E8CC02" w14:textId="7C3CFE39" w:rsidR="006C7449" w:rsidRDefault="006C7449" w:rsidP="0087440A">
      <w:pPr>
        <w:widowControl w:val="0"/>
        <w:spacing w:line="480" w:lineRule="auto"/>
        <w:ind w:firstLine="720"/>
      </w:pPr>
      <w:r>
        <w:t xml:space="preserve">Cognitive fusion is </w:t>
      </w:r>
      <w:r w:rsidR="00D67AA8">
        <w:t xml:space="preserve">a promising process for conceptualizing and treating psychopathology, as it is </w:t>
      </w:r>
      <w:r>
        <w:t xml:space="preserve">associated with a range of </w:t>
      </w:r>
      <w:r w:rsidR="008518E0">
        <w:t>psychological outcomes</w:t>
      </w:r>
      <w:r>
        <w:t xml:space="preserve"> including depression and anxiety </w:t>
      </w:r>
      <w:r>
        <w:fldChar w:fldCharType="begin" w:fldLock="1"/>
      </w:r>
      <w:r w:rsidR="008518E0">
        <w:instrText>ADDIN CSL_CITATION {"citationItems":[{"id":"ITEM-1","itemData":{"DOI":"10.1080/16506073.2018.1513556","ISSN":"16512316","abstract":"© 2018, © 2018 Swedish Association for Behaviour Therapy. Transdiagnostic cognitive behavioral interventions target different cognitive processes to promote mental health, including cognitive fusion and cognitive reappraisal. Determining the relative impact of cognitive fusion and reappraisal on a range of student mental health concerns could help interventions target psychopathological cognitive processes more effectively. Therefore, this study examined the longitudinal impact of cognitive fusion and reappraisal on mental health and functioning outcomes. A series of hierarchical regression models tested the effects of cognitive fusion and reappraisal in a sample of college students (n = 339). When controlling for reappraisal and baseline symptoms, fusion predicted distress, depression, generalized anxiety, social anxiety, hostility, academic distress, and student role problems 1 month later. Reappraisal predicted only student role problems longitudinally when controlling for fusion. These results suggest that cognitive fusion is a stronger predictor than reappraisal for a range of student mental health concerns and may be a particularly important target for improving student mental health.","author":[{"dropping-particle":"","family":"Krafft","given":"J.","non-dropping-particle":"","parse-names":false,"suffix":""},{"dropping-particle":"","family":"Haeger","given":"J.A.","non-dropping-particle":"","parse-names":false,"suffix":""},{"dropping-particle":"","family":"Levin","given":"M.E.","non-dropping-particle":"","parse-names":false,"suffix":""}],"container-title":"Cognitive Behaviour Therapy","id":"ITEM-1","issue":"3","issued":{"date-parts":[["2019"]]},"title":"Comparing cognitive fusion and cognitive reappraisal as predictors of college student mental health","type":"article-journal","volume":"48"},"uris":["http://www.mendeley.com/documents/?uuid=58351451-1bdb-36e2-a7e5-45150565a6f6"]},{"id":"ITEM-2","itemData":{"DOI":"10.1016/j.jcbs.2016.02.002","ISSN":"22121447","abstract":"Acceptance and Commitment Therapy, a popular transdiagnositic treatment approach, is based on the central tenant that human suffering develops and is exacerbated by psychological inflexibility. Cognitive fusion and experiential avoidance are two interrelated processes central to psychological inflexibility. Despite substantive theoretical rationale that these two processes impact one another's association with emotional distress and psychopathology, the interaction between cognitive fusion and experiential avoidance in relation to psychological distress has yet to be empirically examined in the extant literature. As such, we examined this interactive effect in relation to four indices of psychological distress (anxiety, depression, stress, and posttraumatic stress) in a large sample of community adults recruited via the internet (N=955). The predicted interactive effect was found across all four symptom measures, with the significant positive association between cognitive fusion and symptom measures being strongest at higher levels of experiential avoidance. These results provide support for proposals that individuals with high cognitive fusion and high experiential avoidance may be particularly prone to experiencing psychological distress.","author":[{"dropping-particle":"","family":"Bardeen","given":"Joseph R.","non-dropping-particle":"","parse-names":false,"suffix":""},{"dropping-particle":"","family":"Fergus","given":"Thomas A.","non-dropping-particle":"","parse-names":false,"suffix":""}],"container-title":"Journal of Contextual Behavioral Science","id":"ITEM-2","issued":{"date-parts":[["2016"]]},"page":"1-6","publisher":"Elsevier","title":"The interactive effect of cognitive fusion and experiential avoidance on anxiety, depression, stress and posttraumatic stress symptoms","type":"article-journal","volume":"5"},"uris":["http://www.mendeley.com/documents/?uuid=bf5caeec-07db-4f32-a4c9-370d4e792045"]},{"id":"ITEM-3","itemData":{"DOI":"10.1002/cpp.2386","ISSN":"10990879","PMID":"31240784","abstract":"This study aims to (a) explore individual differences in women with chronic pain (CP) in regard to pain intensity, functional impairment, cognitive fusion, and depressive symptoms and (b) longitudinally test whether cognitive fusion is a significant predictor of depression symptoms, while controlling for pain intensity and functional impairment, over a 12-month period. This study follows a longitudinal design and was conducted in a sample of 86 women with CP who responded to an online battery of questionnaires in three equally spaced assessment moments. In order to explore the growth trajectory of variables of interest, latent growth curve models were examined. Also, correlation analyses were conducted between demographic and illness-related variables and depressive symptoms, as well as between all variables in all assessment moments. Cognitive fusion and functional impairment (but not pain intensity) were significantly associated with baseline levels of depressive symptoms. Cognitive fusion significantly predicted the growth trajectory of depressive symptoms, whereas pain intensity and functional impairment did not. No demographic (age, marital status, education, socio-economic) nor illness-related variables (number of CP diagnoses, duration of CP, taking medication) were associated with depressive symptoms at any point. These results suggest that the trajectory of depressive symptoms in women with CP is not predicted by the intensity of pain nor pain-related functional impairment, but rather by the tendency to get entangled with internal experiences (e.g., thoughts, emotions, and physical sensations), which may or may not be related to pain-specific contents. Clinical implications are discussed.","author":[{"dropping-particle":"","family":"Carvalho","given":"Sérgio A.","non-dropping-particle":"","parse-names":false,"suffix":""},{"dropping-particle":"","family":"Trindade","given":"Inês A.","non-dropping-particle":"","parse-names":false,"suffix":""},{"dropping-particle":"","family":"Gillanders","given":"David","non-dropping-particle":"","parse-names":false,"suffix":""},{"dropping-particle":"","family":"Pinto-Gouveia","given":"José","non-dropping-particle":"","parse-names":false,"suffix":""},{"dropping-particle":"","family":"Castilho","given":"Paula","non-dropping-particle":"","parse-names":false,"suffix":""}],"container-title":"Clinical Psychology and Psychotherapy","id":"ITEM-3","issue":"5","issued":{"date-parts":[["2019"]]},"page":"616-625","title":"Cognitive fusion and depressive symptoms in women with chronic pain: A longitudinal growth curve modelling study over 12 months","type":"article-journal","volume":"26"},"uris":["http://www.mendeley.com/documents/?uuid=126f6445-e21a-410d-a463-f0fee3be88ec"]}],"mendeley":{"formattedCitation":"(Bardeen &amp; Fergus, 2016; Carvalho et al., 2019; Krafft et al., 2019)","plainTextFormattedCitation":"(Bardeen &amp; Fergus, 2016; Carvalho et al., 2019; Krafft et al., 2019)","previouslyFormattedCitation":"(Bardeen &amp; Fergus, 2016; Carvalho et al., 2019; Krafft et al., 2019)"},"properties":{"noteIndex":0},"schema":"https://github.com/citation-style-language/schema/raw/master/csl-citation.json"}</w:instrText>
      </w:r>
      <w:r>
        <w:fldChar w:fldCharType="separate"/>
      </w:r>
      <w:r w:rsidRPr="006C7449">
        <w:rPr>
          <w:noProof/>
        </w:rPr>
        <w:t>(Bardeen &amp; Fergus, 2016; Carvalho et al., 2019; Krafft et al., 2019)</w:t>
      </w:r>
      <w:r>
        <w:fldChar w:fldCharType="end"/>
      </w:r>
      <w:r>
        <w:t xml:space="preserve">, </w:t>
      </w:r>
      <w:r w:rsidR="003C3002">
        <w:t>chronic</w:t>
      </w:r>
      <w:r w:rsidR="008518E0">
        <w:t xml:space="preserve"> pain </w:t>
      </w:r>
      <w:r w:rsidR="008518E0">
        <w:fldChar w:fldCharType="begin" w:fldLock="1"/>
      </w:r>
      <w:r w:rsidR="008518E0">
        <w:instrText>ADDIN CSL_CITATION {"citationItems":[{"id":"ITEM-1","itemData":{"ISSN":"2212-1447","abstract":"Background Mental health issues are reaching epidemic proportions among our youth. Understanding factors associated with emotional and physical functioning are critical to developing effective interventions and preventive strategies. Despite evidence of the association of cognitive fusion and emotional and physical health among adults, little is known about how this is associated with emotional and physical well-being in emerging adulthood. The purpose of this study was to examine how cognitive fusion is associated with different domains of health after controlling for psychosocial variables.","author":[{"dropping-particle":"","family":"Bodenlos","given":"Jamie S","non-dropping-particle":"","parse-names":false,"suffix":""},{"dropping-particle":"","family":"Hawes","given":"Elizabeth S","non-dropping-particle":"","parse-names":false,"suffix":""},{"dropping-particle":"","family":"Burstein","given":"Sarah M","non-dropping-particle":"","parse-names":false,"suffix":""},{"dropping-particle":"","family":"Arroyo","given":"Kelsey M","non-dropping-particle":"","parse-names":false,"suffix":""}],"container-title":"Journal of Contextual Behavioral Science","id":"ITEM-1","issued":{"date-parts":[["2020","10","1"]]},"note":"Accession Number: S2212144720301678; Author: Bodenlos, Jamie S. (</w:instrText>
      </w:r>
      <w:r w:rsidR="008518E0">
        <w:rPr>
          <w:rFonts w:ascii="Cambria Math" w:hAnsi="Cambria Math" w:cs="Cambria Math"/>
        </w:rPr>
        <w:instrText>∗</w:instrText>
      </w:r>
      <w:r w:rsidR="008518E0">
        <w:instrText>); Author: Hawes, Elizabeth S.; Author: Burstein, Sarah M.; Author: Arroyo, Kelsey M.; Affiliation: Hobart and William Smith Colleges, Geneva, NY, USA; Keyword: Health; Keyword: Cognitive fusion; Keyword: College students; Keyword: Mindfulness; Keyword: Emotional functioning; Keyword: Physical functioning; Number of Pages: 7; Language: English;","page":"9-15","publisher":"Elsevier Inc.","title":"Association of cognitive fusion with domains of health","type":"article-journal","volume":"18"},"uris":["http://www.mendeley.com/documents/?uuid=f75e65f2-c2cb-4f69-9d6f-a6975df7342a"]}],"mendeley":{"formattedCitation":"(Bodenlos et al., 2020)","plainTextFormattedCitation":"(Bodenlos et al., 2020)","previouslyFormattedCitation":"(Bodenlos et al., 2020)"},"properties":{"noteIndex":0},"schema":"https://github.com/citation-style-language/schema/raw/master/csl-citation.json"}</w:instrText>
      </w:r>
      <w:r w:rsidR="008518E0">
        <w:fldChar w:fldCharType="separate"/>
      </w:r>
      <w:r w:rsidR="008518E0" w:rsidRPr="008518E0">
        <w:rPr>
          <w:noProof/>
        </w:rPr>
        <w:t>(Bodenlos et al., 2020)</w:t>
      </w:r>
      <w:r w:rsidR="008518E0">
        <w:fldChar w:fldCharType="end"/>
      </w:r>
      <w:r w:rsidR="00D67AA8">
        <w:t>,</w:t>
      </w:r>
      <w:r w:rsidR="008518E0">
        <w:t xml:space="preserve"> and</w:t>
      </w:r>
      <w:r w:rsidR="0067739E">
        <w:t xml:space="preserve"> disordered</w:t>
      </w:r>
      <w:r w:rsidR="008518E0">
        <w:t xml:space="preserve"> eating </w:t>
      </w:r>
      <w:r w:rsidR="008518E0">
        <w:fldChar w:fldCharType="begin" w:fldLock="1"/>
      </w:r>
      <w:r w:rsidR="008518E0">
        <w:instrText>ADDIN CSL_CITATION {"citationItems":[{"id":"ITEM-1","itemData":{"DOI":"10.1016/j.appet.2014.05.019","ISSN":"10958304","PMID":"24858833","abstract":"Body image dissatisfaction and unfavourable social comparisons are significant risk factors to eating psychopathology. Nevertheless, the impact of these negative experiences depends on the cognitive and emotional processes involved. Previous research has shown that cognitive fusion is a nuclear process linked to psychological inflexibility, but its role on body image and eating difficulties remains unclear. This study aims to explore a model of the mediational role of body image-related cognitive fusion (CF-BI) on the relationship between body dissatisfaction, unfavourable social comparisons, and eating psychopathology in a sample of 345 female students. Results from path analyses show that the impact of unfavourable social comparisons on eating psychopathology is fully mediated by CF-BI. Moreover, CF-BI also revealed a mediational effect on the relationship between body image dissatisfaction and the severity of eating symptoms, in spite of the fact that a direct effect of body dissatisfaction still exists. The tested model highlights the crucial role that cognitive fusion, in the specific domain of body image, plays in the relationship between risk factors and the severity of disordered eating attitudes and behaviours. Furthermore, these findings present empirical support for the relevance of addressing acceptance and cognitive defusion techniques to prevent and treat eating disorders. © 2014 Elsevier Ltd.","author":[{"dropping-particle":"","family":"Ferreira","given":"Cláudia","non-dropping-particle":"","parse-names":false,"suffix":""},{"dropping-particle":"","family":"Palmeira","given":"Lara","non-dropping-particle":"","parse-names":false,"suffix":""},{"dropping-particle":"","family":"Trindade","given":"Inês a.","non-dropping-particle":"","parse-names":false,"suffix":""}],"container-title":"Appetite","id":"ITEM-1","issued":{"date-parts":[["2014"]]},"page":"137-142","publisher":"Elsevier Ltd","title":"Turning eating psychopathology risk factors into action. The pervasive effect of body image-related cognitive fusion","type":"article-journal","volume":"80"},"uris":["http://www.mendeley.com/documents/?uuid=7eb78e88-8d39-403c-a0ff-a3d861b123b0"]}],"mendeley":{"formattedCitation":"(Ferreira et al., 2014)","plainTextFormattedCitation":"(Ferreira et al., 2014)","previouslyFormattedCitation":"(Ferreira et al., 2014)"},"properties":{"noteIndex":0},"schema":"https://github.com/citation-style-language/schema/raw/master/csl-citation.json"}</w:instrText>
      </w:r>
      <w:r w:rsidR="008518E0">
        <w:fldChar w:fldCharType="separate"/>
      </w:r>
      <w:r w:rsidR="008518E0" w:rsidRPr="008518E0">
        <w:rPr>
          <w:noProof/>
        </w:rPr>
        <w:t>(Ferreira et al., 2014)</w:t>
      </w:r>
      <w:r w:rsidR="008518E0">
        <w:fldChar w:fldCharType="end"/>
      </w:r>
      <w:r w:rsidR="008518E0">
        <w:t xml:space="preserve">. Moreover, interventions </w:t>
      </w:r>
      <w:r w:rsidR="000B3162">
        <w:lastRenderedPageBreak/>
        <w:t>designed to reduce</w:t>
      </w:r>
      <w:r w:rsidR="008518E0">
        <w:t xml:space="preserve"> cognitive fusion are effective </w:t>
      </w:r>
      <w:r w:rsidR="000B3162">
        <w:fldChar w:fldCharType="begin" w:fldLock="1"/>
      </w:r>
      <w:r w:rsidR="00F856D1">
        <w:instrText>ADDIN CSL_CITATION {"citationItems":[{"id":"ITEM-1","itemData":{"DOI":"10.1016/j.beth.2012.05.003","ISBN":"0005-7894","ISSN":"00057894","PMID":"23046777","abstract":"An important aspect of psychotherapy research is the examination of the theoretical models underlying intervention approaches. Laboratory-based component research is one useful methodology for this endeavor as it provides an experimental means of testing questions related to intervention components and the change process they engage with a high level of control and precision. A meta-analysis was conducted of 66 laboratory-based component studies evaluating treatment elements and processes that are suggested by the psychological flexibility model that underlies Acceptance and Commitment Therapy (acceptance, defusion, self as context, committed action, values, and present moment), but also touches on a variety of contextual forms of cognitive behavior therapy. Significant positive effect sizes were observed for acceptance, defusion, present moment, values, mixed mindfulness components, and values plus mindfulness component conditions compared to inactive comparison conditions. Additional analyses provided further support for the psychological flexibility model, finding larger effect sizes for theoretically specified outcomes, expected differences between theoretically distinct interventions, and larger effect sizes for component conditions that included experiential methods (e.g., metaphors, exercises) than those with a rationale alone. Effect sizes did not differ between at-risk/distressed and convenience samples. Limitations with the meta-analysis and future directions for laboratory-based component research are discussed. © 2012.","author":[{"dropping-particle":"","family":"Levin","given":"Michael E.","non-dropping-particle":"","parse-names":false,"suffix":""},{"dropping-particle":"","family":"Hildebrandt","given":"Mikaela J.","non-dropping-particle":"","parse-names":false,"suffix":""},{"dropping-particle":"","family":"Lillis","given":"Jason","non-dropping-particle":"","parse-names":false,"suffix":""},{"dropping-particle":"","family":"Hayes","given":"Steven C.","non-dropping-particle":"","parse-names":false,"suffix":""}],"container-title":"Behavior Therapy","id":"ITEM-1","issue":"4","issued":{"date-parts":[["2012"]]},"page":"741-756","publisher":"Elsevier B.V.","title":"The impact of treatment components suggested by the psychological flexibility model: A meta-analysis of laboratory-based component studies","type":"article-journal","volume":"43"},"uris":["http://www.mendeley.com/documents/?uuid=775288dd-5056-4a82-95f3-a77d0da8959f"]},{"id":"ITEM-2","itemData":{"DOI":"10.1891/0889-8391.25.3.218","ISBN":"0889-8391","ISSN":"08898391","abstract":"Leekam, S. R. (2004). Reconstructing children's understanding of mind: Reflections from the study of atypical development. Behavioral and Brain Sciences, 27(1), 113-114. Retrieved from http://search.proquest.com.library.capella.edu/docview/212295114?accountid=27965","author":[{"dropping-particle":"","family":"Deacon","given":"Brett J.","non-dropping-particle":"","parse-names":false,"suffix":""},{"dropping-particle":"","family":"Fawzy","given":"Tamer I.","non-dropping-particle":"","parse-names":false,"suffix":""},{"dropping-particle":"","family":"Lickel","given":"James J.","non-dropping-particle":"","parse-names":false,"suffix":""},{"dropping-particle":"","family":"Wolitzky-Taylor","given":"Kate B.","non-dropping-particle":"","parse-names":false,"suffix":""}],"container-title":"Journal of Cognitive Psychotherapy","id":"ITEM-2","issued":{"date-parts":[["2011"]]},"page":"218-232","title":"Cognitive defusion versus cognitive restructuring in the treatment of negative self-referential thoughts: An investigation of process and outcome","type":"article-journal","volume":"25"},"uris":["http://www.mendeley.com/documents/?uuid=a2f620c7-932b-4de3-8bb1-3a1c9ffd05d4"]}],"mendeley":{"formattedCitation":"(Deacon et al., 2011; Levin et al., 2012)","plainTextFormattedCitation":"(Deacon et al., 2011; Levin et al., 2012)","previouslyFormattedCitation":"(Deacon et al., 2011; Levin et al., 2012)"},"properties":{"noteIndex":0},"schema":"https://github.com/citation-style-language/schema/raw/master/csl-citation.json"}</w:instrText>
      </w:r>
      <w:r w:rsidR="000B3162">
        <w:fldChar w:fldCharType="separate"/>
      </w:r>
      <w:r w:rsidR="000B3162" w:rsidRPr="000B3162">
        <w:rPr>
          <w:noProof/>
        </w:rPr>
        <w:t>(Deacon et al., 2011; Levin et al., 2012)</w:t>
      </w:r>
      <w:r w:rsidR="000B3162">
        <w:fldChar w:fldCharType="end"/>
      </w:r>
      <w:r w:rsidR="00606EF8">
        <w:t>, and changes in fusion mediate the effects of acceptance and mindfulness-based interventions</w:t>
      </w:r>
      <w:r w:rsidR="00F856D1">
        <w:t xml:space="preserve"> </w:t>
      </w:r>
      <w:r w:rsidR="00F856D1">
        <w:fldChar w:fldCharType="begin" w:fldLock="1"/>
      </w:r>
      <w:r w:rsidR="00D67AA8">
        <w:instrText>ADDIN CSL_CITATION {"citationItems":[{"id":"ITEM-1","itemData":{"DOI":"10.1177/0145445511398344","ISBN":"0145445511398","ISSN":"1552-4167","PMID":"21362745","abstract":"Several articles have recently questioned the distinction between acceptance and commitment therapy (ACT) and traditional cognitive therapy (CT). This study presents a reanalysis of data from Zettle and Rains that compared 12 weeks of group CT with group ACT. For theoretical reasons, Zettle and Rains also included a modified form of CT that did not include distancing, and no intent-to-treat analysis was included. Particularly because that unusual third condition did somewhat better than the full CT package, it contaminated the direct comparison of ACT and CT, which has of late become theoretically interesting. In the present study, data from participants in the ACT and CT conditions were reanalyzed. ACT was shown to produce greater reductions in levels of self-reported depression using an intent-to-treat analysis. Posttreatment levels of cognitive defusion mediated this effect at follow-up. The occurrence of depressogenic thoughts and level of dysfunctional attitudes did not function as mediators. This study adds additional evidence that ACT works through distinct and theoretically specified processes that are not the same as CT.","author":[{"dropping-particle":"","family":"Zettle","given":"Robert D","non-dropping-particle":"","parse-names":false,"suffix":""},{"dropping-particle":"","family":"Rains","given":"Jeanetta C","non-dropping-particle":"","parse-names":false,"suffix":""},{"dropping-particle":"","family":"Hayes","given":"Steven C","non-dropping-particle":"","parse-names":false,"suffix":""}],"container-title":"Behavior modification","id":"ITEM-1","issue":"3","issued":{"date-parts":[["2011"]]},"page":"265-283","title":"Processes of change in acceptance and commitment therapy and cognitive therapy for depression: a mediation reanalysis of Zettle and Rains.","type":"article-journal","volume":"35"},"uris":["http://www.mendeley.com/documents/?uuid=d373ba7c-d027-494d-a078-feaba1dade3b"]},{"id":"ITEM-2","itemData":{"DOI":"10.1016/j.brat.2012.04.007","ISBN":"0005-7967","ISSN":"00057967","PMID":"22659156","abstract":"Objective: To assess the relationship between session-by-session putative mediators and treatment outcomes in traditional cognitive behavioral therapy (CBT) and acceptance and commitment therapy (ACT) for mixed anxiety disorders. Method: Session-by-session changes in anxiety sensitivity and cognitive defusion were assessed in 67 adult outpatients randomized to CBT (n = 35) or ACT (n = 32) for a DSM-IV anxiety disorder. Results: Multilevel mediation analyses revealed significant changes in the proposed mediators during both treatments (p &lt; .001, d = .90-1.93), with ACT showing borderline greater improvements than CBT in cognitive defusion (p = .05, d = .82). Anxiety sensitivity and cognitive defusion both significantly mediated post-treatment worry; cognitive defusion more strongly predicted worry reductions in CBT than in ACT. In addition, cognitive defusion significantly mediated quality of life, behavioral avoidance, and (secondary) depression outcomes across both CBT and ACT (p &lt; .05, R 2 change = .06-13), whereas anxiety sensitivity did not significantly mediate other outcomes. Conclusions: Cognitive defusion represents an important source of therapeutic change across both CBT and ACT. The data offered little evidence for substantially distinct treatment-related mediation pathways. ?? 2012 Elsevier Ltd.","author":[{"dropping-particle":"","family":"Arch","given":"Joanna J.","non-dropping-particle":"","parse-names":false,"suffix":""},{"dropping-particle":"","family":"Wolitzky-Taylor","given":"Kate B.","non-dropping-particle":"","parse-names":false,"suffix":""},{"dropping-particle":"","family":"Eifert","given":"Georg H.","non-dropping-particle":"","parse-names":false,"suffix":""},{"dropping-particle":"","family":"Craske","given":"Michelle G.","non-dropping-particle":"","parse-names":false,"suffix":""}],"container-title":"Behaviour Research and Therapy","id":"ITEM-2","issued":{"date-parts":[["2012"]]},"page":"469-478","publisher":"Elsevier Ltd","title":"Longitudinal treatment mediation of traditional cognitive behavioral therapy and acceptance and commitment therapy for anxiety disorders","type":"article-journal","volume":"50"},"uris":["http://www.mendeley.com/documents/?uuid=e9e311ca-d52b-4ec9-bc1c-28d9c7cd22cc"]},{"id":"ITEM-3","itemData":{"DOI":"10.1007/978-94-007-7696-8_51","ISBN":"9789400776968","abstract":"Schizophrenia is a psychotic disorder characterized by alterations in perception, thought, and behavior. Although it is widely accepted to be a disorder of neuropathology, definitive biomarkers have yet to be established. This chapter provides a review of the current state of the field for biomarkers of psychosis research, with a focus on findings in schizophrenia. The review is limited to two broad domains, neuroanatomy and neurophysiology, as measured by three wellestablished methodologies, structural and function magnetic resonance imaging and electroencephalography. Studies of the neuroanatomy of schizophrenia consistently report volume reductions in temporal, medial temporal, and frontal cortices. Cognitive functional magnetic resonance imaging studies highlight prefrontal cortex inefficiency associated with executive functioning and cognitive control impairments, while functional connectivity magnetic resonance imaging studies highlight aberrant connectivity within and between intrinsic brain networks. Finally, electroencephalography studies in schizophrenia have established sensory gating deficits and impaired deviance detection as reflective of core deficits observed in the disorder. For each measure, the use as a potential biomarker is discussed in terms of treatment effects, clinical course, and specificity to psychosis. Current limitations and future directions of the field are discussed.","author":[{"dropping-particle":"","family":"Gaudiano","given":"Brandon A.","non-dropping-particle":"","parse-names":false,"suffix":""},{"dropping-particle":"","family":"Herbert","given":"James D.","non-dropping-particle":"","parse-names":false,"suffix":""},{"dropping-particle":"","family":"Hayes","given":"Steven C.","non-dropping-particle":"","parse-names":false,"suffix":""}],"container-title":"Behavior Therapy","id":"ITEM-3","issue":"4","issued":{"date-parts":[["2010"]]},"page":"543-554","title":"Is it the symptom or the relation to it? Investigating potential mediators of change in acceptance and commitment therapy for psychosis","type":"article-journal","volume":"41"},"uris":["http://www.mendeley.com/documents/?uuid=462d47a3-1339-4517-8924-1b6a1390da5a"]},{"id":"ITEM-4","itemData":{"DOI":"10.1016/j.beth.2013.09.001","ISBN":"0005-7894","ISSN":"00057894","PMID":"24411117","abstract":"Acceptance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 © 2013.","author":[{"dropping-particle":"","family":"Gillanders","given":"David T.","non-dropping-particle":"","parse-names":false,"suffix":""},{"dropping-particle":"","family":"Bolderston","given":"Helen","non-dropping-particle":"","parse-names":false,"suffix":""},{"dropping-particle":"","family":"Bond","given":"Frank W.","non-dropping-particle":"","parse-names":false,"suffix":""},{"dropping-particle":"","family":"Dempster","given":"Maria","non-dropping-particle":"","parse-names":false,"suffix":""},{"dropping-particle":"","family":"Flaxman","given":"Paul E.","non-dropping-particle":"","parse-names":false,"suffix":""},{"dropping-particle":"","family":"Campbell","given":"Lindsey","non-dropping-particle":"","parse-names":false,"suffix":""},{"dropping-particle":"","family":"Kerr","given":"Sian","non-dropping-particle":"","parse-names":false,"suffix":""},{"dropping-particle":"","family":"Tansey","given":"Louise","non-dropping-particle":"","parse-names":false,"suffix":""},{"dropping-particle":"","family":"Noel","given":"Penelope","non-dropping-particle":"","parse-names":false,"suffix":""},{"dropping-particle":"","family":"Ferenbach","given":"Clive","non-dropping-particle":"","parse-names":false,"suffix":""},{"dropping-particle":"","family":"Masley","given":"Samantha","non-dropping-particle":"","parse-names":false,"suffix":""},{"dropping-particle":"","family":"Roach","given":"Louise","non-dropping-particle":"","parse-names":false,"suffix":""},{"dropping-particle":"","family":"Lloyd","given":"Joda","non-dropping-particle":"","parse-names":false,"suffix":""},{"dropping-particle":"","family":"May","given":"Lauraine","non-dropping-particle":"","parse-names":false,"suffix":""},{"dropping-particle":"","family":"Clarke","given":"Susan","non-dropping-particle":"","parse-names":false,"suffix":""},{"dropping-particle":"","family":"Remington","given":"Bob","non-dropping-particle":"","parse-names":false,"suffix":""}],"container-title":"Behavior Therapy","id":"ITEM-4","issue":"1","issued":{"date-parts":[["2014"]]},"page":"83-101","publisher":"Elsevier B.V.","title":"The development and initial validation of the Cognitive Fusion Questionnaire","type":"article-journal","volume":"45"},"uris":["http://www.mendeley.com/documents/?uuid=84c45b24-f636-4d6b-acfe-64d990dbba28"]}],"mendeley":{"formattedCitation":"(Arch et al., 2012; Gaudiano et al., 2010; Gillanders et al., 2014; Zettle et al., 2011)","plainTextFormattedCitation":"(Arch et al., 2012; Gaudiano et al., 2010; Gillanders et al., 2014; Zettle et al., 2011)","previouslyFormattedCitation":"(Arch et al., 2012; Gaudiano et al., 2010; Gillanders et al., 2014; Zettle et al., 2011)"},"properties":{"noteIndex":0},"schema":"https://github.com/citation-style-language/schema/raw/master/csl-citation.json"}</w:instrText>
      </w:r>
      <w:r w:rsidR="00F856D1">
        <w:fldChar w:fldCharType="separate"/>
      </w:r>
      <w:r w:rsidR="00B1477B" w:rsidRPr="00B1477B">
        <w:rPr>
          <w:noProof/>
        </w:rPr>
        <w:t>(Arch et al., 2012; Gaudiano et al., 2010; Gillanders et al., 2014; Zettle et al., 2011)</w:t>
      </w:r>
      <w:r w:rsidR="00F856D1">
        <w:fldChar w:fldCharType="end"/>
      </w:r>
      <w:r w:rsidR="00ED6701">
        <w:t>.</w:t>
      </w:r>
    </w:p>
    <w:p w14:paraId="71AAADD1" w14:textId="1CFD4359" w:rsidR="00ED6701" w:rsidRDefault="00ED6701" w:rsidP="0087440A">
      <w:pPr>
        <w:widowControl w:val="0"/>
        <w:spacing w:line="480" w:lineRule="auto"/>
        <w:ind w:firstLine="720"/>
      </w:pPr>
      <w:r>
        <w:t xml:space="preserve">However, the validity of </w:t>
      </w:r>
      <w:r w:rsidR="00D67AA8">
        <w:t xml:space="preserve">this body of </w:t>
      </w:r>
      <w:r>
        <w:t>research</w:t>
      </w:r>
      <w:r w:rsidR="00D67AA8">
        <w:t xml:space="preserve"> requires </w:t>
      </w:r>
      <w:r w:rsidR="001C4A5E">
        <w:t xml:space="preserve">accurate measurement of </w:t>
      </w:r>
      <w:r w:rsidR="00D67AA8">
        <w:t xml:space="preserve">cognitive fusion. </w:t>
      </w:r>
      <w:r w:rsidR="00F96698">
        <w:t>T</w:t>
      </w:r>
      <w:r w:rsidR="003C3002">
        <w:t>he most commonly used measure</w:t>
      </w:r>
      <w:r w:rsidR="00D67AA8">
        <w:t xml:space="preserve"> is the Cognitive Fusion Questionnaire </w:t>
      </w:r>
      <w:r w:rsidR="00D67AA8">
        <w:fldChar w:fldCharType="begin" w:fldLock="1"/>
      </w:r>
      <w:r w:rsidR="008D2492">
        <w:instrText>ADDIN CSL_CITATION {"citationItems":[{"id":"ITEM-1","itemData":{"DOI":"10.1016/j.beth.2013.09.001","ISBN":"0005-7894","ISSN":"00057894","PMID":"24411117","abstract":"Acceptance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 © 2013.","author":[{"dropping-particle":"","family":"Gillanders","given":"David T.","non-dropping-particle":"","parse-names":false,"suffix":""},{"dropping-particle":"","family":"Bolderston","given":"Helen","non-dropping-particle":"","parse-names":false,"suffix":""},{"dropping-particle":"","family":"Bond","given":"Frank W.","non-dropping-particle":"","parse-names":false,"suffix":""},{"dropping-particle":"","family":"Dempster","given":"Maria","non-dropping-particle":"","parse-names":false,"suffix":""},{"dropping-particle":"","family":"Flaxman","given":"Paul E.","non-dropping-particle":"","parse-names":false,"suffix":""},{"dropping-particle":"","family":"Campbell","given":"Lindsey","non-dropping-particle":"","parse-names":false,"suffix":""},{"dropping-particle":"","family":"Kerr","given":"Sian","non-dropping-particle":"","parse-names":false,"suffix":""},{"dropping-particle":"","family":"Tansey","given":"Louise","non-dropping-particle":"","parse-names":false,"suffix":""},{"dropping-particle":"","family":"Noel","given":"Penelope","non-dropping-particle":"","parse-names":false,"suffix":""},{"dropping-particle":"","family":"Ferenbach","given":"Clive","non-dropping-particle":"","parse-names":false,"suffix":""},{"dropping-particle":"","family":"Masley","given":"Samantha","non-dropping-particle":"","parse-names":false,"suffix":""},{"dropping-particle":"","family":"Roach","given":"Louise","non-dropping-particle":"","parse-names":false,"suffix":""},{"dropping-particle":"","family":"Lloyd","given":"Joda","non-dropping-particle":"","parse-names":false,"suffix":""},{"dropping-particle":"","family":"May","given":"Lauraine","non-dropping-particle":"","parse-names":false,"suffix":""},{"dropping-particle":"","family":"Clarke","given":"Susan","non-dropping-particle":"","parse-names":false,"suffix":""},{"dropping-particle":"","family":"Remington","given":"Bob","non-dropping-particle":"","parse-names":false,"suffix":""}],"container-title":"Behavior Therapy","id":"ITEM-1","issue":"1","issued":{"date-parts":[["2014"]]},"page":"83-101","publisher":"Elsevier B.V.","title":"The development and initial validation of the Cognitive Fusion Questionnaire","type":"article-journal","volume":"45"},"uris":["http://www.mendeley.com/documents/?uuid=84c45b24-f636-4d6b-acfe-64d990dbba28"]}],"mendeley":{"formattedCitation":"(Gillanders et al., 2014)","manualFormatting":"(CFQ; Gillanders et al., 2014)","plainTextFormattedCitation":"(Gillanders et al., 2014)","previouslyFormattedCitation":"(Gillanders et al., 2014)"},"properties":{"noteIndex":0},"schema":"https://github.com/citation-style-language/schema/raw/master/csl-citation.json"}</w:instrText>
      </w:r>
      <w:r w:rsidR="00D67AA8">
        <w:fldChar w:fldCharType="separate"/>
      </w:r>
      <w:r w:rsidR="00D67AA8" w:rsidRPr="00D67AA8">
        <w:rPr>
          <w:noProof/>
        </w:rPr>
        <w:t>(</w:t>
      </w:r>
      <w:r w:rsidR="00D67AA8">
        <w:rPr>
          <w:noProof/>
        </w:rPr>
        <w:t xml:space="preserve">CFQ; </w:t>
      </w:r>
      <w:r w:rsidR="00D67AA8" w:rsidRPr="00D67AA8">
        <w:rPr>
          <w:noProof/>
        </w:rPr>
        <w:t>Gillanders et al., 2014)</w:t>
      </w:r>
      <w:r w:rsidR="00D67AA8">
        <w:fldChar w:fldCharType="end"/>
      </w:r>
      <w:r w:rsidR="00D67AA8">
        <w:t>. The CFQ is designed to assess cognitive fusion generally, rather than in a specific context (</w:t>
      </w:r>
      <w:r w:rsidR="00F96698">
        <w:t>e.g.</w:t>
      </w:r>
      <w:r w:rsidR="00D67AA8">
        <w:t xml:space="preserve">, anxiety), and as a distinct process (i.e., separate from related constructs such as experiential avoidance; </w:t>
      </w:r>
      <w:proofErr w:type="spellStart"/>
      <w:r w:rsidR="004152D2">
        <w:t>Gillanders</w:t>
      </w:r>
      <w:proofErr w:type="spellEnd"/>
      <w:r w:rsidR="004152D2">
        <w:t xml:space="preserve"> et al., 2014</w:t>
      </w:r>
      <w:r w:rsidR="00D67AA8">
        <w:t xml:space="preserve">). </w:t>
      </w:r>
      <w:r w:rsidR="007A549D">
        <w:t xml:space="preserve">Initial validation of the CFQ </w:t>
      </w:r>
      <w:r w:rsidR="008D2492">
        <w:t xml:space="preserve">provided evidence of sound internal consistency, </w:t>
      </w:r>
      <w:proofErr w:type="spellStart"/>
      <w:r w:rsidR="008D2492">
        <w:t>unidimensionality</w:t>
      </w:r>
      <w:proofErr w:type="spellEnd"/>
      <w:r w:rsidR="008D2492">
        <w:t xml:space="preserve">, and incremental validity over </w:t>
      </w:r>
      <w:r w:rsidR="009F2895">
        <w:t>related</w:t>
      </w:r>
      <w:r w:rsidR="008D2492">
        <w:t xml:space="preserve"> processes in predicting distress</w:t>
      </w:r>
      <w:r w:rsidR="009F2895">
        <w:t xml:space="preserve"> (</w:t>
      </w:r>
      <w:proofErr w:type="spellStart"/>
      <w:r w:rsidR="009F2895">
        <w:t>Gillanders</w:t>
      </w:r>
      <w:proofErr w:type="spellEnd"/>
      <w:r w:rsidR="009F2895">
        <w:t xml:space="preserve"> et al., 2014)</w:t>
      </w:r>
      <w:r w:rsidR="008D2492">
        <w:t xml:space="preserve">. </w:t>
      </w:r>
    </w:p>
    <w:p w14:paraId="21CDFF46" w14:textId="0A1B4DA6" w:rsidR="00F67E5C" w:rsidRDefault="00C50505" w:rsidP="0087440A">
      <w:pPr>
        <w:widowControl w:val="0"/>
        <w:spacing w:line="480" w:lineRule="auto"/>
        <w:ind w:firstLine="720"/>
      </w:pPr>
      <w:r>
        <w:t xml:space="preserve">A </w:t>
      </w:r>
      <w:r w:rsidR="00ED62B2">
        <w:t>growing</w:t>
      </w:r>
      <w:r w:rsidR="009F2895">
        <w:t xml:space="preserve"> body of research has </w:t>
      </w:r>
      <w:r w:rsidR="00ED62B2">
        <w:t xml:space="preserve">found that the Acceptance and Action Questionnaire-II (AAQ-II; Bond et al., 2011), the most commonly used measure of global psychological inflexibility </w:t>
      </w:r>
      <w:r w:rsidR="00F33E59">
        <w:t>(</w:t>
      </w:r>
      <w:r w:rsidR="0067739E">
        <w:t xml:space="preserve">of </w:t>
      </w:r>
      <w:r w:rsidR="00ED62B2">
        <w:t>which cognitive fusion is one component</w:t>
      </w:r>
      <w:r w:rsidR="00F33E59">
        <w:t>)</w:t>
      </w:r>
      <w:r w:rsidR="00ED62B2">
        <w:t xml:space="preserve"> </w:t>
      </w:r>
      <w:r w:rsidR="008D2492">
        <w:t>substantially overlap</w:t>
      </w:r>
      <w:r w:rsidR="00ED62B2">
        <w:t>s</w:t>
      </w:r>
      <w:r w:rsidR="008D2492">
        <w:t xml:space="preserve"> with </w:t>
      </w:r>
      <w:r w:rsidR="007C15E3">
        <w:t xml:space="preserve">negative affect </w:t>
      </w:r>
      <w:r w:rsidR="008D2492">
        <w:fldChar w:fldCharType="begin" w:fldLock="1"/>
      </w:r>
      <w:r w:rsidR="007C15E3">
        <w:instrText>ADDIN CSL_CITATION {"citationItems":[{"id":"ITEM-1","itemData":{"DOI":"https://doi.org/10.1016/j.jcbs.2018.09.005","ISSN":"2212-1447","abstract":"Psychological inflexibility and experiential avoidance are key constructs in the Acceptance and Commitment Therapy (ACT) model of behavior change. Wolgast (2014) questioned the construct validity of the Acceptance and Action Questionnaire-II (AAQ-II), the most used self-report instrument to assess the efficacy of ACT interventions. Wolgast suggested that the AAQ-II measured psychological distress rather than psychological inflexibility and experiential avoidance. The current study further examined the construct validity of the AAQ-II by conducting an online cross-sectional survey (n = 524), including separate measures of experiential avoidance and psychological distress. Confirmatory factor analyses indicated that items from the AAQ-II correlated more highly with measures of depression, anxiety, and stress than the Brief Experiential Avoidance Questionnaire (BEAQ). Implications include that, as broad measures of experiential avoidance, the AAQ-II and BEAQ may not measure the same construct. In terms of psychological distress, the BEAQ has greater discriminant validity than the AAQ-II, and perhaps an alternative instrument of psychological inflexibility might be needed to assess core outcomes in ACT intervention research.","author":[{"dropping-particle":"","family":"Tyndall","given":"Ian","non-dropping-particle":"","parse-names":false,"suffix":""},{"dropping-particle":"","family":"Waldeck","given":"Daniel","non-dropping-particle":"","parse-names":false,"suffix":""},{"dropping-particle":"","family":"Pancani","given":"Luca","non-dropping-particle":"","parse-names":false,"suffix":""},{"dropping-particle":"","family":"Whelan","given":"Robert","non-dropping-particle":"","parse-names":false,"suffix":""},{"dropping-particle":"","family":"Roche","given":"Bryan","non-dropping-particle":"","parse-names":false,"suffix":""},{"dropping-particle":"","family":"Dawson","given":"David L","non-dropping-particle":"","parse-names":false,"suffix":""}],"container-title":"Journal of Contextual Behavioral Science","id":"ITEM-1","issued":{"date-parts":[["2019"]]},"page":"278-284","title":"The Acceptance and Action Questionnaire-II (AAQ-II) as a measure of experiential avoidance: Concerns over discriminant validity","type":"article-journal","volume":"12"},"uris":["http://www.mendeley.com/documents/?uuid=4934d347-39ed-4170-86d8-28420ecf0af9"]},{"id":"ITEM-2","itemData":{"DOI":"10.1016/j.jcbs.2016.05.003","ISSN":"22121447","abstract":"Extant ACT process measures are typically circumscribed in their focus (limited to particular theoretical sub-processes or contexts of application) and have been subject to critique in terms of their discriminant validity and conflation of process and outcome variables. Conceptual questions therefore remain regarding how best to operationalize and measure core ACT processes. In this study, we describe the development of a new general measure of ACT processes (the CompACT) and explore the measure's factor structure, validity and reliability. In phase one, ACT experts rated the face and content validity of 106 items using a Delphi consensus methodology, and produced an initial 37-itemed measure. In phase two, a non-clinical sample of participants (N=377) completed the CompACT and measures of other theoretically related and unrelated variables. An exploratory factor analysis suggested a theoretically-coherent three-factor structure (clustering ACT's six processes into three dyadic processes) for a 23-itemed version of the CompACT. The CompACT demonstrated good internal consistency, and converged and diverged in theory-consistent ways with other measured variables: higher levels of psychological inflexibility were associated with higher levels of distress and lower levels of health and wellbeing. The CompACT shows initial promise as a general measure of ACT processes.","author":[{"dropping-particle":"","family":"Francis","given":"Ashley W.","non-dropping-particle":"","parse-names":false,"suffix":""},{"dropping-particle":"","family":"Dawson","given":"David L.","non-dropping-particle":"","parse-names":false,"suffix":""},{"dropping-particle":"","family":"Golijani-Moghaddam","given":"Nima","non-dropping-particle":"","parse-names":false,"suffix":""}],"container-title":"Journal of Contextual Behavioral Science","id":"ITEM-2","issued":{"date-parts":[["2016"]]},"page":"134-145","publisher":"Elsevier","title":"The development and validation of the Comprehensive assessment of Acceptance and Commitment Therapy processes (CompACT)","type":"article-journal","volume":"5"},"uris":["http://www.mendeley.com/documents/?uuid=eb5f3033-1d89-45cc-bf1b-63d6245d5f02"]},{"id":"ITEM-3","itemData":{"DOI":"https://doi.org/10.1016/j.beth.2014.07.002","ISSN":"0005-7894","abstract":"The present study seeks to investigate the extent to which the Acceptance and Action Questionnaire (AAQ-II) is successful in discriminating between experiential avoidance/psychological flexibility on the one hand and the supposed outcomes in terms of psychological well-being of having this trait on the other. This was done using exploratory factor analysis on an item pool containing the AAQ-II items, and items designed for the present study to measure distress and acceptance/non-acceptance, to see what factors are identified and on which factor(s) the AAQ-II items had the highest factor loadings. Interestingly, the analysis found the items of the AAQ-II to be more strongly related to items designed to measure distress than items designed to measure acceptance/nonacceptance with minimal references to functional outcomes. The results of the study are interpreted and discussed in relation to the widespread use of the AAQ in both clinical and scientific contexts and given the centrality of the measure in empirically validating the ACT model of psychopathology and treatment.","author":[{"dropping-particle":"","family":"Wolgast","given":"Martin","non-dropping-particle":"","parse-names":false,"suffix":""}],"container-title":"Behavior Therapy","id":"ITEM-3","issue":"6","issued":{"date-parts":[["2014"]]},"page":"831-839","title":"What does the Acceptance and Action Questionnaire (AAQ-II) really measure?","type":"article-journal","volume":"45"},"uris":["http://www.mendeley.com/documents/?uuid=c0f2a540-fa0b-416e-be47-148ea6647ba5"]},{"id":"ITEM-4","itemData":{"DOI":"10.1016/j.beth.2017.08.008","ISSN":"0005-7894","author":[{"dropping-particle":"","family":"Rochefort","given":"Catherine","non-dropping-particle":"","parse-names":false,"suffix":""},{"dropping-particle":"","family":"Baldwin","given":"Austin S","non-dropping-particle":"","parse-names":false,"suffix":""},{"dropping-particle":"","family":"Chmielewski","given":"M","non-dropping-particle":"","parse-names":false,"suffix":""}],"container-title":"Behavior Therapy","id":"ITEM-4","issued":{"date-parts":[["2018"]]},"page":"435-449","publisher":"Elsevier Ltd","title":"Experiential avoidance: An examination of the construct validity of the AAQ-II and MEAQ","type":"article-journal","volume":"49"},"uris":["http://www.mendeley.com/documents/?uuid=a2820ad3-1a55-4c19-bf4e-ff8665867186"]}],"mendeley":{"formattedCitation":"(Francis et al., 2016; Rochefort et al., 2018; Tyndall et al., 2019; Wolgast, 2014)","plainTextFormattedCitation":"(Francis et al., 2016; Rochefort et al., 2018; Tyndall et al., 2019; Wolgast, 2014)","previouslyFormattedCitation":"(Francis et al., 2016; Rochefort et al., 2018; Tyndall et al., 2019; Wolgast, 2014)"},"properties":{"noteIndex":0},"schema":"https://github.com/citation-style-language/schema/raw/master/csl-citation.json"}</w:instrText>
      </w:r>
      <w:r w:rsidR="008D2492">
        <w:fldChar w:fldCharType="separate"/>
      </w:r>
      <w:r w:rsidR="007C15E3" w:rsidRPr="007C15E3">
        <w:rPr>
          <w:noProof/>
        </w:rPr>
        <w:t>(Francis et al., 2016; Rochefort et al., 2018; Tyndall et al., 2019; Wolgast, 2014)</w:t>
      </w:r>
      <w:r w:rsidR="008D2492">
        <w:fldChar w:fldCharType="end"/>
      </w:r>
      <w:r w:rsidR="00444E21">
        <w:t xml:space="preserve">. </w:t>
      </w:r>
      <w:r w:rsidR="00AA0B7B">
        <w:t xml:space="preserve">The AAQ-II is intended to measure </w:t>
      </w:r>
      <w:r w:rsidR="00137376">
        <w:t>how individuals respond to internal experiences such as thoughts, memories, and emotions (i.e., overly attending to or avoiding them)</w:t>
      </w:r>
      <w:r w:rsidR="00EC27BC">
        <w:t xml:space="preserve">. </w:t>
      </w:r>
      <w:r w:rsidR="00CF48DF">
        <w:t xml:space="preserve">However, </w:t>
      </w:r>
      <w:r w:rsidR="001C4A5E">
        <w:t>AAQ-II</w:t>
      </w:r>
      <w:r w:rsidR="009535CC">
        <w:t xml:space="preserve"> items</w:t>
      </w:r>
      <w:r w:rsidR="001C4A5E">
        <w:t xml:space="preserve"> loaded similarly to items measuring distress in </w:t>
      </w:r>
      <w:r w:rsidR="00C53D64">
        <w:t>one</w:t>
      </w:r>
      <w:r w:rsidR="001C4A5E">
        <w:t xml:space="preserve"> factor analy</w:t>
      </w:r>
      <w:r w:rsidR="009535CC">
        <w:t>tic study</w:t>
      </w:r>
      <w:r w:rsidR="001C4A5E">
        <w:t xml:space="preserve"> </w:t>
      </w:r>
      <w:r w:rsidR="001C4A5E">
        <w:fldChar w:fldCharType="begin" w:fldLock="1"/>
      </w:r>
      <w:r w:rsidR="007C15E3">
        <w:instrText>ADDIN CSL_CITATION {"citationItems":[{"id":"ITEM-1","itemData":{"DOI":"https://doi.org/10.1016/j.beth.2014.07.002","ISSN":"0005-7894","abstract":"The present study seeks to investigate the extent to which the Acceptance and Action Questionnaire (AAQ-II) is successful in discriminating between experiential avoidance/psychological flexibility on the one hand and the supposed outcomes in terms of psychological well-being of having this trait on the other. This was done using exploratory factor analysis on an item pool containing the AAQ-II items, and items designed for the present study to measure distress and acceptance/non-acceptance, to see what factors are identified and on which factor(s) the AAQ-II items had the highest factor loadings. Interestingly, the analysis found the items of the AAQ-II to be more strongly related to items designed to measure distress than items designed to measure acceptance/nonacceptance with minimal references to functional outcomes. The results of the study are interpreted and discussed in relation to the widespread use of the AAQ in both clinical and scientific contexts and given the centrality of the measure in empirically validating the ACT model of psychopathology and treatment.","author":[{"dropping-particle":"","family":"Wolgast","given":"Martin","non-dropping-particle":"","parse-names":false,"suffix":""}],"container-title":"Behavior Therapy","id":"ITEM-1","issue":"6","issued":{"date-parts":[["2014"]]},"page":"831-839","title":"What does the Acceptance and Action Questionnaire (AAQ-II) really measure?","type":"article-journal","volume":"45"},"uris":["http://www.mendeley.com/documents/?uuid=c0f2a540-fa0b-416e-be47-148ea6647ba5"]}],"mendeley":{"formattedCitation":"(Wolgast, 2014)","plainTextFormattedCitation":"(Wolgast, 2014)","previouslyFormattedCitation":"(Wolgast, 2014)"},"properties":{"noteIndex":0},"schema":"https://github.com/citation-style-language/schema/raw/master/csl-citation.json"}</w:instrText>
      </w:r>
      <w:r w:rsidR="001C4A5E">
        <w:fldChar w:fldCharType="separate"/>
      </w:r>
      <w:r w:rsidR="001C4A5E" w:rsidRPr="001C4A5E">
        <w:rPr>
          <w:noProof/>
        </w:rPr>
        <w:t>(Wolgast, 2014)</w:t>
      </w:r>
      <w:r w:rsidR="001C4A5E">
        <w:fldChar w:fldCharType="end"/>
      </w:r>
      <w:r w:rsidR="009535CC">
        <w:t>,</w:t>
      </w:r>
      <w:r w:rsidR="001C4A5E">
        <w:t xml:space="preserve"> and </w:t>
      </w:r>
      <w:r w:rsidR="00CF48DF">
        <w:t>the AAQ-II correlate</w:t>
      </w:r>
      <w:r w:rsidR="009535CC">
        <w:t>d</w:t>
      </w:r>
      <w:r w:rsidR="00CF48DF">
        <w:t xml:space="preserve"> more strongly with </w:t>
      </w:r>
      <w:r w:rsidR="007C15E3">
        <w:t xml:space="preserve">measures of negative affect </w:t>
      </w:r>
      <w:r w:rsidR="00CF48DF">
        <w:t>than measure</w:t>
      </w:r>
      <w:r w:rsidR="007C15E3">
        <w:t>s</w:t>
      </w:r>
      <w:r w:rsidR="00CF48DF">
        <w:t xml:space="preserve"> of psychological inflexibility </w:t>
      </w:r>
      <w:r w:rsidR="009535CC">
        <w:t xml:space="preserve">in </w:t>
      </w:r>
      <w:r w:rsidR="007C15E3">
        <w:t xml:space="preserve">two studies </w:t>
      </w:r>
      <w:r w:rsidR="00CF48DF">
        <w:fldChar w:fldCharType="begin" w:fldLock="1"/>
      </w:r>
      <w:r w:rsidR="00F84361">
        <w:instrText>ADDIN CSL_CITATION {"citationItems":[{"id":"ITEM-1","itemData":{"DOI":"https://doi.org/10.1016/j.jcbs.2018.09.005","ISSN":"2212-1447","abstract":"Psychological inflexibility and experiential avoidance are key constructs in the Acceptance and Commitment Therapy (ACT) model of behavior change. Wolgast (2014) questioned the construct validity of the Acceptance and Action Questionnaire-II (AAQ-II), the most used self-report instrument to assess the efficacy of ACT interventions. Wolgast suggested that the AAQ-II measured psychological distress rather than psychological inflexibility and experiential avoidance. The current study further examined the construct validity of the AAQ-II by conducting an online cross-sectional survey (n = 524), including separate measures of experiential avoidance and psychological distress. Confirmatory factor analyses indicated that items from the AAQ-II correlated more highly with measures of depression, anxiety, and stress than the Brief Experiential Avoidance Questionnaire (BEAQ). Implications include that, as broad measures of experiential avoidance, the AAQ-II and BEAQ may not measure the same construct. In terms of psychological distress, the BEAQ has greater discriminant validity than the AAQ-II, and perhaps an alternative instrument of psychological inflexibility might be needed to assess core outcomes in ACT intervention research.","author":[{"dropping-particle":"","family":"Tyndall","given":"Ian","non-dropping-particle":"","parse-names":false,"suffix":""},{"dropping-particle":"","family":"Waldeck","given":"Daniel","non-dropping-particle":"","parse-names":false,"suffix":""},{"dropping-particle":"","family":"Pancani","given":"Luca","non-dropping-particle":"","parse-names":false,"suffix":""},{"dropping-particle":"","family":"Whelan","given":"Robert","non-dropping-particle":"","parse-names":false,"suffix":""},{"dropping-particle":"","family":"Roche","given":"Bryan","non-dropping-particle":"","parse-names":false,"suffix":""},{"dropping-particle":"","family":"Dawson","given":"David L","non-dropping-particle":"","parse-names":false,"suffix":""}],"container-title":"Journal of Contextual Behavioral Science","id":"ITEM-1","issued":{"date-parts":[["2019"]]},"page":"278-284","title":"The Acceptance and Action Questionnaire-II (AAQ-II) as a measure of experiential avoidance: Concerns over discriminant validity","type":"article-journal","volume":"12"},"uris":["http://www.mendeley.com/documents/?uuid=b888f6da-f3a2-4a02-afd9-bfeef07e7591"]},{"id":"ITEM-2","itemData":{"DOI":"10.1016/j.beth.2017.08.008","ISSN":"0005-7894","author":[{"dropping-particle":"","family":"Rochefort","given":"Catherine","non-dropping-particle":"","parse-names":false,"suffix":""},{"dropping-particle":"","family":"Baldwin","given":"Austin S","non-dropping-particle":"","parse-names":false,"suffix":""},{"dropping-particle":"","family":"Chmielewski","given":"M","non-dropping-particle":"","parse-names":false,"suffix":""}],"container-title":"Behavior Therapy","id":"ITEM-2","issued":{"date-parts":[["2018"]]},"page":"435-449","publisher":"Elsevier Ltd","title":"Experiential avoidance: An examination of the construct validity of the AAQ-II and MEAQ","type":"article-journal","volume":"49"},"uris":["http://www.mendeley.com/documents/?uuid=a2820ad3-1a55-4c19-bf4e-ff8665867186"]}],"mendeley":{"formattedCitation":"(Rochefort et al., 2018; Tyndall et al., 2019)","plainTextFormattedCitation":"(Rochefort et al., 2018; Tyndall et al., 2019)","previouslyFormattedCitation":"(Rochefort et al., 2018; Tyndall et al., 2019)"},"properties":{"noteIndex":0},"schema":"https://github.com/citation-style-language/schema/raw/master/csl-citation.json"}</w:instrText>
      </w:r>
      <w:r w:rsidR="00CF48DF">
        <w:fldChar w:fldCharType="separate"/>
      </w:r>
      <w:r w:rsidR="007C15E3" w:rsidRPr="007C15E3">
        <w:rPr>
          <w:noProof/>
        </w:rPr>
        <w:t>(Rochefort et al., 2018; Tyndall et al., 2019)</w:t>
      </w:r>
      <w:r w:rsidR="00CF48DF">
        <w:fldChar w:fldCharType="end"/>
      </w:r>
      <w:r w:rsidR="009535CC">
        <w:t>. These findings</w:t>
      </w:r>
      <w:r w:rsidR="00CF48DF">
        <w:t xml:space="preserve"> suggest that the AAQ-II has serious limitations to its construct validity</w:t>
      </w:r>
      <w:r w:rsidR="00F67E5C">
        <w:t>.</w:t>
      </w:r>
      <w:r w:rsidR="00CF48DF">
        <w:t xml:space="preserve"> </w:t>
      </w:r>
    </w:p>
    <w:p w14:paraId="0F1D36B1" w14:textId="335B780A" w:rsidR="004D6669" w:rsidRDefault="00F67E5C" w:rsidP="0087440A">
      <w:pPr>
        <w:widowControl w:val="0"/>
        <w:spacing w:line="480" w:lineRule="auto"/>
        <w:ind w:firstLine="720"/>
      </w:pPr>
      <w:r>
        <w:t>More broadly, s</w:t>
      </w:r>
      <w:r w:rsidR="00444E21">
        <w:t>uch findings</w:t>
      </w:r>
      <w:r w:rsidR="004B509B">
        <w:t xml:space="preserve"> suggest difficulty in distinguishing psychological </w:t>
      </w:r>
      <w:r w:rsidR="004B509B">
        <w:rPr>
          <w:i/>
          <w:iCs/>
        </w:rPr>
        <w:t>content</w:t>
      </w:r>
      <w:r w:rsidR="004B509B">
        <w:t xml:space="preserve"> (i.e., thoughts and feelings) </w:t>
      </w:r>
      <w:r w:rsidR="009535CC">
        <w:t xml:space="preserve">from </w:t>
      </w:r>
      <w:r w:rsidR="004B509B">
        <w:t xml:space="preserve">psychological </w:t>
      </w:r>
      <w:r w:rsidR="004B509B" w:rsidRPr="004B509B">
        <w:rPr>
          <w:i/>
          <w:iCs/>
        </w:rPr>
        <w:t>processes</w:t>
      </w:r>
      <w:r w:rsidR="004B509B">
        <w:t xml:space="preserve"> (i.e., rigid responding to such content). </w:t>
      </w:r>
      <w:r w:rsidR="00ED62B2">
        <w:t>T</w:t>
      </w:r>
      <w:r w:rsidR="00B5669B">
        <w:t xml:space="preserve">he same issues </w:t>
      </w:r>
      <w:r w:rsidR="00ED62B2">
        <w:t xml:space="preserve">may be </w:t>
      </w:r>
      <w:r w:rsidR="00B5669B">
        <w:t>relevant to the CFQ, which includes items such as “</w:t>
      </w:r>
      <w:r w:rsidR="00B72D51">
        <w:t xml:space="preserve">My thoughts cause </w:t>
      </w:r>
      <w:r w:rsidR="00B72D51">
        <w:lastRenderedPageBreak/>
        <w:t xml:space="preserve">me distress or emotional pain” and “I struggle with my thoughts.” It is possible that people may highly endorse such items based </w:t>
      </w:r>
      <w:r w:rsidR="00297196">
        <w:t xml:space="preserve">only </w:t>
      </w:r>
      <w:r w:rsidR="00B72D51">
        <w:t>on how frequently they experience distressing thoughts, rather than how much they are fused with those thoughts when they arise. Directly evaluating the</w:t>
      </w:r>
      <w:r w:rsidR="00ED62B2">
        <w:t xml:space="preserve"> discriminant and</w:t>
      </w:r>
      <w:r w:rsidR="00B72D51">
        <w:t xml:space="preserve"> incremental validity of the CFQ would help clarify whether cognitive fusion is being assessed as intended</w:t>
      </w:r>
      <w:r w:rsidR="004D6669">
        <w:t>.</w:t>
      </w:r>
    </w:p>
    <w:p w14:paraId="192D3EBA" w14:textId="62619186" w:rsidR="009A65E6" w:rsidRPr="009A65E6" w:rsidRDefault="004D6669" w:rsidP="0087440A">
      <w:pPr>
        <w:widowControl w:val="0"/>
        <w:spacing w:line="480" w:lineRule="auto"/>
        <w:ind w:firstLine="720"/>
      </w:pPr>
      <w:r>
        <w:t>Thus, this study investigate</w:t>
      </w:r>
      <w:r w:rsidR="00ED62B2">
        <w:t>d</w:t>
      </w:r>
      <w:r>
        <w:t xml:space="preserve"> whether the CFQ measures a construct distinct from the frequency of </w:t>
      </w:r>
      <w:r w:rsidR="0067739E">
        <w:t xml:space="preserve">automatic negative </w:t>
      </w:r>
      <w:r>
        <w:t>thoughts, in terms of factor loadings and predictive validity. If findings support the proposition that the CFQ measures cognitive fusion</w:t>
      </w:r>
      <w:r w:rsidR="00EC27BC">
        <w:t xml:space="preserve"> specifically</w:t>
      </w:r>
      <w:r>
        <w:t xml:space="preserve">, it will provide further clarity </w:t>
      </w:r>
      <w:r w:rsidR="00635BD8">
        <w:t>on</w:t>
      </w:r>
      <w:r>
        <w:t xml:space="preserve"> how to </w:t>
      </w:r>
      <w:r w:rsidR="00635BD8">
        <w:t xml:space="preserve">accurately </w:t>
      </w:r>
      <w:r>
        <w:t>measure cognitive fusion.</w:t>
      </w:r>
    </w:p>
    <w:p w14:paraId="2B8CDCD3" w14:textId="77777777" w:rsidR="003B57BE" w:rsidRPr="00A829B3" w:rsidRDefault="003B57BE" w:rsidP="003B57BE">
      <w:pPr>
        <w:spacing w:line="480" w:lineRule="auto"/>
        <w:jc w:val="center"/>
        <w:rPr>
          <w:b/>
        </w:rPr>
      </w:pPr>
      <w:r w:rsidRPr="00A829B3">
        <w:rPr>
          <w:b/>
        </w:rPr>
        <w:t>Methods</w:t>
      </w:r>
    </w:p>
    <w:p w14:paraId="03327410" w14:textId="0C593EDC" w:rsidR="003B57BE" w:rsidRDefault="003B57BE" w:rsidP="004A375A">
      <w:pPr>
        <w:spacing w:line="480" w:lineRule="auto"/>
        <w:rPr>
          <w:b/>
        </w:rPr>
      </w:pPr>
      <w:r w:rsidRPr="00A829B3">
        <w:rPr>
          <w:b/>
        </w:rPr>
        <w:t>Participants</w:t>
      </w:r>
    </w:p>
    <w:p w14:paraId="56CD43C1" w14:textId="54189BF8" w:rsidR="00D515D4" w:rsidRDefault="00D515D4" w:rsidP="004A375A">
      <w:pPr>
        <w:spacing w:line="480" w:lineRule="auto"/>
        <w:rPr>
          <w:bCs/>
        </w:rPr>
      </w:pPr>
      <w:r>
        <w:rPr>
          <w:b/>
        </w:rPr>
        <w:tab/>
      </w:r>
      <w:r w:rsidR="004B3AAB">
        <w:rPr>
          <w:bCs/>
        </w:rPr>
        <w:t>This study was conducted in a sample of college students age 18 or older (n = 389)</w:t>
      </w:r>
      <w:r w:rsidR="00852F34">
        <w:rPr>
          <w:bCs/>
        </w:rPr>
        <w:t xml:space="preserve"> at the authors’ institution (a midsize university in the Mountain West region of the USA)</w:t>
      </w:r>
      <w:r w:rsidR="004B3AAB">
        <w:rPr>
          <w:bCs/>
        </w:rPr>
        <w:t>; there were no other inclusion or exclusion criteria.</w:t>
      </w:r>
      <w:r w:rsidR="00A0590C">
        <w:rPr>
          <w:bCs/>
        </w:rPr>
        <w:t xml:space="preserve"> Participants were recruited through an online research participation platform and received credit as applicable through their courses.</w:t>
      </w:r>
      <w:r w:rsidR="00DB0E57">
        <w:rPr>
          <w:bCs/>
        </w:rPr>
        <w:t xml:space="preserve"> Two participants self-reported random responding on a screening question, leaving a sample of 387 for analysis. Of these, 352 (90.96%) responded to the follow-up survey.</w:t>
      </w:r>
    </w:p>
    <w:p w14:paraId="1D9A2DC8" w14:textId="1288F07A" w:rsidR="005F6896" w:rsidRPr="005F6896" w:rsidRDefault="005F6896" w:rsidP="004A375A">
      <w:pPr>
        <w:spacing w:line="480" w:lineRule="auto"/>
        <w:rPr>
          <w:bCs/>
        </w:rPr>
      </w:pPr>
      <w:r>
        <w:rPr>
          <w:bCs/>
        </w:rPr>
        <w:tab/>
        <w:t xml:space="preserve">Participants were young (age </w:t>
      </w:r>
      <w:r>
        <w:rPr>
          <w:bCs/>
          <w:i/>
          <w:iCs/>
        </w:rPr>
        <w:t>M</w:t>
      </w:r>
      <w:r>
        <w:rPr>
          <w:bCs/>
        </w:rPr>
        <w:t xml:space="preserve"> = 20.0</w:t>
      </w:r>
      <w:r w:rsidR="00804F60">
        <w:rPr>
          <w:bCs/>
        </w:rPr>
        <w:t>7</w:t>
      </w:r>
      <w:r>
        <w:rPr>
          <w:bCs/>
        </w:rPr>
        <w:t>, SD = 3.4</w:t>
      </w:r>
      <w:r w:rsidR="00804F60">
        <w:rPr>
          <w:bCs/>
        </w:rPr>
        <w:t>9</w:t>
      </w:r>
      <w:r>
        <w:rPr>
          <w:bCs/>
        </w:rPr>
        <w:t>)</w:t>
      </w:r>
      <w:r w:rsidR="00FF4738">
        <w:rPr>
          <w:bCs/>
        </w:rPr>
        <w:t xml:space="preserve"> and </w:t>
      </w:r>
      <w:r>
        <w:rPr>
          <w:bCs/>
        </w:rPr>
        <w:t>mostly female (</w:t>
      </w:r>
      <w:r w:rsidR="00804F60">
        <w:rPr>
          <w:bCs/>
        </w:rPr>
        <w:t>70.03</w:t>
      </w:r>
      <w:r>
        <w:rPr>
          <w:bCs/>
        </w:rPr>
        <w:t xml:space="preserve">%, compared to </w:t>
      </w:r>
      <w:r w:rsidR="00804F60">
        <w:rPr>
          <w:bCs/>
        </w:rPr>
        <w:t>29.97</w:t>
      </w:r>
      <w:r>
        <w:rPr>
          <w:bCs/>
        </w:rPr>
        <w:t>% male)</w:t>
      </w:r>
      <w:r w:rsidR="00FF4738">
        <w:rPr>
          <w:bCs/>
        </w:rPr>
        <w:t xml:space="preserve">. </w:t>
      </w:r>
      <w:r w:rsidR="0083266C">
        <w:rPr>
          <w:bCs/>
        </w:rPr>
        <w:t>P</w:t>
      </w:r>
      <w:r w:rsidR="00FF4738">
        <w:rPr>
          <w:bCs/>
        </w:rPr>
        <w:t>articipants were typically non-Hispanic (95.87%, versus 4.18% Hispanic) and</w:t>
      </w:r>
      <w:r>
        <w:rPr>
          <w:bCs/>
        </w:rPr>
        <w:t xml:space="preserve"> White (</w:t>
      </w:r>
      <w:r w:rsidR="00BB7096">
        <w:rPr>
          <w:bCs/>
        </w:rPr>
        <w:t>95.3</w:t>
      </w:r>
      <w:r w:rsidR="00FF4738">
        <w:rPr>
          <w:bCs/>
        </w:rPr>
        <w:t xml:space="preserve">0%, compared to 0.52% American Indian/Alaska Native, 2.35% Asian, 0.52% Native Hawaiian or </w:t>
      </w:r>
      <w:proofErr w:type="gramStart"/>
      <w:r w:rsidR="00FF4738">
        <w:rPr>
          <w:bCs/>
        </w:rPr>
        <w:t>other</w:t>
      </w:r>
      <w:proofErr w:type="gramEnd"/>
      <w:r w:rsidR="00FF4738">
        <w:rPr>
          <w:bCs/>
        </w:rPr>
        <w:t xml:space="preserve"> Pacific Islander, 1.31% Black, and 1.57% other</w:t>
      </w:r>
      <w:r>
        <w:rPr>
          <w:bCs/>
        </w:rPr>
        <w:t>)</w:t>
      </w:r>
      <w:r w:rsidR="00FF4738">
        <w:rPr>
          <w:bCs/>
        </w:rPr>
        <w:t xml:space="preserve">. </w:t>
      </w:r>
      <w:r w:rsidR="0083266C">
        <w:rPr>
          <w:bCs/>
        </w:rPr>
        <w:t>Income was assessed across 6 categories, with m</w:t>
      </w:r>
      <w:r w:rsidR="00E31A4C">
        <w:rPr>
          <w:bCs/>
        </w:rPr>
        <w:t xml:space="preserve">edian household income </w:t>
      </w:r>
      <w:r w:rsidR="0083266C">
        <w:rPr>
          <w:bCs/>
        </w:rPr>
        <w:t xml:space="preserve">of </w:t>
      </w:r>
      <w:r w:rsidR="00E31A4C">
        <w:rPr>
          <w:bCs/>
        </w:rPr>
        <w:t>$40,000-59,999</w:t>
      </w:r>
      <w:r w:rsidR="0083266C">
        <w:rPr>
          <w:bCs/>
        </w:rPr>
        <w:t>. Some</w:t>
      </w:r>
      <w:r w:rsidR="00B2269A">
        <w:rPr>
          <w:bCs/>
        </w:rPr>
        <w:t xml:space="preserve"> respondents were unsure of their household income (32.64%) and there was a bimodal </w:t>
      </w:r>
      <w:r w:rsidR="00B2269A">
        <w:rPr>
          <w:bCs/>
        </w:rPr>
        <w:lastRenderedPageBreak/>
        <w:t xml:space="preserve">distribution with many reporting </w:t>
      </w:r>
      <w:proofErr w:type="gramStart"/>
      <w:r w:rsidR="00B2269A">
        <w:rPr>
          <w:bCs/>
        </w:rPr>
        <w:t>income</w:t>
      </w:r>
      <w:proofErr w:type="gramEnd"/>
      <w:r w:rsidR="00B2269A">
        <w:rPr>
          <w:bCs/>
        </w:rPr>
        <w:t xml:space="preserve"> under $20,000 (20.89%) or over $100,000 (16.45%)</w:t>
      </w:r>
      <w:r w:rsidR="00E31A4C">
        <w:rPr>
          <w:bCs/>
        </w:rPr>
        <w:t xml:space="preserve">. </w:t>
      </w:r>
      <w:r w:rsidR="009E6A07">
        <w:rPr>
          <w:bCs/>
        </w:rPr>
        <w:t>A</w:t>
      </w:r>
      <w:r w:rsidR="009B5732">
        <w:rPr>
          <w:bCs/>
        </w:rPr>
        <w:t xml:space="preserve"> minority </w:t>
      </w:r>
      <w:r w:rsidR="009E6A07">
        <w:rPr>
          <w:bCs/>
        </w:rPr>
        <w:t xml:space="preserve">of students </w:t>
      </w:r>
      <w:r w:rsidR="003B0361">
        <w:rPr>
          <w:bCs/>
        </w:rPr>
        <w:t>(13.</w:t>
      </w:r>
      <w:r w:rsidR="00C43B8E">
        <w:rPr>
          <w:bCs/>
        </w:rPr>
        <w:t>0</w:t>
      </w:r>
      <w:r w:rsidR="00557BF2">
        <w:rPr>
          <w:bCs/>
        </w:rPr>
        <w:t>2</w:t>
      </w:r>
      <w:r w:rsidR="003B0361">
        <w:rPr>
          <w:bCs/>
        </w:rPr>
        <w:t xml:space="preserve">%) </w:t>
      </w:r>
      <w:r w:rsidR="009E6A07">
        <w:rPr>
          <w:bCs/>
        </w:rPr>
        <w:t>reported significant</w:t>
      </w:r>
      <w:r w:rsidR="009B5732">
        <w:rPr>
          <w:bCs/>
        </w:rPr>
        <w:t xml:space="preserve"> distress according to the </w:t>
      </w:r>
      <w:r w:rsidR="00F037D2">
        <w:rPr>
          <w:bCs/>
        </w:rPr>
        <w:t xml:space="preserve">elevated </w:t>
      </w:r>
      <w:r w:rsidR="009B5732">
        <w:rPr>
          <w:bCs/>
        </w:rPr>
        <w:t xml:space="preserve">cutoff on the Counseling Center Assessment of Psychological Symptoms-34 </w:t>
      </w:r>
      <w:r w:rsidR="00F037D2">
        <w:rPr>
          <w:bCs/>
        </w:rPr>
        <w:t xml:space="preserve">indicating a </w:t>
      </w:r>
      <w:r w:rsidR="003B2953">
        <w:rPr>
          <w:bCs/>
        </w:rPr>
        <w:t>high likelihood of a</w:t>
      </w:r>
      <w:r w:rsidR="00F037D2">
        <w:rPr>
          <w:bCs/>
        </w:rPr>
        <w:t xml:space="preserve"> clinical problem </w:t>
      </w:r>
      <w:r w:rsidR="009B5732">
        <w:rPr>
          <w:bCs/>
        </w:rPr>
        <w:t>(</w:t>
      </w:r>
      <w:r w:rsidR="003B0361">
        <w:rPr>
          <w:bCs/>
        </w:rPr>
        <w:t>CCAPS-</w:t>
      </w:r>
      <w:r w:rsidR="001F6122">
        <w:rPr>
          <w:bCs/>
        </w:rPr>
        <w:t xml:space="preserve">34; </w:t>
      </w:r>
      <w:r w:rsidR="001F6122">
        <w:rPr>
          <w:bCs/>
        </w:rPr>
        <w:fldChar w:fldCharType="begin" w:fldLock="1"/>
      </w:r>
      <w:r w:rsidR="009F6A4E">
        <w:rPr>
          <w:bCs/>
        </w:rPr>
        <w:instrText>ADDIN CSL_CITATION {"citationItems":[{"id":"ITEM-1","itemData":{"author":[{"dropping-particle":"","family":"Center for Collegiate Mental Health","given":"","non-dropping-particle":"","parse-names":false,"suffix":""}],"id":"ITEM-1","issued":{"date-parts":[["2012"]]},"publisher":"Pennsylvania State University","publisher-place":"University Park, PA","title":"CCAPS 2012 Technical Manual","type":"book"},"uris":["http://www.mendeley.com/documents/?uuid=2ecf8065-012f-4899-8cf5-b133939ba53f"]}],"mendeley":{"formattedCitation":"(Center for Collegiate Mental Health, 2012)","manualFormatting":"Center for Collegiate Mental Health, 2012)","plainTextFormattedCitation":"(Center for Collegiate Mental Health, 2012)","previouslyFormattedCitation":"(Center for Collegiate Mental Health, 2012)"},"properties":{"noteIndex":0},"schema":"https://github.com/citation-style-language/schema/raw/master/csl-citation.json"}</w:instrText>
      </w:r>
      <w:r w:rsidR="001F6122">
        <w:rPr>
          <w:bCs/>
        </w:rPr>
        <w:fldChar w:fldCharType="separate"/>
      </w:r>
      <w:r w:rsidR="001F6122" w:rsidRPr="001F6122">
        <w:rPr>
          <w:bCs/>
          <w:noProof/>
        </w:rPr>
        <w:t>Center for Collegiate Mental Health, 2012)</w:t>
      </w:r>
      <w:r w:rsidR="001F6122">
        <w:rPr>
          <w:bCs/>
        </w:rPr>
        <w:fldChar w:fldCharType="end"/>
      </w:r>
      <w:r w:rsidR="001F6122">
        <w:rPr>
          <w:bCs/>
        </w:rPr>
        <w:t>.</w:t>
      </w:r>
      <w:r w:rsidR="009B5732">
        <w:rPr>
          <w:bCs/>
        </w:rPr>
        <w:t xml:space="preserve"> </w:t>
      </w:r>
      <w:r w:rsidR="00C75FF7">
        <w:rPr>
          <w:bCs/>
        </w:rPr>
        <w:t xml:space="preserve">Nearly half (43.8%) reported significant distress according to the low cutoff on the CCAPS-34, which </w:t>
      </w:r>
      <w:r w:rsidR="0083266C">
        <w:rPr>
          <w:bCs/>
        </w:rPr>
        <w:t>represents</w:t>
      </w:r>
      <w:r w:rsidR="00C75FF7">
        <w:rPr>
          <w:bCs/>
        </w:rPr>
        <w:t xml:space="preserve"> the point at which scores are more similar to a clinical than nonclinical sample.</w:t>
      </w:r>
    </w:p>
    <w:p w14:paraId="7790BB17" w14:textId="629AC9C8" w:rsidR="009D3006" w:rsidRDefault="003B57BE" w:rsidP="003B57BE">
      <w:pPr>
        <w:spacing w:line="480" w:lineRule="auto"/>
        <w:rPr>
          <w:b/>
        </w:rPr>
      </w:pPr>
      <w:r w:rsidRPr="00A829B3">
        <w:rPr>
          <w:b/>
        </w:rPr>
        <w:t>Procedures</w:t>
      </w:r>
    </w:p>
    <w:p w14:paraId="673BE774" w14:textId="35912258" w:rsidR="0083438B" w:rsidRDefault="0083438B" w:rsidP="003B57BE">
      <w:pPr>
        <w:spacing w:line="480" w:lineRule="auto"/>
        <w:rPr>
          <w:bCs/>
        </w:rPr>
      </w:pPr>
      <w:r>
        <w:rPr>
          <w:b/>
        </w:rPr>
        <w:tab/>
      </w:r>
      <w:r>
        <w:rPr>
          <w:bCs/>
        </w:rPr>
        <w:t>All procedures were approved by the Institutional Review Board of the authors’ university. Participants first provided informed consent through an online form, then were automatically directed to complete a battery of survey measures administered online. Four weeks later, participants were asked to complete a follow-up survey.</w:t>
      </w:r>
      <w:r w:rsidR="008352DA">
        <w:rPr>
          <w:bCs/>
        </w:rPr>
        <w:t xml:space="preserve"> Data were collected from September 2016 to December 2016.</w:t>
      </w:r>
    </w:p>
    <w:p w14:paraId="2157C1EE" w14:textId="1C6091D8" w:rsidR="00EB3E00" w:rsidRDefault="00957E5E" w:rsidP="003B57BE">
      <w:pPr>
        <w:spacing w:line="480" w:lineRule="auto"/>
        <w:rPr>
          <w:b/>
          <w:i/>
          <w:iCs/>
        </w:rPr>
      </w:pPr>
      <w:r>
        <w:rPr>
          <w:b/>
          <w:i/>
          <w:iCs/>
        </w:rPr>
        <w:t>CFQ</w:t>
      </w:r>
      <w:r w:rsidR="009E6A07">
        <w:rPr>
          <w:b/>
          <w:i/>
          <w:iCs/>
        </w:rPr>
        <w:t xml:space="preserve"> (</w:t>
      </w:r>
      <w:proofErr w:type="spellStart"/>
      <w:r w:rsidR="009E6A07">
        <w:rPr>
          <w:b/>
          <w:i/>
          <w:iCs/>
        </w:rPr>
        <w:t>Gillanders</w:t>
      </w:r>
      <w:proofErr w:type="spellEnd"/>
      <w:r w:rsidR="009E6A07">
        <w:rPr>
          <w:b/>
          <w:i/>
          <w:iCs/>
        </w:rPr>
        <w:t xml:space="preserve"> et al., 2014)</w:t>
      </w:r>
    </w:p>
    <w:p w14:paraId="4C18566C" w14:textId="14EC5F74" w:rsidR="00957E5E" w:rsidRDefault="00957E5E" w:rsidP="003B57BE">
      <w:pPr>
        <w:spacing w:line="480" w:lineRule="auto"/>
        <w:rPr>
          <w:bCs/>
        </w:rPr>
      </w:pPr>
      <w:r>
        <w:rPr>
          <w:b/>
        </w:rPr>
        <w:tab/>
      </w:r>
      <w:r>
        <w:rPr>
          <w:bCs/>
        </w:rPr>
        <w:t>The CFQ is a 7-item measure of overall cognitive fusion. Items are rated from 1 (</w:t>
      </w:r>
      <w:proofErr w:type="gramStart"/>
      <w:r>
        <w:rPr>
          <w:bCs/>
        </w:rPr>
        <w:t>never  true</w:t>
      </w:r>
      <w:proofErr w:type="gramEnd"/>
      <w:r>
        <w:rPr>
          <w:bCs/>
        </w:rPr>
        <w:t xml:space="preserve">) to 7 (always true) and </w:t>
      </w:r>
      <w:r w:rsidR="008314B4">
        <w:rPr>
          <w:bCs/>
        </w:rPr>
        <w:t xml:space="preserve">all </w:t>
      </w:r>
      <w:r>
        <w:rPr>
          <w:bCs/>
        </w:rPr>
        <w:t xml:space="preserve">items are summed to derive a total score, which ranges from 7 to 49. </w:t>
      </w:r>
      <w:r w:rsidR="008314B4">
        <w:rPr>
          <w:bCs/>
        </w:rPr>
        <w:t>The CFQ has support for its psychometrics including good temporal stability and convergent and divergent validity with appropriate measures (i.e., negative relationships with mindfulness, positive relationships with psychological symptoms</w:t>
      </w:r>
      <w:r w:rsidR="009E6A07">
        <w:rPr>
          <w:bCs/>
        </w:rPr>
        <w:t xml:space="preserve">; </w:t>
      </w:r>
      <w:proofErr w:type="spellStart"/>
      <w:r w:rsidR="009E6A07">
        <w:rPr>
          <w:bCs/>
        </w:rPr>
        <w:t>Gillanders</w:t>
      </w:r>
      <w:proofErr w:type="spellEnd"/>
      <w:r w:rsidR="009E6A07">
        <w:rPr>
          <w:bCs/>
        </w:rPr>
        <w:t xml:space="preserve"> et al., 2014</w:t>
      </w:r>
      <w:r w:rsidR="008314B4">
        <w:rPr>
          <w:bCs/>
        </w:rPr>
        <w:t xml:space="preserve">). </w:t>
      </w:r>
      <w:r w:rsidR="001671E2">
        <w:rPr>
          <w:bCs/>
        </w:rPr>
        <w:t>In this sample,</w:t>
      </w:r>
      <w:r w:rsidR="00A533F1">
        <w:rPr>
          <w:bCs/>
        </w:rPr>
        <w:t xml:space="preserve"> based on observed baseline data,</w:t>
      </w:r>
      <w:r w:rsidR="001671E2">
        <w:rPr>
          <w:bCs/>
        </w:rPr>
        <w:t xml:space="preserve"> internal consistency was</w:t>
      </w:r>
      <w:r w:rsidR="00F74E99">
        <w:rPr>
          <w:bCs/>
        </w:rPr>
        <w:t xml:space="preserve"> excellent</w:t>
      </w:r>
      <w:r w:rsidR="001671E2">
        <w:rPr>
          <w:bCs/>
        </w:rPr>
        <w:t xml:space="preserve"> (</w:t>
      </w:r>
      <w:r w:rsidR="001671E2">
        <w:rPr>
          <w:bCs/>
        </w:rPr>
        <w:sym w:font="Symbol" w:char="F061"/>
      </w:r>
      <w:r w:rsidR="001671E2">
        <w:rPr>
          <w:bCs/>
        </w:rPr>
        <w:t xml:space="preserve"> = </w:t>
      </w:r>
      <w:r w:rsidR="00F74E99">
        <w:rPr>
          <w:bCs/>
        </w:rPr>
        <w:t>.95</w:t>
      </w:r>
      <w:r w:rsidR="001671E2">
        <w:rPr>
          <w:bCs/>
        </w:rPr>
        <w:t>)</w:t>
      </w:r>
      <w:r w:rsidR="00926242">
        <w:rPr>
          <w:bCs/>
        </w:rPr>
        <w:t xml:space="preserve">, and average CFQ score was </w:t>
      </w:r>
      <w:r w:rsidR="00A533F1">
        <w:rPr>
          <w:bCs/>
        </w:rPr>
        <w:t>24.71</w:t>
      </w:r>
      <w:r w:rsidR="00926242">
        <w:rPr>
          <w:bCs/>
        </w:rPr>
        <w:t xml:space="preserve"> (SD = </w:t>
      </w:r>
      <w:r w:rsidR="00A533F1">
        <w:rPr>
          <w:bCs/>
        </w:rPr>
        <w:t>10.34</w:t>
      </w:r>
      <w:r w:rsidR="00926242">
        <w:rPr>
          <w:bCs/>
        </w:rPr>
        <w:t>).</w:t>
      </w:r>
    </w:p>
    <w:p w14:paraId="23D0EE60" w14:textId="139C0299" w:rsidR="00EB3E00" w:rsidRDefault="00D06979" w:rsidP="003B57BE">
      <w:pPr>
        <w:spacing w:line="480" w:lineRule="auto"/>
        <w:rPr>
          <w:b/>
          <w:i/>
        </w:rPr>
      </w:pPr>
      <w:r>
        <w:rPr>
          <w:b/>
          <w:i/>
        </w:rPr>
        <w:t xml:space="preserve">Automatic Thoughts Questionnaire (ATQ; </w:t>
      </w:r>
      <w:r w:rsidRPr="00D06979">
        <w:rPr>
          <w:b/>
          <w:i/>
        </w:rPr>
        <w:fldChar w:fldCharType="begin" w:fldLock="1"/>
      </w:r>
      <w:r w:rsidR="001F6122">
        <w:rPr>
          <w:b/>
          <w:i/>
        </w:rPr>
        <w:instrText>ADDIN CSL_CITATION {"citationItems":[{"id":"ITEM-1","itemData":{"DOI":"10.1007/BF01178214","ISSN":"01475916","abstract":"A 30-item questionnaire was devised to measure the frequency of occurrence of automatic negative thoughts (negative self-statements)associated with depression. Male and female undergraduates were asked to recall dysphoric experiences and to report associated cognitions. One hundred representative cognitions were selected and administered to a second sample, along with the MMPI D scale and the Beck Depression Inventory. Thirty items discriminating between criterion groups of psychometrically depressed and nondepressed subjects were identified. The resultant 30-item automatic thoughts questionnaire (ATQ-30)was cross-validated and found to significantly discriminate psychometrically depressed from nondepressed criterion groups. No differences were found between males and females on the measure. Factor analysis indicated a four-factor solution, with a large first factor reflecting Personal Maladjustment, a second factor indicative of Negative Self-Concept and Negative Expectations, and two lesser factors. The ATQ-30 may provide a means of testing basic theory relating cognitive content to behavioral and affective processes and assessing change in cognitions associated with experimental manipulation or psychotherapeutic intervention. © 1980 Plenum Publishing Corporation.","author":[{"dropping-particle":"","family":"Hollon","given":"Steven D.","non-dropping-particle":"","parse-names":false,"suffix":""},{"dropping-particle":"","family":"Kendall","given":"Philip C.","non-dropping-particle":"","parse-names":false,"suffix":""}],"container-title":"Cognitive Therapy and Research","id":"ITEM-1","issue":"4","issued":{"date-parts":[["1980"]]},"page":"383-395","title":"Cognitive self-statements in depression: Development of an automatic thoughts questionnaire","type":"article-journal","volume":"4"},"uris":["http://www.mendeley.com/documents/?uuid=30b45bc7-3769-484e-915b-6173545e1979"]}],"mendeley":{"formattedCitation":"(Hollon &amp; Kendall, 1980)","manualFormatting":"Hollon &amp; Kendall, 1980)","plainTextFormattedCitation":"(Hollon &amp; Kendall, 1980)","previouslyFormattedCitation":"(Hollon &amp; Kendall, 1980)"},"properties":{"noteIndex":0},"schema":"https://github.com/citation-style-language/schema/raw/master/csl-citation.json"}</w:instrText>
      </w:r>
      <w:r w:rsidRPr="00D06979">
        <w:rPr>
          <w:b/>
          <w:i/>
        </w:rPr>
        <w:fldChar w:fldCharType="separate"/>
      </w:r>
      <w:r w:rsidRPr="00D06979">
        <w:rPr>
          <w:b/>
          <w:i/>
          <w:noProof/>
        </w:rPr>
        <w:t>Hollon &amp; Kendall, 1980)</w:t>
      </w:r>
      <w:r w:rsidRPr="00D06979">
        <w:rPr>
          <w:b/>
          <w:i/>
        </w:rPr>
        <w:fldChar w:fldCharType="end"/>
      </w:r>
    </w:p>
    <w:p w14:paraId="631C5F2D" w14:textId="19964D66" w:rsidR="00DE6EFB" w:rsidRPr="00DE6EFB" w:rsidRDefault="00DE6EFB" w:rsidP="003B57BE">
      <w:pPr>
        <w:spacing w:line="480" w:lineRule="auto"/>
        <w:rPr>
          <w:bCs/>
          <w:iCs/>
        </w:rPr>
      </w:pPr>
      <w:r>
        <w:rPr>
          <w:b/>
          <w:iCs/>
        </w:rPr>
        <w:tab/>
      </w:r>
      <w:r>
        <w:rPr>
          <w:bCs/>
          <w:iCs/>
        </w:rPr>
        <w:t xml:space="preserve">The ATQ is designed to measure </w:t>
      </w:r>
      <w:r w:rsidR="00D15B7C">
        <w:rPr>
          <w:bCs/>
          <w:iCs/>
        </w:rPr>
        <w:t>the frequency of automatic negative thoughts typical of depression. It comprises</w:t>
      </w:r>
      <w:r w:rsidR="007916EE">
        <w:rPr>
          <w:bCs/>
          <w:iCs/>
        </w:rPr>
        <w:t xml:space="preserve"> 30 items, which consistent of different thoughts, and participants are </w:t>
      </w:r>
      <w:r w:rsidR="007916EE">
        <w:rPr>
          <w:bCs/>
          <w:iCs/>
        </w:rPr>
        <w:lastRenderedPageBreak/>
        <w:t>asked to rate how often such thoughts occur from 1 (not at all) to 5 (all the time); items are summed to generate a total score ranging from 30 to 150.</w:t>
      </w:r>
      <w:r w:rsidR="009F6A4E">
        <w:rPr>
          <w:bCs/>
          <w:iCs/>
        </w:rPr>
        <w:t xml:space="preserve"> While some items may be relatively specific to depression (i.e., “Nothing feels good anymore”) many are consistent with distress broadly (i.e., “My life is a mess”) and the ATQ is very highly correlated with general measures of distress </w:t>
      </w:r>
      <w:r w:rsidR="009F6A4E">
        <w:rPr>
          <w:bCs/>
          <w:iCs/>
        </w:rPr>
        <w:fldChar w:fldCharType="begin" w:fldLock="1"/>
      </w:r>
      <w:r w:rsidR="00047C21">
        <w:rPr>
          <w:bCs/>
          <w:iCs/>
        </w:rPr>
        <w:instrText>ADDIN CSL_CITATION {"citationItems":[{"id":"ITEM-1","itemData":{"DOI":"10.1002/jclp.21976","ISSN":"00219762","PMID":"23504665","abstract":"Objective: We aimed to relate key constructs from three forms of cognitive behavioral therapy that are often placed in competition: rational emotive behavior therapy, cognitive therapy, and acceptance and commitment therapy. The key constructs of the underlying theories (i.e., irrational beliefs/unconditional self-acceptance, dysfunctional cognitions, experiential avoidance/psychological inflexibility) of these therapies have not been explicitly studied in their relationships to each other and with emotional distress. Method: We used a cross-sectional design. The variables were selected to indicate key constructs of the three major forms of therapy considered. Study 1 used a sample of 152 students, who were assessed during a stressful period of their semester (mean age = 21.71; 118 females), while Study 2 used a clinical sample of 28 patients with generalized anxiety disorder (mean age = 26.67; 26 females). Results: Results showed that these constructs, central in the therapies considered, had medium to high associations to each other and to distress. Experiential avoidance was found to mediate the relationship between the other, schema-type cognitive constructs and emotional distress. Moreover, multiple mediation analysis in Study 2 seemed to indicate that the influence of the more general constructs on distress was mediated by experiential avoidance, whose effect seemed to be carried on further by automatic thoughts that were the most proximal to distress. Conclusions: Although each of the cognitive constructs considered comes with its underlying theory, the relationships between them can no longer be ignored and cognitive behavioral therapy theoretical models reliably accounting for these relationships should be proposed and tested. © 2013 Wiley Periodicals, Inc.","author":[{"dropping-particle":"","family":"Cristea","given":"Ioana A.","non-dropping-particle":"","parse-names":false,"suffix":""},{"dropping-particle":"","family":"Montgomery","given":"Guy H.","non-dropping-particle":"","parse-names":false,"suffix":""},{"dropping-particle":"","family":"Szamoskozi","given":"Ştefan","non-dropping-particle":"","parse-names":false,"suffix":""},{"dropping-particle":"","family":"David","given":"Daniel","non-dropping-particle":"","parse-names":false,"suffix":""}],"container-title":"Journal of Clinical Psychology","id":"ITEM-1","issue":"6","issued":{"date-parts":[["2013"]]},"page":"584-599","title":"Key constructs in \"classical\" and \"new wave\" cognitive behavioral psychotherapies: Relationships among each other and with emotional distress","type":"article-journal","volume":"69"},"uris":["http://www.mendeley.com/documents/?uuid=9c1794fa-7e08-4e21-a41e-e5f0986f4298"]}],"mendeley":{"formattedCitation":"(Cristea et al., 2013)","plainTextFormattedCitation":"(Cristea et al., 2013)","previouslyFormattedCitation":"(Cristea et al., 2013)"},"properties":{"noteIndex":0},"schema":"https://github.com/citation-style-language/schema/raw/master/csl-citation.json"}</w:instrText>
      </w:r>
      <w:r w:rsidR="009F6A4E">
        <w:rPr>
          <w:bCs/>
          <w:iCs/>
        </w:rPr>
        <w:fldChar w:fldCharType="separate"/>
      </w:r>
      <w:r w:rsidR="009F6A4E" w:rsidRPr="009F6A4E">
        <w:rPr>
          <w:bCs/>
          <w:iCs/>
          <w:noProof/>
        </w:rPr>
        <w:t>(Cristea et al., 2013)</w:t>
      </w:r>
      <w:r w:rsidR="009F6A4E">
        <w:rPr>
          <w:bCs/>
          <w:iCs/>
        </w:rPr>
        <w:fldChar w:fldCharType="end"/>
      </w:r>
      <w:r w:rsidR="009F6A4E">
        <w:rPr>
          <w:bCs/>
          <w:iCs/>
        </w:rPr>
        <w:t>.</w:t>
      </w:r>
      <w:r w:rsidR="00A533F1">
        <w:rPr>
          <w:bCs/>
          <w:iCs/>
        </w:rPr>
        <w:t xml:space="preserve"> In this sample, internal consistency was </w:t>
      </w:r>
      <w:r w:rsidR="00CE0832">
        <w:rPr>
          <w:bCs/>
          <w:iCs/>
        </w:rPr>
        <w:t xml:space="preserve">excellent </w:t>
      </w:r>
      <w:r w:rsidR="00A533F1">
        <w:rPr>
          <w:bCs/>
        </w:rPr>
        <w:t>(</w:t>
      </w:r>
      <w:r w:rsidR="00A533F1">
        <w:rPr>
          <w:bCs/>
        </w:rPr>
        <w:sym w:font="Symbol" w:char="F061"/>
      </w:r>
      <w:r w:rsidR="00A533F1">
        <w:rPr>
          <w:bCs/>
        </w:rPr>
        <w:t xml:space="preserve"> = </w:t>
      </w:r>
      <w:r w:rsidR="00CE0832">
        <w:rPr>
          <w:bCs/>
        </w:rPr>
        <w:t>.97</w:t>
      </w:r>
      <w:r w:rsidR="00A533F1">
        <w:rPr>
          <w:bCs/>
        </w:rPr>
        <w:t xml:space="preserve">), </w:t>
      </w:r>
      <w:r w:rsidR="00CE0832">
        <w:rPr>
          <w:bCs/>
        </w:rPr>
        <w:t xml:space="preserve">and </w:t>
      </w:r>
      <w:r w:rsidR="00A533F1">
        <w:rPr>
          <w:bCs/>
        </w:rPr>
        <w:t>the average ATQ score was 57.81 (SD = 24.76)</w:t>
      </w:r>
      <w:r w:rsidR="00F13F74">
        <w:rPr>
          <w:bCs/>
        </w:rPr>
        <w:t>.</w:t>
      </w:r>
    </w:p>
    <w:p w14:paraId="47E9B4D2" w14:textId="6D1B2BE0" w:rsidR="003F0D1F" w:rsidRDefault="003F0D1F" w:rsidP="003B57BE">
      <w:pPr>
        <w:spacing w:line="480" w:lineRule="auto"/>
        <w:rPr>
          <w:b/>
          <w:i/>
        </w:rPr>
      </w:pPr>
      <w:r>
        <w:rPr>
          <w:b/>
          <w:i/>
        </w:rPr>
        <w:t>CCAPS-34</w:t>
      </w:r>
    </w:p>
    <w:p w14:paraId="404F5467" w14:textId="2C6513F7" w:rsidR="00F13F74" w:rsidRDefault="00FD0845" w:rsidP="003B57BE">
      <w:pPr>
        <w:spacing w:line="480" w:lineRule="auto"/>
        <w:rPr>
          <w:bCs/>
          <w:iCs/>
        </w:rPr>
      </w:pPr>
      <w:r>
        <w:rPr>
          <w:bCs/>
          <w:i/>
        </w:rPr>
        <w:tab/>
      </w:r>
      <w:r w:rsidR="00956607">
        <w:rPr>
          <w:bCs/>
          <w:iCs/>
        </w:rPr>
        <w:t>The CCAPS-34 is a 34-item measure of psychological symptoms in college students, including subscales for depression and generalized anxiety</w:t>
      </w:r>
      <w:r w:rsidR="00047C21">
        <w:rPr>
          <w:bCs/>
          <w:iCs/>
        </w:rPr>
        <w:t xml:space="preserve">, and a distress index evaluating overall distress </w:t>
      </w:r>
      <w:r w:rsidR="00047C21">
        <w:rPr>
          <w:bCs/>
          <w:iCs/>
        </w:rPr>
        <w:fldChar w:fldCharType="begin" w:fldLock="1"/>
      </w:r>
      <w:r w:rsidR="00CE72FF">
        <w:rPr>
          <w:bCs/>
          <w:iCs/>
        </w:rPr>
        <w:instrText>ADDIN CSL_CITATION {"citationItems":[{"id":"ITEM-1","itemData":{"author":[{"dropping-particle":"","family":"Center for Collegiate Mental Health","given":"","non-dropping-particle":"","parse-names":false,"suffix":""}],"id":"ITEM-1","issued":{"date-parts":[["2012"]]},"publisher":"Pennsylvania State University","publisher-place":"University Park, PA","title":"CCAPS 2012 Technical Manual","type":"book"},"uris":["http://www.mendeley.com/documents/?uuid=2ecf8065-012f-4899-8cf5-b133939ba53f"]}],"mendeley":{"formattedCitation":"(Center for Collegiate Mental Health, 2012)","plainTextFormattedCitation":"(Center for Collegiate Mental Health, 2012)","previouslyFormattedCitation":"(Center for Collegiate Mental Health, 2012)"},"properties":{"noteIndex":0},"schema":"https://github.com/citation-style-language/schema/raw/master/csl-citation.json"}</w:instrText>
      </w:r>
      <w:r w:rsidR="00047C21">
        <w:rPr>
          <w:bCs/>
          <w:iCs/>
        </w:rPr>
        <w:fldChar w:fldCharType="separate"/>
      </w:r>
      <w:r w:rsidR="00047C21" w:rsidRPr="00047C21">
        <w:rPr>
          <w:bCs/>
          <w:iCs/>
          <w:noProof/>
        </w:rPr>
        <w:t>(Center for Collegiate Mental Health, 2012)</w:t>
      </w:r>
      <w:r w:rsidR="00047C21">
        <w:rPr>
          <w:bCs/>
          <w:iCs/>
        </w:rPr>
        <w:fldChar w:fldCharType="end"/>
      </w:r>
      <w:r w:rsidR="00047C21">
        <w:rPr>
          <w:bCs/>
          <w:iCs/>
        </w:rPr>
        <w:t>.</w:t>
      </w:r>
      <w:r w:rsidR="00CE72FF">
        <w:rPr>
          <w:bCs/>
          <w:iCs/>
        </w:rPr>
        <w:t xml:space="preserve"> The CCAPS-34 has good concurrent validity and acceptable internal consistency in college students </w:t>
      </w:r>
      <w:r w:rsidR="00CE72FF">
        <w:rPr>
          <w:bCs/>
          <w:iCs/>
        </w:rPr>
        <w:fldChar w:fldCharType="begin" w:fldLock="1"/>
      </w:r>
      <w:r w:rsidR="00CE72FF">
        <w:rPr>
          <w:bCs/>
          <w:iCs/>
        </w:rPr>
        <w:instrText>ADDIN CSL_CITATION {"citationItems":[{"id":"ITEM-1","itemData":{"DOI":"10.1177/0748175611432642","ISSN":"0748-1756","abstract":"A short version of the Counseling Center Assessment of Psychological Symptoms-62 (CCAPS-62) was created via three studies. The final short version (CCAPS-34), which contains 34 items and 7 subscales, demonstrated good discrimination power, support for the proposed factor structure, strong initial convergent validity, and adequate test-retest stability over 1-week and 2-week intervals.","author":[{"dropping-particle":"","family":"Locke","given":"Benjamin D.","non-dropping-particle":"","parse-names":false,"suffix":""},{"dropping-particle":"","family":"McAleavey","given":"Andrew a.","non-dropping-particle":"","parse-names":false,"suffix":""},{"dropping-particle":"","family":"Zhao","given":"Y.","non-dropping-particle":"","parse-names":false,"suffix":""},{"dropping-particle":"","family":"Lei","given":"P.-W.","non-dropping-particle":"","parse-names":false,"suffix":""},{"dropping-particle":"","family":"Hayes","given":"Jeffrey A.","non-dropping-particle":"","parse-names":false,"suffix":""},{"dropping-particle":"","family":"Castonguay","given":"Louis G.","non-dropping-particle":"","parse-names":false,"suffix":""},{"dropping-particle":"","family":"Li","given":"H.","non-dropping-particle":"","parse-names":false,"suffix":""},{"dropping-particle":"","family":"Tate","given":"R.","non-dropping-particle":"","parse-names":false,"suffix":""},{"dropping-particle":"","family":"Lin","given":"Y.-C.","non-dropping-particle":"","parse-names":false,"suffix":""}],"container-title":"Measurement and Evaluation in Counseling and Development","id":"ITEM-1","issued":{"date-parts":[["2012"]]},"page":"151-169","title":"Development and initial validation of the Counseling Center Assessment of Psychological Symptoms-34","type":"article-journal","volume":"45"},"uris":["http://www.mendeley.com/documents/?uuid=c7dd0ae0-74c7-4a74-ad3f-9e8ec4155a06"]}],"mendeley":{"formattedCitation":"(Locke et al., 2012)","plainTextFormattedCitation":"(Locke et al., 2012)","previouslyFormattedCitation":"(Locke et al., 2012)"},"properties":{"noteIndex":0},"schema":"https://github.com/citation-style-language/schema/raw/master/csl-citation.json"}</w:instrText>
      </w:r>
      <w:r w:rsidR="00CE72FF">
        <w:rPr>
          <w:bCs/>
          <w:iCs/>
        </w:rPr>
        <w:fldChar w:fldCharType="separate"/>
      </w:r>
      <w:r w:rsidR="00CE72FF" w:rsidRPr="00CE72FF">
        <w:rPr>
          <w:bCs/>
          <w:iCs/>
          <w:noProof/>
        </w:rPr>
        <w:t>(Locke et al., 2012)</w:t>
      </w:r>
      <w:r w:rsidR="00CE72FF">
        <w:rPr>
          <w:bCs/>
          <w:iCs/>
        </w:rPr>
        <w:fldChar w:fldCharType="end"/>
      </w:r>
      <w:r w:rsidR="00CE72FF">
        <w:rPr>
          <w:bCs/>
          <w:iCs/>
        </w:rPr>
        <w:t>. Items are rated from 0</w:t>
      </w:r>
      <w:r w:rsidR="00732332">
        <w:rPr>
          <w:bCs/>
          <w:iCs/>
        </w:rPr>
        <w:t xml:space="preserve"> (not at all like me)</w:t>
      </w:r>
      <w:r w:rsidR="00CE72FF">
        <w:rPr>
          <w:bCs/>
          <w:iCs/>
        </w:rPr>
        <w:t xml:space="preserve"> to 4</w:t>
      </w:r>
      <w:r w:rsidR="00732332">
        <w:rPr>
          <w:bCs/>
          <w:iCs/>
        </w:rPr>
        <w:t xml:space="preserve"> (extremely like me)</w:t>
      </w:r>
      <w:r w:rsidR="00CE72FF">
        <w:rPr>
          <w:bCs/>
          <w:iCs/>
        </w:rPr>
        <w:t xml:space="preserve">, and the subscales and distress index are calculated as the means of relevant items. In the present study, internal consistency was </w:t>
      </w:r>
      <w:r w:rsidR="00875C16">
        <w:rPr>
          <w:bCs/>
          <w:iCs/>
        </w:rPr>
        <w:t xml:space="preserve">good to excellent </w:t>
      </w:r>
      <w:r w:rsidR="00CE72FF">
        <w:rPr>
          <w:bCs/>
          <w:iCs/>
        </w:rPr>
        <w:t>(</w:t>
      </w:r>
      <w:r w:rsidR="00875C16">
        <w:rPr>
          <w:bCs/>
          <w:iCs/>
        </w:rPr>
        <w:t>d</w:t>
      </w:r>
      <w:r w:rsidR="00CE72FF">
        <w:rPr>
          <w:bCs/>
          <w:iCs/>
        </w:rPr>
        <w:t xml:space="preserve">epression </w:t>
      </w:r>
      <w:r w:rsidR="00CE72FF">
        <w:rPr>
          <w:bCs/>
          <w:iCs/>
        </w:rPr>
        <w:sym w:font="Symbol" w:char="F061"/>
      </w:r>
      <w:r w:rsidR="00CE72FF">
        <w:rPr>
          <w:bCs/>
          <w:iCs/>
        </w:rPr>
        <w:t xml:space="preserve"> = </w:t>
      </w:r>
      <w:r w:rsidR="00875C16">
        <w:rPr>
          <w:bCs/>
          <w:iCs/>
        </w:rPr>
        <w:t>.89</w:t>
      </w:r>
      <w:r w:rsidR="00CE72FF">
        <w:rPr>
          <w:bCs/>
          <w:iCs/>
        </w:rPr>
        <w:t xml:space="preserve">, </w:t>
      </w:r>
      <w:r w:rsidR="00875C16">
        <w:rPr>
          <w:bCs/>
          <w:iCs/>
        </w:rPr>
        <w:t>g</w:t>
      </w:r>
      <w:r w:rsidR="00CE72FF">
        <w:rPr>
          <w:bCs/>
          <w:iCs/>
        </w:rPr>
        <w:t xml:space="preserve">eneralized anxiety </w:t>
      </w:r>
      <w:r w:rsidR="00CE72FF">
        <w:rPr>
          <w:bCs/>
          <w:iCs/>
        </w:rPr>
        <w:sym w:font="Symbol" w:char="F061"/>
      </w:r>
      <w:r w:rsidR="00CE72FF">
        <w:rPr>
          <w:bCs/>
          <w:iCs/>
        </w:rPr>
        <w:t xml:space="preserve"> = </w:t>
      </w:r>
      <w:r w:rsidR="00875C16">
        <w:rPr>
          <w:bCs/>
          <w:iCs/>
        </w:rPr>
        <w:t>.82</w:t>
      </w:r>
      <w:r w:rsidR="00CE72FF">
        <w:rPr>
          <w:bCs/>
          <w:iCs/>
        </w:rPr>
        <w:t xml:space="preserve">, </w:t>
      </w:r>
      <w:r w:rsidR="00875C16">
        <w:rPr>
          <w:bCs/>
          <w:iCs/>
        </w:rPr>
        <w:t>d</w:t>
      </w:r>
      <w:r w:rsidR="00CE72FF">
        <w:rPr>
          <w:bCs/>
          <w:iCs/>
        </w:rPr>
        <w:t xml:space="preserve">istress </w:t>
      </w:r>
      <w:r w:rsidR="00875C16">
        <w:rPr>
          <w:bCs/>
          <w:iCs/>
        </w:rPr>
        <w:t>i</w:t>
      </w:r>
      <w:r w:rsidR="00CE72FF">
        <w:rPr>
          <w:bCs/>
          <w:iCs/>
        </w:rPr>
        <w:t xml:space="preserve">ndex </w:t>
      </w:r>
      <w:r w:rsidR="00CE72FF">
        <w:rPr>
          <w:bCs/>
          <w:iCs/>
        </w:rPr>
        <w:sym w:font="Symbol" w:char="F061"/>
      </w:r>
      <w:r w:rsidR="00CE72FF">
        <w:rPr>
          <w:bCs/>
          <w:iCs/>
        </w:rPr>
        <w:t xml:space="preserve"> = </w:t>
      </w:r>
      <w:r w:rsidR="00875C16">
        <w:rPr>
          <w:bCs/>
          <w:iCs/>
        </w:rPr>
        <w:t>.92</w:t>
      </w:r>
      <w:r w:rsidR="00CE72FF">
        <w:rPr>
          <w:bCs/>
          <w:iCs/>
        </w:rPr>
        <w:t>).</w:t>
      </w:r>
      <w:r w:rsidR="00F13F74">
        <w:rPr>
          <w:bCs/>
          <w:iCs/>
        </w:rPr>
        <w:t xml:space="preserve"> </w:t>
      </w:r>
    </w:p>
    <w:p w14:paraId="3CBBC073" w14:textId="2818214F" w:rsidR="0015411E" w:rsidRDefault="0015411E" w:rsidP="003B57BE">
      <w:pPr>
        <w:spacing w:line="480" w:lineRule="auto"/>
        <w:rPr>
          <w:b/>
          <w:iCs/>
        </w:rPr>
      </w:pPr>
      <w:r>
        <w:rPr>
          <w:b/>
          <w:iCs/>
        </w:rPr>
        <w:t>Analysis Plan</w:t>
      </w:r>
    </w:p>
    <w:p w14:paraId="40C2ACDD" w14:textId="65536618" w:rsidR="0015411E" w:rsidRPr="00BF28B5" w:rsidRDefault="0015411E" w:rsidP="003B57BE">
      <w:pPr>
        <w:spacing w:line="480" w:lineRule="auto"/>
        <w:rPr>
          <w:bCs/>
        </w:rPr>
      </w:pPr>
      <w:r w:rsidRPr="005C25C1">
        <w:rPr>
          <w:rFonts w:eastAsia="MS Mincho"/>
          <w:bCs/>
          <w:iCs/>
        </w:rPr>
        <w:tab/>
        <w:t xml:space="preserve">As preliminary steps, descriptive statistics were calculated (see Table 1) and variables were inspected for normality and missingness. </w:t>
      </w:r>
      <w:r w:rsidRPr="00F84361">
        <w:rPr>
          <w:bCs/>
        </w:rPr>
        <w:t xml:space="preserve">Rates of missing data for variables of interest ranged from 0.78% to 3.35% at baseline and 9.04% to </w:t>
      </w:r>
      <w:r w:rsidRPr="009B59E8">
        <w:rPr>
          <w:bCs/>
        </w:rPr>
        <w:t>9.30%</w:t>
      </w:r>
      <w:r w:rsidRPr="00BF28B5">
        <w:rPr>
          <w:bCs/>
        </w:rPr>
        <w:t xml:space="preserve"> at follow-up. </w:t>
      </w:r>
      <w:r w:rsidR="00BF28B5">
        <w:rPr>
          <w:bCs/>
        </w:rPr>
        <w:t xml:space="preserve">Little’s MCAR test </w:t>
      </w:r>
      <w:r w:rsidR="00A5790E">
        <w:rPr>
          <w:bCs/>
        </w:rPr>
        <w:fldChar w:fldCharType="begin" w:fldLock="1"/>
      </w:r>
      <w:r w:rsidR="00A5790E">
        <w:rPr>
          <w:bCs/>
        </w:rPr>
        <w:instrText>ADDIN CSL_CITATION {"citationItems":[{"id":"ITEM-1","itemData":{"DOI":"10.1080/01621459.1988.10478722","ISSN":"1537274X","abstract":"A common concern when faced with multivariate data with missing values is whether the missing data are missing completely at random (MCAR); that is, whether missingness depends on the variables in the data set. One way of assessing this is to compare the means of recorded values of each variable between groups defined by whether other variables in the data set are missing or not. Although informative, this procedure yields potentially many correlated statistics for testing MCAR, resulting in multiple-comparison problems. This article proposes a single global test statistic for MCAR that uses all of the available data. The asymptotic null distribution is given, and the small-sample null distribution is derived for multivariate normal data with a monotone pattern of missing data. The test reduces to a standard t test when the data are bivariate with missing data confined to a single variable. A limited simulation study of empirical sizes for the test applied to normal and nonnormal data suggests that the test is conservative for small samples. © 1976 Taylor &amp; Francis Group, LLC.","author":[{"dropping-particle":"","family":"Little","given":"Roderick J.A.","non-dropping-particle":"","parse-names":false,"suffix":""}],"container-title":"Journal of the American Statistical Association","id":"ITEM-1","issue":"404","issued":{"date-parts":[["1988"]]},"page":"1198-1202","title":"A test of missing completely at random for multivariate data with missing values","type":"article-journal","volume":"83"},"uris":["http://www.mendeley.com/documents/?uuid=9e0e9f99-5ecf-4fa1-8de1-6d7e03934d29"]}],"mendeley":{"formattedCitation":"(Little, 1988)","plainTextFormattedCitation":"(Little, 1988)","previouslyFormattedCitation":"(Little, 1988)"},"properties":{"noteIndex":0},"schema":"https://github.com/citation-style-language/schema/raw/master/csl-citation.json"}</w:instrText>
      </w:r>
      <w:r w:rsidR="00A5790E">
        <w:rPr>
          <w:bCs/>
        </w:rPr>
        <w:fldChar w:fldCharType="separate"/>
      </w:r>
      <w:r w:rsidR="00A5790E" w:rsidRPr="00A5790E">
        <w:rPr>
          <w:bCs/>
          <w:noProof/>
        </w:rPr>
        <w:t>(Little, 1988)</w:t>
      </w:r>
      <w:r w:rsidR="00A5790E">
        <w:rPr>
          <w:bCs/>
        </w:rPr>
        <w:fldChar w:fldCharType="end"/>
      </w:r>
      <w:r w:rsidR="00A5790E">
        <w:rPr>
          <w:bCs/>
        </w:rPr>
        <w:t xml:space="preserve"> </w:t>
      </w:r>
      <w:r w:rsidR="00BF28B5">
        <w:rPr>
          <w:bCs/>
        </w:rPr>
        <w:t xml:space="preserve">was consistent with the hypothesis of data missing completely at </w:t>
      </w:r>
      <w:r w:rsidR="00BF28B5" w:rsidRPr="00A5790E">
        <w:rPr>
          <w:bCs/>
        </w:rPr>
        <w:t>random</w:t>
      </w:r>
      <w:r w:rsidR="00A5790E" w:rsidRPr="007F587B">
        <w:rPr>
          <w:bCs/>
        </w:rPr>
        <w:t xml:space="preserve"> (</w:t>
      </w:r>
      <w:r w:rsidR="00A5790E" w:rsidRPr="00DA6897">
        <w:rPr>
          <w:bCs/>
        </w:rPr>
        <w:sym w:font="Symbol" w:char="F063"/>
      </w:r>
      <w:r w:rsidR="00A5790E" w:rsidRPr="00DA6897">
        <w:rPr>
          <w:bCs/>
          <w:vertAlign w:val="superscript"/>
        </w:rPr>
        <w:t>2</w:t>
      </w:r>
      <w:r w:rsidR="00A5790E" w:rsidRPr="00DA6897">
        <w:rPr>
          <w:bCs/>
        </w:rPr>
        <w:t xml:space="preserve">(109) = 95.92, </w:t>
      </w:r>
      <w:r w:rsidR="00A5790E" w:rsidRPr="00DA6897">
        <w:rPr>
          <w:bCs/>
          <w:i/>
          <w:iCs/>
        </w:rPr>
        <w:t>p</w:t>
      </w:r>
      <w:r w:rsidR="00A5790E" w:rsidRPr="00DA6897">
        <w:rPr>
          <w:bCs/>
        </w:rPr>
        <w:t xml:space="preserve"> = 0.81)</w:t>
      </w:r>
      <w:r w:rsidR="00BF28B5" w:rsidRPr="00A5790E">
        <w:rPr>
          <w:bCs/>
        </w:rPr>
        <w:t xml:space="preserve">, </w:t>
      </w:r>
      <w:r w:rsidR="00BF28B5" w:rsidRPr="007F587B">
        <w:rPr>
          <w:bCs/>
        </w:rPr>
        <w:t xml:space="preserve">and this </w:t>
      </w:r>
      <w:r w:rsidR="00BF28B5" w:rsidRPr="00A5790E">
        <w:rPr>
          <w:bCs/>
        </w:rPr>
        <w:t>pattern of missingness is als</w:t>
      </w:r>
      <w:r w:rsidR="00BF28B5">
        <w:rPr>
          <w:bCs/>
        </w:rPr>
        <w:t>o plausible given the simple procedure and use of an unscreened college student sample</w:t>
      </w:r>
      <w:r w:rsidR="0083266C">
        <w:rPr>
          <w:bCs/>
        </w:rPr>
        <w:t>.</w:t>
      </w:r>
    </w:p>
    <w:p w14:paraId="0F17080C" w14:textId="374D9A6F" w:rsidR="0015411E" w:rsidRDefault="0015411E" w:rsidP="003B57BE">
      <w:pPr>
        <w:spacing w:line="480" w:lineRule="auto"/>
        <w:rPr>
          <w:bCs/>
        </w:rPr>
      </w:pPr>
      <w:r>
        <w:rPr>
          <w:bCs/>
        </w:rPr>
        <w:tab/>
        <w:t xml:space="preserve">The correlation between the CFQ and ATQ was calculated, employing pairwise deletion given the low amount of missing data at </w:t>
      </w:r>
      <w:r w:rsidR="00F86BE9">
        <w:rPr>
          <w:bCs/>
        </w:rPr>
        <w:t>baseline</w:t>
      </w:r>
      <w:r w:rsidR="00CD5F9C">
        <w:rPr>
          <w:bCs/>
        </w:rPr>
        <w:t>.</w:t>
      </w:r>
    </w:p>
    <w:p w14:paraId="30218E09" w14:textId="66F313CB" w:rsidR="00BD0B69" w:rsidRDefault="00BD0B69" w:rsidP="00BD0B69">
      <w:pPr>
        <w:spacing w:line="480" w:lineRule="auto"/>
        <w:rPr>
          <w:bCs/>
        </w:rPr>
      </w:pPr>
      <w:r>
        <w:rPr>
          <w:b/>
        </w:rPr>
        <w:lastRenderedPageBreak/>
        <w:tab/>
      </w:r>
      <w:r>
        <w:rPr>
          <w:bCs/>
        </w:rPr>
        <w:t xml:space="preserve">Exploratory factor analysis was used to evaluate to what extent the CFQ and ATQ items measure distinct latent constructs. Principal axis factoring with </w:t>
      </w:r>
      <w:proofErr w:type="spellStart"/>
      <w:r>
        <w:rPr>
          <w:bCs/>
        </w:rPr>
        <w:t>oblimin</w:t>
      </w:r>
      <w:proofErr w:type="spellEnd"/>
      <w:r>
        <w:rPr>
          <w:bCs/>
        </w:rPr>
        <w:t xml:space="preserve"> rotation using Kaiser normalization was conducted in SPSS statistical software with all CFQ and ATQ items included. Pairwise deletion was also employed for factor analysis given minimal rates of missing data at baseline.</w:t>
      </w:r>
      <w:r w:rsidR="00EE58D6">
        <w:rPr>
          <w:bCs/>
        </w:rPr>
        <w:t xml:space="preserve"> Eigenvalues and scree plot results were inspected to select the appropriate number of factors.</w:t>
      </w:r>
      <w:r w:rsidR="00F84361">
        <w:rPr>
          <w:bCs/>
        </w:rPr>
        <w:t xml:space="preserve"> The results were evaluated relative to the cutoff of .30 to .40 suggesting meaningful factor loadings </w:t>
      </w:r>
      <w:r w:rsidR="00F84361">
        <w:rPr>
          <w:bCs/>
        </w:rPr>
        <w:fldChar w:fldCharType="begin" w:fldLock="1"/>
      </w:r>
      <w:r w:rsidR="00BF28B5">
        <w:rPr>
          <w:bCs/>
        </w:rPr>
        <w:instrText>ADDIN CSL_CITATION {"citationItems":[{"id":"ITEM-1","itemData":{"DOI":"10.1037/1040-3590.7.3.286","author":[{"dropping-particle":"","family":"Floyd","given":"Frank J","non-dropping-particle":"","parse-names":false,"suffix":""},{"dropping-particle":"","family":"Widaman","given":"Keith F","non-dropping-particle":"","parse-names":false,"suffix":""}],"container-title":"Psychological Assessment","id":"ITEM-1","issued":{"date-parts":[["1995"]]},"page":"286-299","title":"Factor analysis in the development and refinement of clinical assessment instruments","type":"article-journal","volume":"7"},"uris":["http://www.mendeley.com/documents/?uuid=89d5ebb8-d064-469c-831a-7093fd4d6d0a"]}],"mendeley":{"formattedCitation":"(Floyd &amp; Widaman, 1995)","plainTextFormattedCitation":"(Floyd &amp; Widaman, 1995)","previouslyFormattedCitation":"(Floyd &amp; Widaman, 1995)"},"properties":{"noteIndex":0},"schema":"https://github.com/citation-style-language/schema/raw/master/csl-citation.json"}</w:instrText>
      </w:r>
      <w:r w:rsidR="00F84361">
        <w:rPr>
          <w:bCs/>
        </w:rPr>
        <w:fldChar w:fldCharType="separate"/>
      </w:r>
      <w:r w:rsidR="00F84361" w:rsidRPr="00F84361">
        <w:rPr>
          <w:bCs/>
          <w:noProof/>
        </w:rPr>
        <w:t>(Floyd &amp; Widaman, 1995)</w:t>
      </w:r>
      <w:r w:rsidR="00F84361">
        <w:rPr>
          <w:bCs/>
        </w:rPr>
        <w:fldChar w:fldCharType="end"/>
      </w:r>
      <w:r w:rsidR="00F84361">
        <w:rPr>
          <w:bCs/>
        </w:rPr>
        <w:t xml:space="preserve">. </w:t>
      </w:r>
    </w:p>
    <w:p w14:paraId="30C96B42" w14:textId="37CA0B77" w:rsidR="00AC23DD" w:rsidRDefault="00F84361" w:rsidP="00BD0B69">
      <w:pPr>
        <w:spacing w:line="480" w:lineRule="auto"/>
        <w:rPr>
          <w:bCs/>
        </w:rPr>
      </w:pPr>
      <w:r>
        <w:rPr>
          <w:bCs/>
        </w:rPr>
        <w:tab/>
      </w:r>
      <w:proofErr w:type="gramStart"/>
      <w:r>
        <w:rPr>
          <w:bCs/>
        </w:rPr>
        <w:t>Finally</w:t>
      </w:r>
      <w:proofErr w:type="gramEnd"/>
      <w:r>
        <w:rPr>
          <w:bCs/>
        </w:rPr>
        <w:t xml:space="preserve"> a series of linear regressions tested whether the CFQ was predictive of outcomes longitudinally when entered into a regression model alongside ATQ and initial outcome score. As there was</w:t>
      </w:r>
      <w:r w:rsidR="00FA5897">
        <w:rPr>
          <w:bCs/>
        </w:rPr>
        <w:t xml:space="preserve"> approximately</w:t>
      </w:r>
      <w:r>
        <w:rPr>
          <w:bCs/>
        </w:rPr>
        <w:t xml:space="preserve"> </w:t>
      </w:r>
      <w:r w:rsidR="00FA5897">
        <w:rPr>
          <w:bCs/>
        </w:rPr>
        <w:t>9%</w:t>
      </w:r>
      <w:r>
        <w:rPr>
          <w:bCs/>
        </w:rPr>
        <w:t xml:space="preserve"> missing data at follow-up, prior to these analyses</w:t>
      </w:r>
      <w:r w:rsidR="00FA5897">
        <w:rPr>
          <w:bCs/>
        </w:rPr>
        <w:t>,</w:t>
      </w:r>
      <w:r>
        <w:rPr>
          <w:bCs/>
        </w:rPr>
        <w:t xml:space="preserve"> multiple imputation was employed using the mice () function in R </w:t>
      </w:r>
      <w:r>
        <w:rPr>
          <w:bCs/>
        </w:rPr>
        <w:fldChar w:fldCharType="begin" w:fldLock="1"/>
      </w:r>
      <w:r>
        <w:rPr>
          <w:bCs/>
        </w:rPr>
        <w:instrText>ADDIN CSL_CITATION {"citationItems":[{"id":"ITEM-1","itemData":{"DOI":"10.1080/10580530.2013.739883","ISSN":"10580530","abstract":"In this article, the authors first provide a practical yet rigorous definition of crowdsourcing that incorporates \"crowds,\" outsourcing, and social web technologies. They then analyze 103 well-known crowdsourcing web sites using content analysis methods and the hermeneutic reading principle. Based on their analysis, they develop a \"taxonomic theory\" of crowdsourcing by organizing the empirical variants in nine distinct forms of crowdsourcing models. They also discuss key issues and directions, concentrating on the notion of managerial control systems. © 2013 Copyright Taylor &amp; Francis Group, LLC.","author":[{"dropping-particle":"","family":"Buuren","given":"Stef","non-dropping-particle":"van","parse-names":false,"suffix":""},{"dropping-particle":"","family":"Groothuis-Oudshoorn","given":"Karin","non-dropping-particle":"","parse-names":false,"suffix":""}],"container-title":"Journal of Statistical Software","id":"ITEM-1","issued":{"date-parts":[["2011"]]},"title":"MICE: Multivariate imputation by chained equations in R","type":"article-journal","volume":"45"},"uris":["http://www.mendeley.com/documents/?uuid=2816129a-70a3-45e9-afdb-05be81d05f9c"]}],"mendeley":{"formattedCitation":"(van Buuren &amp; Groothuis-Oudshoorn, 2011)","plainTextFormattedCitation":"(van Buuren &amp; Groothuis-Oudshoorn, 2011)","previouslyFormattedCitation":"(van Buuren &amp; Groothuis-Oudshoorn, 2011)"},"properties":{"noteIndex":0},"schema":"https://github.com/citation-style-language/schema/raw/master/csl-citation.json"}</w:instrText>
      </w:r>
      <w:r>
        <w:rPr>
          <w:bCs/>
        </w:rPr>
        <w:fldChar w:fldCharType="separate"/>
      </w:r>
      <w:r w:rsidRPr="00E31A4C">
        <w:rPr>
          <w:bCs/>
          <w:noProof/>
        </w:rPr>
        <w:t>(van Buuren &amp; Groothuis-Oudshoorn, 2011)</w:t>
      </w:r>
      <w:r>
        <w:rPr>
          <w:bCs/>
        </w:rPr>
        <w:fldChar w:fldCharType="end"/>
      </w:r>
      <w:r>
        <w:rPr>
          <w:bCs/>
        </w:rPr>
        <w:t xml:space="preserve">. </w:t>
      </w:r>
      <w:r w:rsidR="00BF28B5">
        <w:rPr>
          <w:bCs/>
        </w:rPr>
        <w:t xml:space="preserve">Multiple imputation methods provide accurate parameter estimates when data are missing completely at random (MCAR) or missing at random (MAR; </w:t>
      </w:r>
      <w:r w:rsidR="00BF28B5">
        <w:rPr>
          <w:bCs/>
        </w:rPr>
        <w:fldChar w:fldCharType="begin" w:fldLock="1"/>
      </w:r>
      <w:r w:rsidR="00AC23DD">
        <w:rPr>
          <w:bCs/>
        </w:rPr>
        <w:instrText>ADDIN CSL_CITATION {"citationItems":[{"id":"ITEM-1","itemData":{"DOI":"10.1037/a0025579","ISSN":"00905550","PMID":"21967118","abstract":"Missing data methodology has improved dramatically in recent years, and popular computer programs now offer a variety of sophisticated options. Despite the widespread availability of theoretically justified methods, researchers in many disciplines still rely on subpar strategies that either eliminate incomplete cases or impute the missing scores with a single set of replacement values. This article provides readers with a nontechnical overview of some key issues from the missing data literature and demonstrates several of the techniques that methodologists currently recommend. This article begins by describing Rubin's missing data mechanisms. After a brief discussion of popular ad hoc approaches, the article provides a more detailed description of five analytic approaches that have received considerable attention in the missing data literature: maximum likelihood estimation, multiple imputation, the selection model, the shared parameter model, and the pattern mixture model. Finally, a series of data analysis examples illustrate the application of these methods. © 2011 American Psychological Association.","author":[{"dropping-particle":"","family":"Enders","given":"Craig K.","non-dropping-particle":"","parse-names":false,"suffix":""}],"container-title":"Rehabilitation Psychology","id":"ITEM-1","issue":"4","issued":{"date-parts":[["2011"]]},"page":"267-288","title":"Analyzing longitudinal data with missing values","type":"article-journal","volume":"56"},"uris":["http://www.mendeley.com/documents/?uuid=26ceddc1-6d0a-4a9b-b37b-93fbb64be39e"]}],"mendeley":{"formattedCitation":"(Enders, 2011)","manualFormatting":"Enders, 2011)","plainTextFormattedCitation":"(Enders, 2011)","previouslyFormattedCitation":"(Enders, 2011)"},"properties":{"noteIndex":0},"schema":"https://github.com/citation-style-language/schema/raw/master/csl-citation.json"}</w:instrText>
      </w:r>
      <w:r w:rsidR="00BF28B5">
        <w:rPr>
          <w:bCs/>
        </w:rPr>
        <w:fldChar w:fldCharType="separate"/>
      </w:r>
      <w:r w:rsidR="00BF28B5" w:rsidRPr="00BF28B5">
        <w:rPr>
          <w:bCs/>
          <w:noProof/>
        </w:rPr>
        <w:t>Enders, 2011)</w:t>
      </w:r>
      <w:r w:rsidR="00BF28B5">
        <w:rPr>
          <w:bCs/>
        </w:rPr>
        <w:fldChar w:fldCharType="end"/>
      </w:r>
      <w:r w:rsidR="0083266C">
        <w:rPr>
          <w:bCs/>
        </w:rPr>
        <w:t xml:space="preserve">. </w:t>
      </w:r>
      <w:r>
        <w:rPr>
          <w:bCs/>
        </w:rPr>
        <w:t xml:space="preserve">All variables used in these analyses, as well as demographics reported above, were used to generate 20 multiply imputed datasets. Linear regressions were then computed for each dataset and pooled for summary results. </w:t>
      </w:r>
      <w:r w:rsidR="009B59E8">
        <w:rPr>
          <w:bCs/>
        </w:rPr>
        <w:t>Given the use of highly correlated predictors, collinearity was assessed for all models.</w:t>
      </w:r>
    </w:p>
    <w:p w14:paraId="65A96F59" w14:textId="516EFE09" w:rsidR="00BD0B69" w:rsidRPr="005C25C1" w:rsidRDefault="00AC23DD" w:rsidP="003B57BE">
      <w:pPr>
        <w:spacing w:line="480" w:lineRule="auto"/>
        <w:rPr>
          <w:rFonts w:eastAsia="MS Mincho"/>
          <w:bCs/>
          <w:iCs/>
        </w:rPr>
      </w:pPr>
      <w:r w:rsidRPr="005C25C1">
        <w:rPr>
          <w:rFonts w:eastAsia="MS Mincho"/>
          <w:bCs/>
          <w:iCs/>
        </w:rPr>
        <w:tab/>
      </w:r>
      <w:r w:rsidR="0023718E" w:rsidRPr="005C25C1">
        <w:rPr>
          <w:rFonts w:eastAsia="MS Mincho"/>
          <w:bCs/>
          <w:iCs/>
        </w:rPr>
        <w:t>Sensi</w:t>
      </w:r>
      <w:r w:rsidR="005C25C1" w:rsidRPr="005C25C1">
        <w:rPr>
          <w:rFonts w:eastAsia="MS Mincho"/>
          <w:bCs/>
          <w:iCs/>
        </w:rPr>
        <w:t>ti</w:t>
      </w:r>
      <w:r w:rsidR="0023718E" w:rsidRPr="005C25C1">
        <w:rPr>
          <w:rFonts w:eastAsia="MS Mincho"/>
          <w:bCs/>
          <w:iCs/>
        </w:rPr>
        <w:t>vity</w:t>
      </w:r>
      <w:r w:rsidRPr="005C25C1">
        <w:rPr>
          <w:rFonts w:eastAsia="MS Mincho"/>
          <w:bCs/>
          <w:iCs/>
        </w:rPr>
        <w:t xml:space="preserve"> analyses were conducted for relevant models based on number of complete observations using G*Powe</w:t>
      </w:r>
      <w:r w:rsidR="0023718E" w:rsidRPr="005C25C1">
        <w:rPr>
          <w:rFonts w:eastAsia="MS Mincho"/>
          <w:bCs/>
          <w:iCs/>
        </w:rPr>
        <w:t>r s</w:t>
      </w:r>
      <w:r w:rsidRPr="005C25C1">
        <w:rPr>
          <w:rFonts w:eastAsia="MS Mincho"/>
          <w:bCs/>
          <w:iCs/>
        </w:rPr>
        <w:t xml:space="preserve">oftware </w:t>
      </w:r>
      <w:r w:rsidRPr="005C25C1">
        <w:rPr>
          <w:rFonts w:eastAsia="MS Mincho"/>
          <w:bCs/>
          <w:iCs/>
        </w:rPr>
        <w:fldChar w:fldCharType="begin" w:fldLock="1"/>
      </w:r>
      <w:r w:rsidR="00F7226C" w:rsidRPr="005C25C1">
        <w:rPr>
          <w:rFonts w:eastAsia="MS Mincho"/>
          <w:bCs/>
          <w:iCs/>
        </w:rPr>
        <w:instrText>ADDIN CSL_CITATION {"citationItems":[{"id":"ITEM-1","itemData":{"DOI":"10.3758/BF03193146","ISBN":"1554-351X","ISSN":"1554-351X","PMID":"17695343","author":[{"dropping-particle":"","family":"Faul","given":"Franz","non-dropping-particle":"","parse-names":false,"suffix":""},{"dropping-particle":"","family":"Erdfelder","given":"Edgar","non-dropping-particle":"","parse-names":false,"suffix":""},{"dropping-particle":"","family":"Lang","given":"Albert-Georg","non-dropping-particle":"","parse-names":false,"suffix":""},{"dropping-particle":"","family":"Buchner","given":"Axel","non-dropping-particle":"","parse-names":false,"suffix":""}],"container-title":"Behavior Research Methods","id":"ITEM-1","issued":{"date-parts":[["2007"]]},"page":"175-191","title":"G*Power 3: A flexible statistical power analysis program for the social, behavioral, and biomedical sciences","type":"article-journal","volume":"39"},"uris":["http://www.mendeley.com/documents/?uuid=b0aaaa47-78ff-46f6-9c21-8477d21725d1"]}],"mendeley":{"formattedCitation":"(Faul et al., 2007)","plainTextFormattedCitation":"(Faul et al., 2007)","previouslyFormattedCitation":"(Faul et al., 2007)"},"properties":{"noteIndex":0},"schema":"https://github.com/citation-style-language/schema/raw/master/csl-citation.json"}</w:instrText>
      </w:r>
      <w:r w:rsidRPr="005C25C1">
        <w:rPr>
          <w:rFonts w:eastAsia="MS Mincho"/>
          <w:bCs/>
          <w:iCs/>
        </w:rPr>
        <w:fldChar w:fldCharType="separate"/>
      </w:r>
      <w:r w:rsidRPr="005C25C1">
        <w:rPr>
          <w:rFonts w:eastAsia="MS Mincho"/>
          <w:bCs/>
          <w:iCs/>
          <w:noProof/>
        </w:rPr>
        <w:t>(Faul et al., 2007)</w:t>
      </w:r>
      <w:r w:rsidRPr="005C25C1">
        <w:rPr>
          <w:rFonts w:eastAsia="MS Mincho"/>
          <w:bCs/>
          <w:iCs/>
        </w:rPr>
        <w:fldChar w:fldCharType="end"/>
      </w:r>
      <w:r w:rsidRPr="005C25C1">
        <w:rPr>
          <w:rFonts w:eastAsia="MS Mincho"/>
          <w:bCs/>
          <w:iCs/>
        </w:rPr>
        <w:t xml:space="preserve">. </w:t>
      </w:r>
      <w:r w:rsidR="00397B47" w:rsidRPr="005C25C1">
        <w:rPr>
          <w:rFonts w:eastAsia="MS Mincho"/>
          <w:bCs/>
          <w:iCs/>
        </w:rPr>
        <w:t>For the bivariate correlation,</w:t>
      </w:r>
      <w:r w:rsidR="0023718E" w:rsidRPr="005C25C1">
        <w:rPr>
          <w:rFonts w:eastAsia="MS Mincho"/>
          <w:bCs/>
          <w:iCs/>
        </w:rPr>
        <w:t xml:space="preserve"> 374 complete pairwise observations were available, allowing good power (= 0.95) to detect a correlation with an absolute value of 0.10 or greater. </w:t>
      </w:r>
      <w:r w:rsidR="00397B47" w:rsidRPr="005C25C1">
        <w:rPr>
          <w:rFonts w:eastAsia="MS Mincho"/>
          <w:bCs/>
          <w:iCs/>
        </w:rPr>
        <w:t xml:space="preserve"> </w:t>
      </w:r>
      <w:r w:rsidRPr="005C25C1">
        <w:rPr>
          <w:rFonts w:eastAsia="MS Mincho"/>
          <w:bCs/>
          <w:iCs/>
        </w:rPr>
        <w:t xml:space="preserve">For the multivariate linear regressions, 344 complete cases were available, </w:t>
      </w:r>
      <w:r w:rsidR="0083266C" w:rsidRPr="005C25C1">
        <w:rPr>
          <w:rFonts w:eastAsia="MS Mincho"/>
          <w:bCs/>
          <w:iCs/>
        </w:rPr>
        <w:t xml:space="preserve">providing </w:t>
      </w:r>
      <w:r w:rsidR="000D408A" w:rsidRPr="005C25C1">
        <w:rPr>
          <w:rFonts w:eastAsia="MS Mincho"/>
          <w:bCs/>
          <w:iCs/>
        </w:rPr>
        <w:t xml:space="preserve">acceptable power (= .80) to detect coefficients equivalent to Cohen’s </w:t>
      </w:r>
      <w:r w:rsidR="000D408A" w:rsidRPr="005C25C1">
        <w:rPr>
          <w:rFonts w:eastAsia="MS Mincho"/>
          <w:bCs/>
          <w:i/>
        </w:rPr>
        <w:t>f</w:t>
      </w:r>
      <w:r w:rsidR="000D408A" w:rsidRPr="005C25C1">
        <w:rPr>
          <w:rFonts w:eastAsia="MS Mincho"/>
          <w:bCs/>
          <w:iCs/>
          <w:vertAlign w:val="superscript"/>
        </w:rPr>
        <w:t>2</w:t>
      </w:r>
      <w:r w:rsidR="000D408A" w:rsidRPr="005C25C1">
        <w:rPr>
          <w:rFonts w:eastAsia="MS Mincho"/>
          <w:bCs/>
          <w:iCs/>
        </w:rPr>
        <w:t xml:space="preserve"> of 0.02, a small effect.</w:t>
      </w:r>
      <w:r w:rsidR="00D07E00" w:rsidRPr="005C25C1">
        <w:rPr>
          <w:rFonts w:eastAsia="MS Mincho"/>
          <w:bCs/>
          <w:iCs/>
        </w:rPr>
        <w:t xml:space="preserve"> Use of multiple imputation increases power</w:t>
      </w:r>
      <w:r w:rsidR="00096737" w:rsidRPr="005C25C1">
        <w:rPr>
          <w:rFonts w:eastAsia="MS Mincho"/>
          <w:bCs/>
          <w:iCs/>
        </w:rPr>
        <w:t xml:space="preserve"> (van </w:t>
      </w:r>
      <w:proofErr w:type="spellStart"/>
      <w:r w:rsidR="00096737" w:rsidRPr="005C25C1">
        <w:rPr>
          <w:rFonts w:eastAsia="MS Mincho"/>
          <w:bCs/>
          <w:iCs/>
        </w:rPr>
        <w:lastRenderedPageBreak/>
        <w:t>Ginkel</w:t>
      </w:r>
      <w:proofErr w:type="spellEnd"/>
      <w:r w:rsidR="00096737" w:rsidRPr="005C25C1">
        <w:rPr>
          <w:rFonts w:eastAsia="MS Mincho"/>
          <w:bCs/>
          <w:iCs/>
        </w:rPr>
        <w:t xml:space="preserve"> et al, 2020); </w:t>
      </w:r>
      <w:r w:rsidR="00D07E00" w:rsidRPr="005C25C1">
        <w:rPr>
          <w:rFonts w:eastAsia="MS Mincho"/>
          <w:bCs/>
          <w:iCs/>
        </w:rPr>
        <w:t xml:space="preserve">thus, </w:t>
      </w:r>
      <w:r w:rsidR="0083266C" w:rsidRPr="005C25C1">
        <w:rPr>
          <w:rFonts w:eastAsia="MS Mincho"/>
          <w:bCs/>
          <w:iCs/>
        </w:rPr>
        <w:t xml:space="preserve">this estimate provides a floor for achieved power. </w:t>
      </w:r>
      <w:r w:rsidR="00F7226C" w:rsidRPr="005C25C1">
        <w:rPr>
          <w:rFonts w:eastAsia="MS Mincho"/>
          <w:bCs/>
          <w:iCs/>
        </w:rPr>
        <w:t xml:space="preserve">Finally, </w:t>
      </w:r>
      <w:r w:rsidR="003D4AF5" w:rsidRPr="005C25C1">
        <w:rPr>
          <w:rFonts w:eastAsia="MS Mincho"/>
          <w:bCs/>
          <w:iCs/>
        </w:rPr>
        <w:t xml:space="preserve">the present sample size is adequate for exploratory factor analysis, as </w:t>
      </w:r>
      <w:r w:rsidR="00F7226C" w:rsidRPr="005C25C1">
        <w:rPr>
          <w:rFonts w:eastAsia="MS Mincho"/>
          <w:bCs/>
          <w:iCs/>
        </w:rPr>
        <w:t xml:space="preserve">sample sizes of </w:t>
      </w:r>
      <w:r w:rsidR="003D4AF5" w:rsidRPr="005C25C1">
        <w:rPr>
          <w:rFonts w:eastAsia="MS Mincho"/>
          <w:bCs/>
          <w:iCs/>
        </w:rPr>
        <w:t>300-400 participants</w:t>
      </w:r>
      <w:r w:rsidR="00F7226C" w:rsidRPr="005C25C1">
        <w:rPr>
          <w:rFonts w:eastAsia="MS Mincho"/>
          <w:bCs/>
          <w:iCs/>
        </w:rPr>
        <w:t xml:space="preserve"> are </w:t>
      </w:r>
      <w:r w:rsidR="003D4AF5" w:rsidRPr="005C25C1">
        <w:rPr>
          <w:rFonts w:eastAsia="MS Mincho"/>
          <w:bCs/>
          <w:iCs/>
        </w:rPr>
        <w:t>needed</w:t>
      </w:r>
      <w:r w:rsidR="00F7226C" w:rsidRPr="005C25C1">
        <w:rPr>
          <w:rFonts w:eastAsia="MS Mincho"/>
          <w:bCs/>
          <w:iCs/>
        </w:rPr>
        <w:t xml:space="preserve"> </w:t>
      </w:r>
      <w:r w:rsidR="003D4AF5" w:rsidRPr="005C25C1">
        <w:rPr>
          <w:rFonts w:eastAsia="MS Mincho"/>
          <w:bCs/>
          <w:iCs/>
        </w:rPr>
        <w:t xml:space="preserve">when factor loadings are around .40 </w:t>
      </w:r>
      <w:r w:rsidR="00F7226C" w:rsidRPr="005C25C1">
        <w:rPr>
          <w:rFonts w:eastAsia="MS Mincho"/>
          <w:bCs/>
          <w:iCs/>
        </w:rPr>
        <w:fldChar w:fldCharType="begin" w:fldLock="1"/>
      </w:r>
      <w:r w:rsidR="0032040E" w:rsidRPr="005C25C1">
        <w:rPr>
          <w:rFonts w:eastAsia="MS Mincho"/>
          <w:bCs/>
          <w:iCs/>
        </w:rPr>
        <w:instrText>ADDIN CSL_CITATION {"citationItems":[{"id":"ITEM-1","itemData":{"DOI":"10.1037/1040-3590.7.3.286","author":[{"dropping-particle":"","family":"Floyd","given":"Frank J","non-dropping-particle":"","parse-names":false,"suffix":""},{"dropping-particle":"","family":"Widaman","given":"Keith F","non-dropping-particle":"","parse-names":false,"suffix":""}],"container-title":"Psychological Assessment","id":"ITEM-1","issued":{"date-parts":[["1995"]]},"page":"286-299","title":"Factor analysis in the development and refinement of clinical assessment instruments","type":"article-journal","volume":"7"},"uris":["http://www.mendeley.com/documents/?uuid=89d5ebb8-d064-469c-831a-7093fd4d6d0a"]}],"mendeley":{"formattedCitation":"(Floyd &amp; Widaman, 1995)","plainTextFormattedCitation":"(Floyd &amp; Widaman, 1995)","previouslyFormattedCitation":"(Floyd &amp; Widaman, 1995)"},"properties":{"noteIndex":0},"schema":"https://github.com/citation-style-language/schema/raw/master/csl-citation.json"}</w:instrText>
      </w:r>
      <w:r w:rsidR="00F7226C" w:rsidRPr="005C25C1">
        <w:rPr>
          <w:rFonts w:eastAsia="MS Mincho"/>
          <w:bCs/>
          <w:iCs/>
        </w:rPr>
        <w:fldChar w:fldCharType="separate"/>
      </w:r>
      <w:r w:rsidR="00F7226C" w:rsidRPr="005C25C1">
        <w:rPr>
          <w:rFonts w:eastAsia="MS Mincho"/>
          <w:bCs/>
          <w:iCs/>
          <w:noProof/>
        </w:rPr>
        <w:t>(Floyd &amp; Widaman, 1995)</w:t>
      </w:r>
      <w:r w:rsidR="00F7226C" w:rsidRPr="005C25C1">
        <w:rPr>
          <w:rFonts w:eastAsia="MS Mincho"/>
          <w:bCs/>
          <w:iCs/>
        </w:rPr>
        <w:fldChar w:fldCharType="end"/>
      </w:r>
      <w:r w:rsidR="00F7226C" w:rsidRPr="005C25C1">
        <w:rPr>
          <w:rFonts w:eastAsia="MS Mincho"/>
          <w:bCs/>
          <w:iCs/>
        </w:rPr>
        <w:t xml:space="preserve">. </w:t>
      </w:r>
    </w:p>
    <w:p w14:paraId="5B836618" w14:textId="6501124B" w:rsidR="003B57BE" w:rsidRDefault="003B57BE" w:rsidP="003B57BE">
      <w:pPr>
        <w:spacing w:line="480" w:lineRule="auto"/>
        <w:jc w:val="center"/>
        <w:rPr>
          <w:b/>
        </w:rPr>
      </w:pPr>
      <w:r w:rsidRPr="00A829B3">
        <w:rPr>
          <w:b/>
        </w:rPr>
        <w:t>Results</w:t>
      </w:r>
    </w:p>
    <w:p w14:paraId="7527B22A" w14:textId="385D58DB" w:rsidR="003249AE" w:rsidRDefault="003249AE" w:rsidP="003249AE">
      <w:pPr>
        <w:spacing w:line="480" w:lineRule="auto"/>
        <w:rPr>
          <w:bCs/>
        </w:rPr>
      </w:pPr>
      <w:r>
        <w:rPr>
          <w:bCs/>
        </w:rPr>
        <w:tab/>
      </w:r>
      <w:r w:rsidR="0054136F">
        <w:rPr>
          <w:bCs/>
        </w:rPr>
        <w:t>The ATQ was slightly positive skewed at both time points (skewness = 1.10-1.17)</w:t>
      </w:r>
      <w:r w:rsidR="00733B79">
        <w:rPr>
          <w:bCs/>
        </w:rPr>
        <w:t xml:space="preserve">, and CCAPS-34 Depression was slightly positively skewed at follow-up (skewness=1.05). </w:t>
      </w:r>
      <w:r w:rsidR="00490E0D">
        <w:rPr>
          <w:bCs/>
        </w:rPr>
        <w:t xml:space="preserve">Other variables approximated normality. </w:t>
      </w:r>
      <w:r w:rsidR="007668AA">
        <w:rPr>
          <w:bCs/>
        </w:rPr>
        <w:t>E</w:t>
      </w:r>
      <w:r w:rsidR="0054136F">
        <w:rPr>
          <w:bCs/>
        </w:rPr>
        <w:t xml:space="preserve">xploratory factor analysis </w:t>
      </w:r>
      <w:r w:rsidR="00733B79">
        <w:rPr>
          <w:bCs/>
        </w:rPr>
        <w:t>is</w:t>
      </w:r>
      <w:r w:rsidR="0054136F">
        <w:rPr>
          <w:bCs/>
        </w:rPr>
        <w:t xml:space="preserve"> robust to this degree of skew (</w:t>
      </w:r>
      <w:r w:rsidR="000624E8">
        <w:rPr>
          <w:bCs/>
        </w:rPr>
        <w:t>Havlicek &amp; Peterson, 1976</w:t>
      </w:r>
      <w:r w:rsidR="00060A68">
        <w:rPr>
          <w:bCs/>
        </w:rPr>
        <w:t xml:space="preserve">; </w:t>
      </w:r>
      <w:r w:rsidR="0054136F">
        <w:rPr>
          <w:bCs/>
        </w:rPr>
        <w:t>Watkins, 2018)</w:t>
      </w:r>
      <w:r w:rsidR="002459A3">
        <w:rPr>
          <w:bCs/>
        </w:rPr>
        <w:t xml:space="preserve">. </w:t>
      </w:r>
      <w:r w:rsidR="007668AA">
        <w:rPr>
          <w:bCs/>
        </w:rPr>
        <w:t xml:space="preserve">Residuals for linear regressions were plotted to assess whether the assumption of normality was </w:t>
      </w:r>
      <w:r w:rsidR="00490E0D">
        <w:rPr>
          <w:bCs/>
        </w:rPr>
        <w:t>met</w:t>
      </w:r>
      <w:r w:rsidR="007668AA">
        <w:rPr>
          <w:bCs/>
        </w:rPr>
        <w:t xml:space="preserve">. </w:t>
      </w:r>
    </w:p>
    <w:p w14:paraId="2886F4EA" w14:textId="154EB21E" w:rsidR="003249AE" w:rsidRPr="003249AE" w:rsidRDefault="003249AE" w:rsidP="003B57BE">
      <w:pPr>
        <w:spacing w:line="480" w:lineRule="auto"/>
        <w:rPr>
          <w:bCs/>
        </w:rPr>
      </w:pPr>
      <w:r>
        <w:rPr>
          <w:b/>
        </w:rPr>
        <w:tab/>
      </w:r>
      <w:r w:rsidR="00C42D9E">
        <w:rPr>
          <w:bCs/>
        </w:rPr>
        <w:t>T</w:t>
      </w:r>
      <w:r>
        <w:rPr>
          <w:bCs/>
        </w:rPr>
        <w:t>he CFQ and ATQ had a large positive</w:t>
      </w:r>
      <w:r w:rsidR="007F587B">
        <w:rPr>
          <w:bCs/>
        </w:rPr>
        <w:t xml:space="preserve"> Spearman</w:t>
      </w:r>
      <w:r>
        <w:rPr>
          <w:bCs/>
        </w:rPr>
        <w:t xml:space="preserve"> </w:t>
      </w:r>
      <w:r w:rsidR="00C42D9E">
        <w:rPr>
          <w:bCs/>
        </w:rPr>
        <w:t xml:space="preserve">correlation at baseline </w:t>
      </w:r>
      <w:r>
        <w:rPr>
          <w:bCs/>
        </w:rPr>
        <w:t>(</w:t>
      </w:r>
      <w:r w:rsidR="007F587B">
        <w:rPr>
          <w:bCs/>
          <w:i/>
          <w:iCs/>
        </w:rPr>
        <w:sym w:font="Symbol" w:char="F072"/>
      </w:r>
      <w:r>
        <w:rPr>
          <w:bCs/>
        </w:rPr>
        <w:t xml:space="preserve"> = .7</w:t>
      </w:r>
      <w:r w:rsidR="007F587B">
        <w:rPr>
          <w:bCs/>
        </w:rPr>
        <w:t>4</w:t>
      </w:r>
      <w:r>
        <w:rPr>
          <w:bCs/>
        </w:rPr>
        <w:t xml:space="preserve">, </w:t>
      </w:r>
      <w:r>
        <w:rPr>
          <w:bCs/>
          <w:i/>
          <w:iCs/>
        </w:rPr>
        <w:t>p</w:t>
      </w:r>
      <w:r>
        <w:rPr>
          <w:bCs/>
        </w:rPr>
        <w:t xml:space="preserve"> &lt; .001).</w:t>
      </w:r>
      <w:r w:rsidR="002F3C61">
        <w:rPr>
          <w:bCs/>
        </w:rPr>
        <w:t xml:space="preserve"> </w:t>
      </w:r>
      <w:r w:rsidR="007668AA" w:rsidRPr="007668AA">
        <w:rPr>
          <w:bCs/>
        </w:rPr>
        <w:t xml:space="preserve"> </w:t>
      </w:r>
      <w:r w:rsidR="00F32ECF">
        <w:rPr>
          <w:bCs/>
        </w:rPr>
        <w:t xml:space="preserve">The non-parametric </w:t>
      </w:r>
      <w:r w:rsidR="007668AA">
        <w:rPr>
          <w:bCs/>
        </w:rPr>
        <w:t>Spearman correlation was used as</w:t>
      </w:r>
      <w:r w:rsidR="00F32ECF">
        <w:rPr>
          <w:bCs/>
        </w:rPr>
        <w:t xml:space="preserve"> the ATQ was skewed.</w:t>
      </w:r>
      <w:r w:rsidR="00F32ECF" w:rsidDel="00F32ECF">
        <w:rPr>
          <w:rStyle w:val="CommentReference"/>
          <w:rFonts w:asciiTheme="minorHAnsi" w:eastAsiaTheme="minorHAnsi" w:hAnsiTheme="minorHAnsi" w:cstheme="minorBidi"/>
          <w:lang w:eastAsia="en-US"/>
        </w:rPr>
        <w:t xml:space="preserve"> </w:t>
      </w:r>
    </w:p>
    <w:p w14:paraId="48A02DBF" w14:textId="520921CE" w:rsidR="003B57BE" w:rsidRDefault="00C42D9E" w:rsidP="004A375A">
      <w:pPr>
        <w:spacing w:line="480" w:lineRule="auto"/>
        <w:rPr>
          <w:b/>
        </w:rPr>
      </w:pPr>
      <w:r>
        <w:rPr>
          <w:b/>
        </w:rPr>
        <w:t>Factor Analysis</w:t>
      </w:r>
    </w:p>
    <w:p w14:paraId="3848761B" w14:textId="45BC741D" w:rsidR="00A82848" w:rsidRDefault="008E7668" w:rsidP="00E31A4C">
      <w:pPr>
        <w:spacing w:line="480" w:lineRule="auto"/>
        <w:rPr>
          <w:color w:val="202124"/>
          <w:shd w:val="clear" w:color="auto" w:fill="FFFFFF"/>
        </w:rPr>
      </w:pPr>
      <w:r>
        <w:rPr>
          <w:bCs/>
        </w:rPr>
        <w:tab/>
      </w:r>
      <w:r w:rsidR="00D13A90" w:rsidRPr="00A82848">
        <w:rPr>
          <w:bCs/>
        </w:rPr>
        <w:t xml:space="preserve">Four factors were identified with </w:t>
      </w:r>
      <w:r w:rsidR="001331D4" w:rsidRPr="00A82848">
        <w:rPr>
          <w:bCs/>
        </w:rPr>
        <w:t xml:space="preserve">eigenvalues &gt; 1; visual inspection of the scree plot also supported a 4-factor solution and these four factors together explained </w:t>
      </w:r>
      <w:r w:rsidR="00D87122">
        <w:rPr>
          <w:bCs/>
        </w:rPr>
        <w:t>69.57</w:t>
      </w:r>
      <w:r w:rsidR="001331D4" w:rsidRPr="00A82848">
        <w:rPr>
          <w:bCs/>
        </w:rPr>
        <w:t xml:space="preserve">% of variance in the items. </w:t>
      </w:r>
      <w:r w:rsidR="00DC4E00" w:rsidRPr="00A82848">
        <w:rPr>
          <w:bCs/>
        </w:rPr>
        <w:t xml:space="preserve">CFQ items all loaded onto Factor 2 (see Table </w:t>
      </w:r>
      <w:r w:rsidR="007567AF">
        <w:rPr>
          <w:bCs/>
        </w:rPr>
        <w:t>2</w:t>
      </w:r>
      <w:r w:rsidR="00DC4E00" w:rsidRPr="00A82848">
        <w:rPr>
          <w:bCs/>
        </w:rPr>
        <w:t xml:space="preserve">) with </w:t>
      </w:r>
      <w:proofErr w:type="gramStart"/>
      <w:r w:rsidR="00DC4E00" w:rsidRPr="00A82848">
        <w:rPr>
          <w:bCs/>
        </w:rPr>
        <w:t xml:space="preserve">loadings  </w:t>
      </w:r>
      <w:r w:rsidR="00DC4E00" w:rsidRPr="00A82848">
        <w:rPr>
          <w:color w:val="202124"/>
          <w:shd w:val="clear" w:color="auto" w:fill="FFFFFF"/>
        </w:rPr>
        <w:t>≥</w:t>
      </w:r>
      <w:proofErr w:type="gramEnd"/>
      <w:r w:rsidR="00DC4E00" w:rsidRPr="00A82848">
        <w:rPr>
          <w:color w:val="202124"/>
          <w:shd w:val="clear" w:color="auto" w:fill="FFFFFF"/>
        </w:rPr>
        <w:t xml:space="preserve"> .77</w:t>
      </w:r>
      <w:r w:rsidR="00D87122">
        <w:rPr>
          <w:color w:val="202124"/>
          <w:shd w:val="clear" w:color="auto" w:fill="FFFFFF"/>
        </w:rPr>
        <w:t>8</w:t>
      </w:r>
      <w:r w:rsidR="00DC4E00" w:rsidRPr="00A82848">
        <w:rPr>
          <w:color w:val="202124"/>
          <w:shd w:val="clear" w:color="auto" w:fill="FFFFFF"/>
        </w:rPr>
        <w:t>, and no cross-loadings greater than .</w:t>
      </w:r>
      <w:r w:rsidR="00D87122">
        <w:rPr>
          <w:color w:val="202124"/>
          <w:shd w:val="clear" w:color="auto" w:fill="FFFFFF"/>
        </w:rPr>
        <w:t>093</w:t>
      </w:r>
      <w:r w:rsidR="00DC4E00" w:rsidRPr="00A82848">
        <w:rPr>
          <w:color w:val="202124"/>
          <w:shd w:val="clear" w:color="auto" w:fill="FFFFFF"/>
        </w:rPr>
        <w:t xml:space="preserve"> on other factors</w:t>
      </w:r>
      <w:r w:rsidR="00C42D9E">
        <w:rPr>
          <w:color w:val="202124"/>
          <w:shd w:val="clear" w:color="auto" w:fill="FFFFFF"/>
        </w:rPr>
        <w:t xml:space="preserve"> composed of ATQ items</w:t>
      </w:r>
      <w:r w:rsidR="00DC4E00" w:rsidRPr="00A82848">
        <w:rPr>
          <w:color w:val="202124"/>
          <w:shd w:val="clear" w:color="auto" w:fill="FFFFFF"/>
        </w:rPr>
        <w:t>. The largest item for an ATQ factor loading on Factor 2 was .25</w:t>
      </w:r>
      <w:r w:rsidR="00D87122">
        <w:rPr>
          <w:color w:val="202124"/>
          <w:shd w:val="clear" w:color="auto" w:fill="FFFFFF"/>
        </w:rPr>
        <w:t>7</w:t>
      </w:r>
      <w:r w:rsidR="00DC4E00" w:rsidRPr="00A82848">
        <w:rPr>
          <w:color w:val="202124"/>
          <w:shd w:val="clear" w:color="auto" w:fill="FFFFFF"/>
        </w:rPr>
        <w:t xml:space="preserve">, indicating no </w:t>
      </w:r>
      <w:r w:rsidRPr="00A82848">
        <w:rPr>
          <w:color w:val="202124"/>
          <w:shd w:val="clear" w:color="auto" w:fill="FFFFFF"/>
        </w:rPr>
        <w:t>meaningful</w:t>
      </w:r>
      <w:r w:rsidR="00DC4E00" w:rsidRPr="00A82848">
        <w:rPr>
          <w:color w:val="202124"/>
          <w:shd w:val="clear" w:color="auto" w:fill="FFFFFF"/>
        </w:rPr>
        <w:t xml:space="preserve"> cross-loadings </w:t>
      </w:r>
      <w:r w:rsidRPr="00A82848">
        <w:rPr>
          <w:color w:val="202124"/>
          <w:shd w:val="clear" w:color="auto" w:fill="FFFFFF"/>
        </w:rPr>
        <w:fldChar w:fldCharType="begin" w:fldLock="1"/>
      </w:r>
      <w:r w:rsidR="00E31A4C">
        <w:rPr>
          <w:color w:val="202124"/>
          <w:shd w:val="clear" w:color="auto" w:fill="FFFFFF"/>
        </w:rPr>
        <w:instrText>ADDIN CSL_CITATION {"citationItems":[{"id":"ITEM-1","itemData":{"DOI":"10.1037/1040-3590.7.3.286","author":[{"dropping-particle":"","family":"Floyd","given":"Frank J","non-dropping-particle":"","parse-names":false,"suffix":""},{"dropping-particle":"","family":"Widaman","given":"Keith F","non-dropping-particle":"","parse-names":false,"suffix":""}],"container-title":"Psychological Assessment","id":"ITEM-1","issued":{"date-parts":[["1995"]]},"page":"286-299","title":"Factor analysis in the development and refinement of clinical assessment instruments","type":"article-journal","volume":"7"},"uris":["http://www.mendeley.com/documents/?uuid=89d5ebb8-d064-469c-831a-7093fd4d6d0a"]}],"mendeley":{"formattedCitation":"(Floyd &amp; Widaman, 1995)","plainTextFormattedCitation":"(Floyd &amp; Widaman, 1995)","previouslyFormattedCitation":"(Floyd &amp; Widaman, 1995)"},"properties":{"noteIndex":0},"schema":"https://github.com/citation-style-language/schema/raw/master/csl-citation.json"}</w:instrText>
      </w:r>
      <w:r w:rsidRPr="00A82848">
        <w:rPr>
          <w:color w:val="202124"/>
          <w:shd w:val="clear" w:color="auto" w:fill="FFFFFF"/>
        </w:rPr>
        <w:fldChar w:fldCharType="separate"/>
      </w:r>
      <w:r w:rsidRPr="00A82848">
        <w:rPr>
          <w:noProof/>
          <w:color w:val="202124"/>
          <w:shd w:val="clear" w:color="auto" w:fill="FFFFFF"/>
        </w:rPr>
        <w:t>(Floyd &amp; Widaman, 1995)</w:t>
      </w:r>
      <w:r w:rsidRPr="00A82848">
        <w:rPr>
          <w:color w:val="202124"/>
          <w:shd w:val="clear" w:color="auto" w:fill="FFFFFF"/>
        </w:rPr>
        <w:fldChar w:fldCharType="end"/>
      </w:r>
      <w:r w:rsidRPr="00A82848">
        <w:rPr>
          <w:color w:val="202124"/>
          <w:shd w:val="clear" w:color="auto" w:fill="FFFFFF"/>
        </w:rPr>
        <w:t>.</w:t>
      </w:r>
      <w:r w:rsidR="00C42D9E">
        <w:rPr>
          <w:color w:val="202124"/>
          <w:shd w:val="clear" w:color="auto" w:fill="FFFFFF"/>
        </w:rPr>
        <w:t xml:space="preserve"> </w:t>
      </w:r>
      <w:r w:rsidRPr="00A82848">
        <w:rPr>
          <w:color w:val="202124"/>
          <w:shd w:val="clear" w:color="auto" w:fill="FFFFFF"/>
        </w:rPr>
        <w:t>Factor 2 shared medium-to-large correlations with Factor 1 (</w:t>
      </w:r>
      <w:r w:rsidRPr="00A82848">
        <w:rPr>
          <w:i/>
          <w:iCs/>
          <w:color w:val="202124"/>
          <w:shd w:val="clear" w:color="auto" w:fill="FFFFFF"/>
        </w:rPr>
        <w:t>r</w:t>
      </w:r>
      <w:r w:rsidRPr="00A82848">
        <w:rPr>
          <w:color w:val="202124"/>
          <w:shd w:val="clear" w:color="auto" w:fill="FFFFFF"/>
        </w:rPr>
        <w:t xml:space="preserve"> = .5</w:t>
      </w:r>
      <w:r w:rsidR="00D87122">
        <w:rPr>
          <w:color w:val="202124"/>
          <w:shd w:val="clear" w:color="auto" w:fill="FFFFFF"/>
        </w:rPr>
        <w:t>99</w:t>
      </w:r>
      <w:r w:rsidRPr="00A82848">
        <w:rPr>
          <w:color w:val="202124"/>
          <w:shd w:val="clear" w:color="auto" w:fill="FFFFFF"/>
        </w:rPr>
        <w:t>), 3 (</w:t>
      </w:r>
      <w:r w:rsidRPr="00A82848">
        <w:rPr>
          <w:i/>
          <w:iCs/>
          <w:color w:val="202124"/>
          <w:shd w:val="clear" w:color="auto" w:fill="FFFFFF"/>
        </w:rPr>
        <w:t>r</w:t>
      </w:r>
      <w:r w:rsidRPr="00A82848">
        <w:rPr>
          <w:color w:val="202124"/>
          <w:shd w:val="clear" w:color="auto" w:fill="FFFFFF"/>
        </w:rPr>
        <w:t xml:space="preserve"> = .</w:t>
      </w:r>
      <w:r w:rsidR="00D87122">
        <w:rPr>
          <w:color w:val="202124"/>
          <w:shd w:val="clear" w:color="auto" w:fill="FFFFFF"/>
        </w:rPr>
        <w:t>426</w:t>
      </w:r>
      <w:r w:rsidRPr="00A82848">
        <w:rPr>
          <w:color w:val="202124"/>
          <w:shd w:val="clear" w:color="auto" w:fill="FFFFFF"/>
        </w:rPr>
        <w:t>), and 4 (</w:t>
      </w:r>
      <w:r w:rsidRPr="00A82848">
        <w:rPr>
          <w:i/>
          <w:iCs/>
          <w:color w:val="202124"/>
          <w:shd w:val="clear" w:color="auto" w:fill="FFFFFF"/>
        </w:rPr>
        <w:t>r</w:t>
      </w:r>
      <w:r w:rsidRPr="00A82848">
        <w:rPr>
          <w:color w:val="202124"/>
          <w:shd w:val="clear" w:color="auto" w:fill="FFFFFF"/>
        </w:rPr>
        <w:t xml:space="preserve"> = .</w:t>
      </w:r>
      <w:r w:rsidR="00D87122">
        <w:rPr>
          <w:color w:val="202124"/>
          <w:shd w:val="clear" w:color="auto" w:fill="FFFFFF"/>
        </w:rPr>
        <w:t>618</w:t>
      </w:r>
      <w:r w:rsidRPr="00A82848">
        <w:rPr>
          <w:color w:val="202124"/>
          <w:shd w:val="clear" w:color="auto" w:fill="FFFFFF"/>
        </w:rPr>
        <w:t>).</w:t>
      </w:r>
      <w:r w:rsidR="00A82848" w:rsidRPr="00A82848">
        <w:rPr>
          <w:color w:val="202124"/>
          <w:shd w:val="clear" w:color="auto" w:fill="FFFFFF"/>
        </w:rPr>
        <w:t xml:space="preserve"> </w:t>
      </w:r>
    </w:p>
    <w:p w14:paraId="793B3F1F" w14:textId="406F8113" w:rsidR="00C42D9E" w:rsidRPr="00453E50" w:rsidRDefault="00C42D9E" w:rsidP="00E31A4C">
      <w:pPr>
        <w:spacing w:line="480" w:lineRule="auto"/>
        <w:rPr>
          <w:b/>
          <w:bCs/>
        </w:rPr>
      </w:pPr>
      <w:r>
        <w:rPr>
          <w:b/>
          <w:bCs/>
          <w:color w:val="202124"/>
          <w:shd w:val="clear" w:color="auto" w:fill="FFFFFF"/>
        </w:rPr>
        <w:t>Linear Regressions</w:t>
      </w:r>
    </w:p>
    <w:p w14:paraId="3E4E29C9" w14:textId="72645D1A" w:rsidR="00CB68A0" w:rsidRPr="00752CFC" w:rsidRDefault="00E31A4C" w:rsidP="004A375A">
      <w:pPr>
        <w:spacing w:line="480" w:lineRule="auto"/>
        <w:rPr>
          <w:bCs/>
        </w:rPr>
      </w:pPr>
      <w:r>
        <w:rPr>
          <w:bCs/>
        </w:rPr>
        <w:tab/>
      </w:r>
      <w:r w:rsidR="00F84361">
        <w:rPr>
          <w:bCs/>
        </w:rPr>
        <w:t>Three separate models tested the discriminant validity of the CFQ relative to the ATQ</w:t>
      </w:r>
      <w:r w:rsidR="002D25AD">
        <w:rPr>
          <w:bCs/>
        </w:rPr>
        <w:t xml:space="preserve"> (Table 3)</w:t>
      </w:r>
      <w:r w:rsidR="00F84361">
        <w:rPr>
          <w:bCs/>
        </w:rPr>
        <w:t xml:space="preserve">. </w:t>
      </w:r>
      <w:r w:rsidR="005B7BC3">
        <w:rPr>
          <w:bCs/>
        </w:rPr>
        <w:t>In the model predicting overall distress, baseline CFQ also predicted later distress (</w:t>
      </w:r>
      <w:r w:rsidR="005B7BC3">
        <w:rPr>
          <w:bCs/>
          <w:i/>
          <w:iCs/>
        </w:rPr>
        <w:t>b</w:t>
      </w:r>
      <w:r w:rsidR="005B7BC3">
        <w:rPr>
          <w:bCs/>
        </w:rPr>
        <w:t xml:space="preserve"> = 0.009, SE = 0.004, </w:t>
      </w:r>
      <w:r w:rsidR="005B7BC3">
        <w:rPr>
          <w:bCs/>
          <w:i/>
          <w:iCs/>
        </w:rPr>
        <w:t>p</w:t>
      </w:r>
      <w:r w:rsidR="005B7BC3">
        <w:rPr>
          <w:bCs/>
        </w:rPr>
        <w:t xml:space="preserve"> = .0</w:t>
      </w:r>
      <w:r w:rsidR="00AE1419">
        <w:rPr>
          <w:bCs/>
        </w:rPr>
        <w:t>2</w:t>
      </w:r>
      <w:r w:rsidR="005B7BC3">
        <w:rPr>
          <w:bCs/>
        </w:rPr>
        <w:t>) controlling for baseline distress (</w:t>
      </w:r>
      <w:r w:rsidR="005B7BC3">
        <w:rPr>
          <w:bCs/>
          <w:i/>
          <w:iCs/>
        </w:rPr>
        <w:t>b</w:t>
      </w:r>
      <w:r w:rsidR="005B7BC3">
        <w:rPr>
          <w:bCs/>
        </w:rPr>
        <w:t xml:space="preserve"> = 0.5</w:t>
      </w:r>
      <w:r w:rsidR="00AE1419">
        <w:rPr>
          <w:bCs/>
        </w:rPr>
        <w:t>2</w:t>
      </w:r>
      <w:r w:rsidR="005B7BC3">
        <w:rPr>
          <w:bCs/>
        </w:rPr>
        <w:t xml:space="preserve">, SE = 0.06, </w:t>
      </w:r>
      <w:r w:rsidR="005B7BC3">
        <w:rPr>
          <w:bCs/>
          <w:i/>
          <w:iCs/>
        </w:rPr>
        <w:t>p</w:t>
      </w:r>
      <w:r w:rsidR="005B7BC3">
        <w:rPr>
          <w:bCs/>
        </w:rPr>
        <w:t xml:space="preserve"> &lt; .001) and </w:t>
      </w:r>
      <w:r w:rsidR="005B7BC3">
        <w:rPr>
          <w:bCs/>
        </w:rPr>
        <w:lastRenderedPageBreak/>
        <w:t>baseline ATQ (</w:t>
      </w:r>
      <w:r w:rsidR="005B7BC3">
        <w:rPr>
          <w:bCs/>
          <w:i/>
          <w:iCs/>
        </w:rPr>
        <w:t>b</w:t>
      </w:r>
      <w:r w:rsidR="005B7BC3">
        <w:rPr>
          <w:bCs/>
        </w:rPr>
        <w:t xml:space="preserve"> = 0.004, SE = 0.002, </w:t>
      </w:r>
      <w:r w:rsidR="005B7BC3">
        <w:rPr>
          <w:bCs/>
          <w:i/>
          <w:iCs/>
        </w:rPr>
        <w:t>p</w:t>
      </w:r>
      <w:r w:rsidR="005B7BC3">
        <w:rPr>
          <w:bCs/>
        </w:rPr>
        <w:t xml:space="preserve"> = .0</w:t>
      </w:r>
      <w:r w:rsidR="00AE1419">
        <w:rPr>
          <w:bCs/>
        </w:rPr>
        <w:t>2</w:t>
      </w:r>
      <w:r w:rsidR="005B7BC3">
        <w:rPr>
          <w:bCs/>
        </w:rPr>
        <w:t xml:space="preserve">). </w:t>
      </w:r>
      <w:r w:rsidR="00CB68A0">
        <w:rPr>
          <w:bCs/>
        </w:rPr>
        <w:t>In the model predicting generalized anxiety, baseline CFQ again predicted later anxiety (</w:t>
      </w:r>
      <w:r w:rsidR="00CB68A0">
        <w:rPr>
          <w:bCs/>
          <w:i/>
          <w:iCs/>
        </w:rPr>
        <w:t>b</w:t>
      </w:r>
      <w:r w:rsidR="00CB68A0">
        <w:rPr>
          <w:bCs/>
        </w:rPr>
        <w:t xml:space="preserve"> = 0.01, SE = 0.00</w:t>
      </w:r>
      <w:r w:rsidR="00FC313A">
        <w:rPr>
          <w:bCs/>
        </w:rPr>
        <w:t>5</w:t>
      </w:r>
      <w:r w:rsidR="00CB68A0">
        <w:rPr>
          <w:bCs/>
        </w:rPr>
        <w:t xml:space="preserve">, </w:t>
      </w:r>
      <w:r w:rsidR="00CB68A0">
        <w:rPr>
          <w:bCs/>
          <w:i/>
          <w:iCs/>
        </w:rPr>
        <w:t>p</w:t>
      </w:r>
      <w:r w:rsidR="00CB68A0">
        <w:rPr>
          <w:bCs/>
        </w:rPr>
        <w:t xml:space="preserve"> = .00</w:t>
      </w:r>
      <w:r w:rsidR="00FC313A">
        <w:rPr>
          <w:bCs/>
        </w:rPr>
        <w:t>5</w:t>
      </w:r>
      <w:r w:rsidR="00CB68A0">
        <w:rPr>
          <w:bCs/>
        </w:rPr>
        <w:t>) controlling for baseline anxiety (</w:t>
      </w:r>
      <w:r w:rsidR="00CB68A0">
        <w:rPr>
          <w:bCs/>
          <w:i/>
          <w:iCs/>
        </w:rPr>
        <w:t>b</w:t>
      </w:r>
      <w:r w:rsidR="00CB68A0">
        <w:rPr>
          <w:bCs/>
        </w:rPr>
        <w:t xml:space="preserve"> = 0.5</w:t>
      </w:r>
      <w:r w:rsidR="00FC313A">
        <w:rPr>
          <w:bCs/>
        </w:rPr>
        <w:t>8</w:t>
      </w:r>
      <w:r w:rsidR="00CB68A0">
        <w:rPr>
          <w:bCs/>
        </w:rPr>
        <w:t xml:space="preserve">, SE = 0.05, </w:t>
      </w:r>
      <w:r w:rsidR="00CB68A0">
        <w:rPr>
          <w:bCs/>
          <w:i/>
          <w:iCs/>
        </w:rPr>
        <w:t>p</w:t>
      </w:r>
      <w:r w:rsidR="00CB68A0">
        <w:rPr>
          <w:bCs/>
        </w:rPr>
        <w:t xml:space="preserve"> &lt; .001) and baseline ATQ, which was not significant (</w:t>
      </w:r>
      <w:r w:rsidR="00CB68A0">
        <w:rPr>
          <w:bCs/>
          <w:i/>
          <w:iCs/>
        </w:rPr>
        <w:t>b</w:t>
      </w:r>
      <w:r w:rsidR="00CB68A0">
        <w:rPr>
          <w:bCs/>
        </w:rPr>
        <w:t xml:space="preserve"> = 0.001, SE = 0.002, </w:t>
      </w:r>
      <w:r w:rsidR="00CB68A0">
        <w:rPr>
          <w:bCs/>
          <w:i/>
          <w:iCs/>
        </w:rPr>
        <w:t>p</w:t>
      </w:r>
      <w:r w:rsidR="00CB68A0">
        <w:rPr>
          <w:bCs/>
        </w:rPr>
        <w:t xml:space="preserve"> = .</w:t>
      </w:r>
      <w:r w:rsidR="00FC313A">
        <w:rPr>
          <w:bCs/>
        </w:rPr>
        <w:t>6</w:t>
      </w:r>
      <w:r w:rsidR="00CB68A0">
        <w:rPr>
          <w:bCs/>
        </w:rPr>
        <w:t>6).</w:t>
      </w:r>
      <w:r w:rsidR="005B7BC3">
        <w:rPr>
          <w:bCs/>
        </w:rPr>
        <w:t xml:space="preserve"> Residuals approximated normality for these two models. </w:t>
      </w:r>
      <w:r w:rsidR="004C6F13">
        <w:rPr>
          <w:bCs/>
        </w:rPr>
        <w:t>However, r</w:t>
      </w:r>
      <w:r w:rsidR="005B7BC3">
        <w:rPr>
          <w:bCs/>
        </w:rPr>
        <w:t xml:space="preserve">esiduals for the initial model predicting depression at follow-up appeared to violate the assumption of homogeneity of variance. A square root transformation was applied to depression scores, after which residuals adequately approximated normality. In the model predicting depression at follow-up, baseline CFQ was </w:t>
      </w:r>
      <w:r w:rsidR="004A6ABD">
        <w:rPr>
          <w:bCs/>
        </w:rPr>
        <w:t xml:space="preserve">not a significant predictor </w:t>
      </w:r>
      <w:r w:rsidR="005B7BC3">
        <w:rPr>
          <w:bCs/>
        </w:rPr>
        <w:t>(</w:t>
      </w:r>
      <w:r w:rsidR="005B7BC3">
        <w:rPr>
          <w:bCs/>
          <w:i/>
          <w:iCs/>
        </w:rPr>
        <w:t>b</w:t>
      </w:r>
      <w:r w:rsidR="005B7BC3">
        <w:rPr>
          <w:bCs/>
        </w:rPr>
        <w:t xml:space="preserve"> = 0.00</w:t>
      </w:r>
      <w:r w:rsidR="004A6ABD">
        <w:rPr>
          <w:bCs/>
        </w:rPr>
        <w:t>5</w:t>
      </w:r>
      <w:r w:rsidR="005B7BC3">
        <w:rPr>
          <w:bCs/>
        </w:rPr>
        <w:t xml:space="preserve">, SE = 0.003, </w:t>
      </w:r>
      <w:r w:rsidR="005B7BC3">
        <w:rPr>
          <w:bCs/>
          <w:i/>
          <w:iCs/>
        </w:rPr>
        <w:t>p</w:t>
      </w:r>
      <w:r w:rsidR="005B7BC3">
        <w:rPr>
          <w:bCs/>
        </w:rPr>
        <w:t xml:space="preserve"> = .0</w:t>
      </w:r>
      <w:r w:rsidR="004A6ABD">
        <w:rPr>
          <w:bCs/>
        </w:rPr>
        <w:t>56</w:t>
      </w:r>
      <w:r w:rsidR="005B7BC3">
        <w:rPr>
          <w:bCs/>
        </w:rPr>
        <w:t xml:space="preserve">) </w:t>
      </w:r>
      <w:r w:rsidR="004A6ABD">
        <w:rPr>
          <w:bCs/>
        </w:rPr>
        <w:t xml:space="preserve">when </w:t>
      </w:r>
      <w:r w:rsidR="005B7BC3">
        <w:rPr>
          <w:bCs/>
        </w:rPr>
        <w:t>controlling for baseline ATQ (</w:t>
      </w:r>
      <w:r w:rsidR="005B7BC3">
        <w:rPr>
          <w:bCs/>
          <w:i/>
          <w:iCs/>
        </w:rPr>
        <w:t>b</w:t>
      </w:r>
      <w:r w:rsidR="005B7BC3">
        <w:rPr>
          <w:bCs/>
        </w:rPr>
        <w:t xml:space="preserve"> = 0.004, SE = 0.001, </w:t>
      </w:r>
      <w:r w:rsidR="005B7BC3">
        <w:rPr>
          <w:bCs/>
          <w:i/>
          <w:iCs/>
        </w:rPr>
        <w:t>p</w:t>
      </w:r>
      <w:r w:rsidR="005B7BC3">
        <w:rPr>
          <w:bCs/>
        </w:rPr>
        <w:t xml:space="preserve"> </w:t>
      </w:r>
      <w:r w:rsidR="004A6ABD">
        <w:rPr>
          <w:bCs/>
        </w:rPr>
        <w:t>=</w:t>
      </w:r>
      <w:r w:rsidR="005B7BC3">
        <w:rPr>
          <w:bCs/>
        </w:rPr>
        <w:t xml:space="preserve"> .001) and baseline depression (</w:t>
      </w:r>
      <w:r w:rsidR="005B7BC3">
        <w:rPr>
          <w:bCs/>
          <w:i/>
          <w:iCs/>
        </w:rPr>
        <w:t>b</w:t>
      </w:r>
      <w:r w:rsidR="005B7BC3">
        <w:rPr>
          <w:bCs/>
        </w:rPr>
        <w:t xml:space="preserve"> = 0.4</w:t>
      </w:r>
      <w:r w:rsidR="004A6ABD">
        <w:rPr>
          <w:bCs/>
        </w:rPr>
        <w:t>7</w:t>
      </w:r>
      <w:r w:rsidR="005B7BC3">
        <w:rPr>
          <w:bCs/>
        </w:rPr>
        <w:t xml:space="preserve">, SE = 0.05, </w:t>
      </w:r>
      <w:r w:rsidR="005B7BC3">
        <w:rPr>
          <w:bCs/>
          <w:i/>
          <w:iCs/>
        </w:rPr>
        <w:t>p</w:t>
      </w:r>
      <w:r w:rsidR="005B7BC3">
        <w:rPr>
          <w:bCs/>
        </w:rPr>
        <w:t xml:space="preserve"> &lt; .001). </w:t>
      </w:r>
    </w:p>
    <w:p w14:paraId="1261EFE3" w14:textId="520F00FE" w:rsidR="003249AE" w:rsidRDefault="00FC79CA" w:rsidP="004A375A">
      <w:pPr>
        <w:spacing w:line="480" w:lineRule="auto"/>
        <w:rPr>
          <w:bCs/>
        </w:rPr>
      </w:pPr>
      <w:r>
        <w:rPr>
          <w:bCs/>
        </w:rPr>
        <w:tab/>
        <w:t xml:space="preserve">The highest variance inflation factor observed in any model </w:t>
      </w:r>
      <w:r w:rsidR="00F35750">
        <w:rPr>
          <w:bCs/>
        </w:rPr>
        <w:t xml:space="preserve">in any of the 20 multiply imputed datasets </w:t>
      </w:r>
      <w:r>
        <w:rPr>
          <w:bCs/>
        </w:rPr>
        <w:t xml:space="preserve">was </w:t>
      </w:r>
      <w:r w:rsidR="00F674F9">
        <w:rPr>
          <w:bCs/>
        </w:rPr>
        <w:t>2.95</w:t>
      </w:r>
      <w:r>
        <w:rPr>
          <w:bCs/>
        </w:rPr>
        <w:t xml:space="preserve">, below the range that would suggest problematic multicollinearity </w:t>
      </w:r>
      <w:r w:rsidR="00A2773F">
        <w:rPr>
          <w:color w:val="000000" w:themeColor="text1"/>
        </w:rPr>
        <w:t xml:space="preserve">even according to conservative rules of thumb </w:t>
      </w:r>
      <w:r w:rsidR="00A2773F">
        <w:rPr>
          <w:color w:val="000000" w:themeColor="text1"/>
        </w:rPr>
        <w:fldChar w:fldCharType="begin" w:fldLock="1"/>
      </w:r>
      <w:r w:rsidR="0017392B">
        <w:rPr>
          <w:color w:val="000000" w:themeColor="text1"/>
        </w:rPr>
        <w:instrText>ADDIN CSL_CITATION {"citationItems":[{"id":"ITEM-1","itemData":{"DOI":"10.1007/s11135-006-9018-6","ISSN":"00335177","abstract":"The Variance Inflation Factor (VIF) and tolerance are both widely used measures of the degree of multi-collinearity of the ith independent variable with the other independent variables in a regression model. Unfortunately, several rules of thumb - most commonly the rule of 10 - associated with VIF are regarded by many practitioners as a sign of severe or serious multi-collinearity (this rule appears in both scholarly articles and advanced statistical textbooks). When VIF reaches these threshold values researchers often attempt to reduce the collinearity by eliminating one or more variables from their analysis; using Ridge Regression to analyze their data; or combining two or more independent variables into a single index. These techniques for curing problems associated with multi-collinearity can create problems more serious than those they solve. Because of this, we examine these rules of thumb and find that threshold values of the VIF (and tolerance) need to be evaluated in the context of several other factors that influence the variance of regression coefficients. Values of the VIF of 10, 20, 40, or even higher do not, by themselves, discount the results of regression analyses, call for the elimination of one or more independent variables from the analysis, suggest the use of ridge regression, or require combining of independent variable into a single index. © 2007 Springer.","author":[{"dropping-particle":"","family":"O'Brien","given":"Robert M.","non-dropping-particle":"","parse-names":false,"suffix":""}],"container-title":"Quality and Quantity","id":"ITEM-1","issue":"5","issued":{"date-parts":[["2007"]]},"page":"673-690","title":"A caution regarding rules of thumb for variance inflation factors","type":"article-journal","volume":"41"},"uris":["http://www.mendeley.com/documents/?uuid=4dc2cbf6-9924-4dd5-8a5e-d57956e21053"]}],"mendeley":{"formattedCitation":"(O’Brien, 2007)","plainTextFormattedCitation":"(O’Brien, 2007)","previouslyFormattedCitation":"(O’Brien, 2007)"},"properties":{"noteIndex":0},"schema":"https://github.com/citation-style-language/schema/raw/master/csl-citation.json"}</w:instrText>
      </w:r>
      <w:r w:rsidR="00A2773F">
        <w:rPr>
          <w:color w:val="000000" w:themeColor="text1"/>
        </w:rPr>
        <w:fldChar w:fldCharType="separate"/>
      </w:r>
      <w:r w:rsidR="00A2773F" w:rsidRPr="00A2773F">
        <w:rPr>
          <w:noProof/>
          <w:color w:val="000000" w:themeColor="text1"/>
        </w:rPr>
        <w:t>(O’Brien, 2007)</w:t>
      </w:r>
      <w:r w:rsidR="00A2773F">
        <w:rPr>
          <w:color w:val="000000" w:themeColor="text1"/>
        </w:rPr>
        <w:fldChar w:fldCharType="end"/>
      </w:r>
      <w:r w:rsidR="00A2773F">
        <w:rPr>
          <w:color w:val="000000" w:themeColor="text1"/>
        </w:rPr>
        <w:t>.</w:t>
      </w:r>
    </w:p>
    <w:p w14:paraId="4D438094" w14:textId="355B669D" w:rsidR="00434953" w:rsidRDefault="00434953" w:rsidP="00434953">
      <w:pPr>
        <w:spacing w:line="480" w:lineRule="auto"/>
        <w:jc w:val="center"/>
        <w:rPr>
          <w:b/>
        </w:rPr>
      </w:pPr>
      <w:r w:rsidRPr="00A829B3">
        <w:rPr>
          <w:b/>
        </w:rPr>
        <w:t>Discussion</w:t>
      </w:r>
    </w:p>
    <w:p w14:paraId="37751CEC" w14:textId="24A5EBD6" w:rsidR="00D0567B" w:rsidRDefault="001912AE" w:rsidP="001912AE">
      <w:pPr>
        <w:spacing w:line="480" w:lineRule="auto"/>
        <w:rPr>
          <w:bCs/>
        </w:rPr>
      </w:pPr>
      <w:r>
        <w:rPr>
          <w:b/>
        </w:rPr>
        <w:tab/>
      </w:r>
      <w:r>
        <w:rPr>
          <w:bCs/>
        </w:rPr>
        <w:t xml:space="preserve">This study assessed the discriminant validity of the CFQ, </w:t>
      </w:r>
      <w:r w:rsidR="00D0567B">
        <w:rPr>
          <w:bCs/>
        </w:rPr>
        <w:t>a</w:t>
      </w:r>
      <w:r>
        <w:rPr>
          <w:bCs/>
        </w:rPr>
        <w:t xml:space="preserve"> measure </w:t>
      </w:r>
      <w:r w:rsidR="00D0567B">
        <w:rPr>
          <w:bCs/>
        </w:rPr>
        <w:t xml:space="preserve">of </w:t>
      </w:r>
      <w:r>
        <w:rPr>
          <w:bCs/>
        </w:rPr>
        <w:t xml:space="preserve">cognitive fusion, relative to the ATQ, a measure of the frequency of automatic negative thoughts.  The two measures were very highly correlated, supporting the need to investigate whether the CFQ can appropriately distinguish cognitive fusion from the mere presence of automatic negative thoughts. Results of exploratory factor analysis indicated that, although factors shared large correlations, CFQ items very consistently loaded onto a separate latent factor relative to ATQ items. This suggests that the CFQ does indeed measure a latent variable that is distinct from the frequency of </w:t>
      </w:r>
      <w:r w:rsidR="0067739E">
        <w:rPr>
          <w:bCs/>
        </w:rPr>
        <w:t xml:space="preserve">negative </w:t>
      </w:r>
      <w:r>
        <w:rPr>
          <w:bCs/>
        </w:rPr>
        <w:t xml:space="preserve">thoughts. </w:t>
      </w:r>
      <w:r w:rsidR="00D0567B">
        <w:rPr>
          <w:bCs/>
        </w:rPr>
        <w:t xml:space="preserve">This is an important finding given a related measure, the AAQ-II, has been found in multiple studies to </w:t>
      </w:r>
      <w:r w:rsidR="00105B2F">
        <w:rPr>
          <w:bCs/>
        </w:rPr>
        <w:t xml:space="preserve">be more strongly related to distress than </w:t>
      </w:r>
      <w:r w:rsidR="001A13B0">
        <w:rPr>
          <w:bCs/>
        </w:rPr>
        <w:t xml:space="preserve">to other </w:t>
      </w:r>
      <w:r w:rsidR="001A13B0">
        <w:rPr>
          <w:bCs/>
        </w:rPr>
        <w:lastRenderedPageBreak/>
        <w:t xml:space="preserve">measures of psychological inflexibility or its components, suggesting serious limitations to its construct validity </w:t>
      </w:r>
      <w:r w:rsidR="001A13B0">
        <w:rPr>
          <w:bCs/>
        </w:rPr>
        <w:fldChar w:fldCharType="begin" w:fldLock="1"/>
      </w:r>
      <w:r w:rsidR="001A13B0">
        <w:rPr>
          <w:bCs/>
        </w:rPr>
        <w:instrText>ADDIN CSL_CITATION {"citationItems":[{"id":"ITEM-1","itemData":{"DOI":"https://doi.org/10.1016/j.beth.2014.07.002","ISSN":"0005-7894","abstract":"The present study seeks to investigate the extent to which the Acceptance and Action Questionnaire (AAQ-II) is successful in discriminating between experiential avoidance/psychological flexibility on the one hand and the supposed outcomes in terms of psychological well-being of having this trait on the other. This was done using exploratory factor analysis on an item pool containing the AAQ-II items, and items designed for the present study to measure distress and acceptance/non-acceptance, to see what factors are identified and on which factor(s) the AAQ-II items had the highest factor loadings. Interestingly, the analysis found the items of the AAQ-II to be more strongly related to items designed to measure distress than items designed to measure acceptance/nonacceptance with minimal references to functional outcomes. The results of the study are interpreted and discussed in relation to the widespread use of the AAQ in both clinical and scientific contexts and given the centrality of the measure in empirically validating the ACT model of psychopathology and treatment.","author":[{"dropping-particle":"","family":"Wolgast","given":"Martin","non-dropping-particle":"","parse-names":false,"suffix":""}],"container-title":"Behavior Therapy","id":"ITEM-1","issue":"6","issued":{"date-parts":[["2014"]]},"page":"831-839","title":"What does the Acceptance and Action Questionnaire (AAQ-II) really measure?","type":"article-journal","volume":"45"},"uris":["http://www.mendeley.com/documents/?uuid=c0f2a540-fa0b-416e-be47-148ea6647ba5"]},{"id":"ITEM-2","itemData":{"DOI":"https://doi.org/10.1016/j.jcbs.2018.09.005","ISSN":"2212-1447","abstract":"Psychological inflexibility and experiential avoidance are key constructs in the Acceptance and Commitment Therapy (ACT) model of behavior change. Wolgast (2014) questioned the construct validity of the Acceptance and Action Questionnaire-II (AAQ-II), the most used self-report instrument to assess the efficacy of ACT interventions. Wolgast suggested that the AAQ-II measured psychological distress rather than psychological inflexibility and experiential avoidance. The current study further examined the construct validity of the AAQ-II by conducting an online cross-sectional survey (n = 524), including separate measures of experiential avoidance and psychological distress. Confirmatory factor analyses indicated that items from the AAQ-II correlated more highly with measures of depression, anxiety, and stress than the Brief Experiential Avoidance Questionnaire (BEAQ). Implications include that, as broad measures of experiential avoidance, the AAQ-II and BEAQ may not measure the same construct. In terms of psychological distress, the BEAQ has greater discriminant validity than the AAQ-II, and perhaps an alternative instrument of psychological inflexibility might be needed to assess core outcomes in ACT intervention research.","author":[{"dropping-particle":"","family":"Tyndall","given":"Ian","non-dropping-particle":"","parse-names":false,"suffix":""},{"dropping-particle":"","family":"Waldeck","given":"Daniel","non-dropping-particle":"","parse-names":false,"suffix":""},{"dropping-particle":"","family":"Pancani","given":"Luca","non-dropping-particle":"","parse-names":false,"suffix":""},{"dropping-particle":"","family":"Whelan","given":"Robert","non-dropping-particle":"","parse-names":false,"suffix":""},{"dropping-particle":"","family":"Roche","given":"Bryan","non-dropping-particle":"","parse-names":false,"suffix":""},{"dropping-particle":"","family":"Dawson","given":"David L","non-dropping-particle":"","parse-names":false,"suffix":""}],"container-title":"Journal of Contextual Behavioral Science","id":"ITEM-2","issued":{"date-parts":[["2019"]]},"page":"278-284","title":"The Acceptance and Action Questionnaire-II (AAQ-II) as a measure of experiential avoidance: Concerns over discriminant validity","type":"article-journal","volume":"12"},"uris":["http://www.mendeley.com/documents/?uuid=b888f6da-f3a2-4a02-afd9-bfeef07e7591"]}],"mendeley":{"formattedCitation":"(Tyndall et al., 2019; Wolgast, 2014)","plainTextFormattedCitation":"(Tyndall et al., 2019; Wolgast, 2014)","previouslyFormattedCitation":"(Tyndall et al., 2019; Wolgast, 2014)"},"properties":{"noteIndex":0},"schema":"https://github.com/citation-style-language/schema/raw/master/csl-citation.json"}</w:instrText>
      </w:r>
      <w:r w:rsidR="001A13B0">
        <w:rPr>
          <w:bCs/>
        </w:rPr>
        <w:fldChar w:fldCharType="separate"/>
      </w:r>
      <w:r w:rsidR="001A13B0" w:rsidRPr="001A13B0">
        <w:rPr>
          <w:bCs/>
          <w:noProof/>
        </w:rPr>
        <w:t>(Tyndall et al., 2019; Wolgast, 2014)</w:t>
      </w:r>
      <w:r w:rsidR="001A13B0">
        <w:rPr>
          <w:bCs/>
        </w:rPr>
        <w:fldChar w:fldCharType="end"/>
      </w:r>
      <w:r w:rsidR="008250FF">
        <w:rPr>
          <w:bCs/>
        </w:rPr>
        <w:t>.</w:t>
      </w:r>
      <w:r w:rsidR="00105B2F">
        <w:rPr>
          <w:bCs/>
        </w:rPr>
        <w:t xml:space="preserve"> </w:t>
      </w:r>
    </w:p>
    <w:p w14:paraId="59E2F983" w14:textId="00B6BDE4" w:rsidR="00523ECA" w:rsidRDefault="001912AE" w:rsidP="00AA0B7B">
      <w:pPr>
        <w:spacing w:line="480" w:lineRule="auto"/>
        <w:ind w:firstLine="720"/>
        <w:rPr>
          <w:bCs/>
        </w:rPr>
      </w:pPr>
      <w:r>
        <w:rPr>
          <w:bCs/>
        </w:rPr>
        <w:t>The distinguishability of these two measures was further assessed in terms of the incremental validity</w:t>
      </w:r>
      <w:r w:rsidR="00D0567B">
        <w:rPr>
          <w:bCs/>
        </w:rPr>
        <w:t xml:space="preserve"> of the CFQ</w:t>
      </w:r>
      <w:r>
        <w:rPr>
          <w:bCs/>
        </w:rPr>
        <w:t xml:space="preserve"> in predicting </w:t>
      </w:r>
      <w:r w:rsidR="00D0567B">
        <w:rPr>
          <w:bCs/>
        </w:rPr>
        <w:t xml:space="preserve">distress </w:t>
      </w:r>
      <w:r>
        <w:rPr>
          <w:bCs/>
        </w:rPr>
        <w:t>(i.e., depression, anxiety, and overall distress) longitudinally</w:t>
      </w:r>
      <w:r w:rsidR="009B33BC">
        <w:rPr>
          <w:bCs/>
        </w:rPr>
        <w:t xml:space="preserve"> in a series of linear regression models</w:t>
      </w:r>
      <w:r w:rsidR="00D0567B">
        <w:rPr>
          <w:bCs/>
        </w:rPr>
        <w:t xml:space="preserve"> controlling for negative thoughts</w:t>
      </w:r>
      <w:r w:rsidR="009B33BC">
        <w:rPr>
          <w:bCs/>
        </w:rPr>
        <w:t xml:space="preserve">. The CFQ predicted later </w:t>
      </w:r>
      <w:r w:rsidR="00E50077">
        <w:rPr>
          <w:bCs/>
        </w:rPr>
        <w:t>distress and</w:t>
      </w:r>
      <w:r w:rsidR="009B33BC">
        <w:rPr>
          <w:bCs/>
        </w:rPr>
        <w:t xml:space="preserve"> anxiety</w:t>
      </w:r>
      <w:r w:rsidR="00E50077">
        <w:rPr>
          <w:bCs/>
        </w:rPr>
        <w:t xml:space="preserve"> </w:t>
      </w:r>
      <w:r w:rsidR="009B33BC">
        <w:rPr>
          <w:bCs/>
        </w:rPr>
        <w:t>controlling for the same variables and the ATQ at baseline</w:t>
      </w:r>
      <w:r w:rsidR="00E50077">
        <w:rPr>
          <w:bCs/>
        </w:rPr>
        <w:t>, although not depression</w:t>
      </w:r>
      <w:r w:rsidR="009B33BC">
        <w:rPr>
          <w:bCs/>
        </w:rPr>
        <w:t xml:space="preserve">. This is </w:t>
      </w:r>
      <w:r w:rsidR="009451B8">
        <w:rPr>
          <w:bCs/>
        </w:rPr>
        <w:t xml:space="preserve">generally </w:t>
      </w:r>
      <w:r w:rsidR="00C92B8D">
        <w:rPr>
          <w:bCs/>
        </w:rPr>
        <w:t>consistent with the proposition that the CFQ measures a distinct psychopathological process, that contributes to increased suffering over time</w:t>
      </w:r>
      <w:r w:rsidR="009C055E">
        <w:rPr>
          <w:bCs/>
        </w:rPr>
        <w:t>.</w:t>
      </w:r>
      <w:r w:rsidR="009451B8">
        <w:rPr>
          <w:bCs/>
        </w:rPr>
        <w:t xml:space="preserve"> However, the nonsignificant result for depression does suggest its incremental validity may be more limited </w:t>
      </w:r>
      <w:r w:rsidR="002E3F24">
        <w:rPr>
          <w:bCs/>
        </w:rPr>
        <w:t xml:space="preserve">when </w:t>
      </w:r>
      <w:r w:rsidR="000F6C6F">
        <w:rPr>
          <w:bCs/>
        </w:rPr>
        <w:t>compared to a</w:t>
      </w:r>
      <w:r w:rsidR="009451B8">
        <w:rPr>
          <w:bCs/>
        </w:rPr>
        <w:t xml:space="preserve"> measure of cognitive content </w:t>
      </w:r>
      <w:r w:rsidR="000F6C6F">
        <w:rPr>
          <w:bCs/>
        </w:rPr>
        <w:t>that is</w:t>
      </w:r>
      <w:r w:rsidR="009451B8">
        <w:rPr>
          <w:bCs/>
        </w:rPr>
        <w:t xml:space="preserve"> closely related to</w:t>
      </w:r>
      <w:r w:rsidR="00FA5897">
        <w:rPr>
          <w:bCs/>
        </w:rPr>
        <w:t xml:space="preserve"> depressive</w:t>
      </w:r>
      <w:r w:rsidR="009451B8">
        <w:rPr>
          <w:bCs/>
        </w:rPr>
        <w:t xml:space="preserve"> </w:t>
      </w:r>
      <w:r w:rsidR="0036220D">
        <w:rPr>
          <w:bCs/>
        </w:rPr>
        <w:t>symptoms</w:t>
      </w:r>
      <w:r w:rsidR="009451B8">
        <w:rPr>
          <w:bCs/>
        </w:rPr>
        <w:t>.</w:t>
      </w:r>
      <w:r w:rsidR="009C055E">
        <w:rPr>
          <w:bCs/>
        </w:rPr>
        <w:t xml:space="preserve"> </w:t>
      </w:r>
    </w:p>
    <w:p w14:paraId="1567A66B" w14:textId="6C2D8BF9" w:rsidR="00500087" w:rsidRDefault="00500087" w:rsidP="00AA0B7B">
      <w:pPr>
        <w:spacing w:line="480" w:lineRule="auto"/>
        <w:ind w:firstLine="720"/>
        <w:rPr>
          <w:bCs/>
        </w:rPr>
      </w:pPr>
      <w:r>
        <w:rPr>
          <w:bCs/>
        </w:rPr>
        <w:t xml:space="preserve">While it is important to establish that the CFQ measures a distinct construct, cognitive </w:t>
      </w:r>
      <w:r w:rsidR="0071257A">
        <w:rPr>
          <w:bCs/>
        </w:rPr>
        <w:t>content is undoubtedly related to cognitive fusion</w:t>
      </w:r>
      <w:r w:rsidR="00C76D0B">
        <w:rPr>
          <w:bCs/>
        </w:rPr>
        <w:t xml:space="preserve"> </w:t>
      </w:r>
      <w:r>
        <w:rPr>
          <w:bCs/>
        </w:rPr>
        <w:t xml:space="preserve">(e.g., an individual with </w:t>
      </w:r>
      <w:r w:rsidR="008C2772">
        <w:rPr>
          <w:bCs/>
        </w:rPr>
        <w:t>social anxiety</w:t>
      </w:r>
      <w:r>
        <w:rPr>
          <w:bCs/>
        </w:rPr>
        <w:t xml:space="preserve"> may be</w:t>
      </w:r>
      <w:r w:rsidR="00C77811">
        <w:rPr>
          <w:bCs/>
        </w:rPr>
        <w:t xml:space="preserve"> </w:t>
      </w:r>
      <w:r>
        <w:rPr>
          <w:bCs/>
        </w:rPr>
        <w:t xml:space="preserve">highly fused with </w:t>
      </w:r>
      <w:r w:rsidR="008C2772">
        <w:rPr>
          <w:bCs/>
        </w:rPr>
        <w:t>worries about how others perceive them</w:t>
      </w:r>
      <w:r>
        <w:rPr>
          <w:bCs/>
        </w:rPr>
        <w:t>, and rarely fused with other thoughts)</w:t>
      </w:r>
      <w:r w:rsidR="008C2772">
        <w:rPr>
          <w:bCs/>
        </w:rPr>
        <w:t>.</w:t>
      </w:r>
      <w:r w:rsidR="0032040E">
        <w:rPr>
          <w:bCs/>
        </w:rPr>
        <w:t xml:space="preserve"> </w:t>
      </w:r>
      <w:r w:rsidR="0071257A">
        <w:rPr>
          <w:bCs/>
        </w:rPr>
        <w:t xml:space="preserve">Understanding how thoughts impact an individual </w:t>
      </w:r>
      <w:r w:rsidR="00BC4546">
        <w:rPr>
          <w:bCs/>
        </w:rPr>
        <w:t xml:space="preserve">requires precise assessment that fully considers </w:t>
      </w:r>
      <w:r w:rsidR="00C76D0B">
        <w:rPr>
          <w:bCs/>
        </w:rPr>
        <w:t xml:space="preserve">the </w:t>
      </w:r>
      <w:r w:rsidR="00BC4546">
        <w:rPr>
          <w:bCs/>
        </w:rPr>
        <w:t>context, including their thought content and frequency, how they respond to their thoughts (e.g., cognitive fusion, overt behavior)</w:t>
      </w:r>
      <w:r w:rsidR="00FA5897">
        <w:rPr>
          <w:bCs/>
        </w:rPr>
        <w:t>,</w:t>
      </w:r>
      <w:r w:rsidR="00BC4546">
        <w:rPr>
          <w:bCs/>
        </w:rPr>
        <w:t xml:space="preserve"> and how their learning history and environment foster</w:t>
      </w:r>
      <w:r w:rsidR="00FA5897">
        <w:rPr>
          <w:bCs/>
        </w:rPr>
        <w:t xml:space="preserve">s </w:t>
      </w:r>
      <w:r w:rsidR="00385A97">
        <w:rPr>
          <w:bCs/>
        </w:rPr>
        <w:t xml:space="preserve">and </w:t>
      </w:r>
      <w:r w:rsidR="00BC4546">
        <w:rPr>
          <w:bCs/>
        </w:rPr>
        <w:t>maintain</w:t>
      </w:r>
      <w:r w:rsidR="00FA5897">
        <w:rPr>
          <w:bCs/>
        </w:rPr>
        <w:t>s</w:t>
      </w:r>
      <w:r w:rsidR="00BC4546">
        <w:rPr>
          <w:bCs/>
        </w:rPr>
        <w:t xml:space="preserve"> these </w:t>
      </w:r>
      <w:r w:rsidR="00F33E59">
        <w:rPr>
          <w:bCs/>
        </w:rPr>
        <w:t>patterns</w:t>
      </w:r>
      <w:r w:rsidR="00BC4546">
        <w:rPr>
          <w:bCs/>
        </w:rPr>
        <w:t>.</w:t>
      </w:r>
      <w:r w:rsidR="0071257A">
        <w:rPr>
          <w:bCs/>
        </w:rPr>
        <w:t xml:space="preserve"> </w:t>
      </w:r>
      <w:r w:rsidR="00F33E59">
        <w:rPr>
          <w:bCs/>
        </w:rPr>
        <w:t>Thus, future research focusing on how to better evaluate cognitive fusion in a context-sensitive manner without losing rigor, for example through the use of ecological momentary assessments, is needed.</w:t>
      </w:r>
    </w:p>
    <w:p w14:paraId="131321F4" w14:textId="400018E1" w:rsidR="00C23CC9" w:rsidRDefault="00C23CC9" w:rsidP="001912AE">
      <w:pPr>
        <w:spacing w:line="480" w:lineRule="auto"/>
        <w:rPr>
          <w:bCs/>
        </w:rPr>
      </w:pPr>
      <w:r>
        <w:rPr>
          <w:bCs/>
        </w:rPr>
        <w:tab/>
      </w:r>
      <w:r w:rsidR="00AB4DC2">
        <w:rPr>
          <w:bCs/>
        </w:rPr>
        <w:t>Questions of generalizability</w:t>
      </w:r>
      <w:r w:rsidR="008D0D12">
        <w:rPr>
          <w:bCs/>
        </w:rPr>
        <w:t xml:space="preserve"> </w:t>
      </w:r>
      <w:r w:rsidR="00AB4DC2">
        <w:rPr>
          <w:bCs/>
        </w:rPr>
        <w:t>are</w:t>
      </w:r>
      <w:r w:rsidR="008D0D12">
        <w:rPr>
          <w:bCs/>
        </w:rPr>
        <w:t xml:space="preserve"> a particularly major limitation in the present study</w:t>
      </w:r>
      <w:r w:rsidR="00FB016D">
        <w:rPr>
          <w:bCs/>
        </w:rPr>
        <w:t>. P</w:t>
      </w:r>
      <w:r w:rsidR="008D0D12">
        <w:rPr>
          <w:bCs/>
        </w:rPr>
        <w:t>articipants were college students and very limited in racial and ethnic diversity, thus differing from the general population on important dimensions.</w:t>
      </w:r>
      <w:r>
        <w:rPr>
          <w:bCs/>
        </w:rPr>
        <w:t xml:space="preserve"> </w:t>
      </w:r>
      <w:r w:rsidR="008D0D12">
        <w:rPr>
          <w:bCs/>
        </w:rPr>
        <w:t>I</w:t>
      </w:r>
      <w:r>
        <w:rPr>
          <w:bCs/>
        </w:rPr>
        <w:t xml:space="preserve">t is unclear if findings would generalize </w:t>
      </w:r>
      <w:r>
        <w:rPr>
          <w:bCs/>
        </w:rPr>
        <w:lastRenderedPageBreak/>
        <w:t xml:space="preserve">to other populations (e.g., </w:t>
      </w:r>
      <w:r w:rsidR="001800C9">
        <w:rPr>
          <w:bCs/>
        </w:rPr>
        <w:t xml:space="preserve">clinical populations, </w:t>
      </w:r>
      <w:r>
        <w:rPr>
          <w:bCs/>
        </w:rPr>
        <w:t xml:space="preserve">those with less education, racially and culturally diverse groups). </w:t>
      </w:r>
      <w:r w:rsidR="00871EAF">
        <w:rPr>
          <w:bCs/>
        </w:rPr>
        <w:t xml:space="preserve">Evaluation in clinical populations is particularly crucial as cognitive fusion is most important to target when it contributes to significant </w:t>
      </w:r>
      <w:r w:rsidR="001956F1">
        <w:rPr>
          <w:bCs/>
        </w:rPr>
        <w:t>obstruction</w:t>
      </w:r>
      <w:r w:rsidR="00871EAF">
        <w:rPr>
          <w:bCs/>
        </w:rPr>
        <w:t xml:space="preserve"> in valued living. </w:t>
      </w:r>
      <w:r>
        <w:rPr>
          <w:bCs/>
        </w:rPr>
        <w:t xml:space="preserve">Furthermore, only one measure was employed as a specific comparator: the ATQ, which is intended to measure thoughts typical of depression. </w:t>
      </w:r>
      <w:r w:rsidR="001A4A1A">
        <w:rPr>
          <w:bCs/>
        </w:rPr>
        <w:t>I</w:t>
      </w:r>
      <w:r w:rsidR="00C8127D">
        <w:rPr>
          <w:bCs/>
        </w:rPr>
        <w:t xml:space="preserve">t would be useful to compare the CFQ to a greater </w:t>
      </w:r>
      <w:r w:rsidR="002B1A60">
        <w:rPr>
          <w:bCs/>
        </w:rPr>
        <w:t xml:space="preserve">breadth </w:t>
      </w:r>
      <w:r w:rsidR="00C8127D">
        <w:rPr>
          <w:bCs/>
        </w:rPr>
        <w:t>of measures</w:t>
      </w:r>
      <w:r w:rsidR="001A4A1A">
        <w:rPr>
          <w:bCs/>
        </w:rPr>
        <w:t xml:space="preserve">, </w:t>
      </w:r>
      <w:r w:rsidR="00932E32">
        <w:rPr>
          <w:bCs/>
        </w:rPr>
        <w:t>including</w:t>
      </w:r>
      <w:r w:rsidR="00AD430E">
        <w:rPr>
          <w:bCs/>
        </w:rPr>
        <w:t xml:space="preserve"> </w:t>
      </w:r>
      <w:r w:rsidR="00932E32">
        <w:rPr>
          <w:bCs/>
        </w:rPr>
        <w:t xml:space="preserve">validated </w:t>
      </w:r>
      <w:r w:rsidR="00AD430E">
        <w:rPr>
          <w:bCs/>
        </w:rPr>
        <w:t>measures relevant to specific samples (e.g., beliefs about belongings in hoarding disorder)</w:t>
      </w:r>
      <w:r w:rsidR="002E3F24">
        <w:rPr>
          <w:bCs/>
        </w:rPr>
        <w:t>.</w:t>
      </w:r>
    </w:p>
    <w:p w14:paraId="1BFBCC1A" w14:textId="5490C5CF" w:rsidR="0090220F" w:rsidRPr="00C23CC9" w:rsidRDefault="0090220F" w:rsidP="001912AE">
      <w:pPr>
        <w:spacing w:line="480" w:lineRule="auto"/>
        <w:rPr>
          <w:bCs/>
          <w:i/>
          <w:iCs/>
        </w:rPr>
      </w:pPr>
      <w:r>
        <w:rPr>
          <w:bCs/>
        </w:rPr>
        <w:tab/>
        <w:t xml:space="preserve">Overall, these findings are promising in suggesting that the CFQ adequately measures cognitive fusion distinct from the frequency of negative thoughts. </w:t>
      </w:r>
      <w:r w:rsidR="005B7527">
        <w:rPr>
          <w:bCs/>
        </w:rPr>
        <w:t>Greater confidence can be placed in research that has been conducted with the CFQ</w:t>
      </w:r>
      <w:r w:rsidR="001A13B0">
        <w:rPr>
          <w:bCs/>
        </w:rPr>
        <w:t>.</w:t>
      </w:r>
      <w:r w:rsidR="005B7527">
        <w:rPr>
          <w:bCs/>
        </w:rPr>
        <w:t xml:space="preserve"> More broadly, </w:t>
      </w:r>
      <w:r w:rsidR="001956F1">
        <w:rPr>
          <w:bCs/>
        </w:rPr>
        <w:t>results</w:t>
      </w:r>
      <w:r w:rsidR="00C23CC9">
        <w:rPr>
          <w:bCs/>
        </w:rPr>
        <w:t xml:space="preserve"> </w:t>
      </w:r>
      <w:r w:rsidR="00A554C7">
        <w:rPr>
          <w:bCs/>
        </w:rPr>
        <w:t>suggest</w:t>
      </w:r>
      <w:r w:rsidR="00C23CC9">
        <w:rPr>
          <w:bCs/>
        </w:rPr>
        <w:t xml:space="preserve"> that cognitive processes can be distinguished from cognitive content using self-report measures</w:t>
      </w:r>
      <w:r w:rsidR="001A13B0">
        <w:rPr>
          <w:bCs/>
        </w:rPr>
        <w:t xml:space="preserve">, which is important given recent findings suggesting problems in the discriminant validity of a related measure, the AAQ-II </w:t>
      </w:r>
      <w:r w:rsidR="001A13B0">
        <w:rPr>
          <w:bCs/>
        </w:rPr>
        <w:fldChar w:fldCharType="begin" w:fldLock="1"/>
      </w:r>
      <w:r w:rsidR="001C4A5E">
        <w:rPr>
          <w:bCs/>
        </w:rPr>
        <w:instrText>ADDIN CSL_CITATION {"citationItems":[{"id":"ITEM-1","itemData":{"DOI":"https://doi.org/10.1016/j.jcbs.2018.09.005","ISSN":"2212-1447","abstract":"Psychological inflexibility and experiential avoidance are key constructs in the Acceptance and Commitment Therapy (ACT) model of behavior change. Wolgast (2014) questioned the construct validity of the Acceptance and Action Questionnaire-II (AAQ-II), the most used self-report instrument to assess the efficacy of ACT interventions. Wolgast suggested that the AAQ-II measured psychological distress rather than psychological inflexibility and experiential avoidance. The current study further examined the construct validity of the AAQ-II by conducting an online cross-sectional survey (n = 524), including separate measures of experiential avoidance and psychological distress. Confirmatory factor analyses indicated that items from the AAQ-II correlated more highly with measures of depression, anxiety, and stress than the Brief Experiential Avoidance Questionnaire (BEAQ). Implications include that, as broad measures of experiential avoidance, the AAQ-II and BEAQ may not measure the same construct. In terms of psychological distress, the BEAQ has greater discriminant validity than the AAQ-II, and perhaps an alternative instrument of psychological inflexibility might be needed to assess core outcomes in ACT intervention research.","author":[{"dropping-particle":"","family":"Tyndall","given":"Ian","non-dropping-particle":"","parse-names":false,"suffix":""},{"dropping-particle":"","family":"Waldeck","given":"Daniel","non-dropping-particle":"","parse-names":false,"suffix":""},{"dropping-particle":"","family":"Pancani","given":"Luca","non-dropping-particle":"","parse-names":false,"suffix":""},{"dropping-particle":"","family":"Whelan","given":"Robert","non-dropping-particle":"","parse-names":false,"suffix":""},{"dropping-particle":"","family":"Roche","given":"Bryan","non-dropping-particle":"","parse-names":false,"suffix":""},{"dropping-particle":"","family":"Dawson","given":"David L","non-dropping-particle":"","parse-names":false,"suffix":""}],"container-title":"Journal of Contextual Behavioral Science","id":"ITEM-1","issued":{"date-parts":[["2019"]]},"page":"278-284","title":"The Acceptance and Action Questionnaire-II (AAQ-II) as a measure of experiential avoidance: Concerns over discriminant validity","type":"article-journal","volume":"12"},"uris":["http://www.mendeley.com/documents/?uuid=b888f6da-f3a2-4a02-afd9-bfeef07e7591"]},{"id":"ITEM-2","itemData":{"DOI":"https://doi.org/10.1016/j.beth.2014.07.002","ISSN":"0005-7894","abstract":"The present study seeks to investigate the extent to which the Acceptance and Action Questionnaire (AAQ-II) is successful in discriminating between experiential avoidance/psychological flexibility on the one hand and the supposed outcomes in terms of psychological well-being of having this trait on the other. This was done using exploratory factor analysis on an item pool containing the AAQ-II items, and items designed for the present study to measure distress and acceptance/non-acceptance, to see what factors are identified and on which factor(s) the AAQ-II items had the highest factor loadings. Interestingly, the analysis found the items of the AAQ-II to be more strongly related to items designed to measure distress than items designed to measure acceptance/nonacceptance with minimal references to functional outcomes. The results of the study are interpreted and discussed in relation to the widespread use of the AAQ in both clinical and scientific contexts and given the centrality of the measure in empirically validating the ACT model of psychopathology and treatment.","author":[{"dropping-particle":"","family":"Wolgast","given":"Martin","non-dropping-particle":"","parse-names":false,"suffix":""}],"container-title":"Behavior Therapy","id":"ITEM-2","issue":"6","issued":{"date-parts":[["2014"]]},"page":"831-839","title":"What does the Acceptance and Action Questionnaire (AAQ-II) really measure?","type":"article-journal","volume":"45"},"uris":["http://www.mendeley.com/documents/?uuid=c0f2a540-fa0b-416e-be47-148ea6647ba5"]}],"mendeley":{"formattedCitation":"(Tyndall et al., 2019; Wolgast, 2014)","plainTextFormattedCitation":"(Tyndall et al., 2019; Wolgast, 2014)","previouslyFormattedCitation":"(Tyndall et al., 2019; Wolgast, 2014)"},"properties":{"noteIndex":0},"schema":"https://github.com/citation-style-language/schema/raw/master/csl-citation.json"}</w:instrText>
      </w:r>
      <w:r w:rsidR="001A13B0">
        <w:rPr>
          <w:bCs/>
        </w:rPr>
        <w:fldChar w:fldCharType="separate"/>
      </w:r>
      <w:r w:rsidR="001A13B0" w:rsidRPr="001A13B0">
        <w:rPr>
          <w:bCs/>
          <w:noProof/>
        </w:rPr>
        <w:t>(Tyndall et al., 2019; Wolgast, 2014)</w:t>
      </w:r>
      <w:r w:rsidR="001A13B0">
        <w:rPr>
          <w:bCs/>
        </w:rPr>
        <w:fldChar w:fldCharType="end"/>
      </w:r>
      <w:r w:rsidR="001A13B0">
        <w:rPr>
          <w:bCs/>
        </w:rPr>
        <w:t>.</w:t>
      </w:r>
    </w:p>
    <w:p w14:paraId="03442192" w14:textId="2F3E3A9E" w:rsidR="00E948B7" w:rsidRDefault="00E948B7" w:rsidP="001D0A94">
      <w:pPr>
        <w:spacing w:line="480" w:lineRule="auto"/>
        <w:rPr>
          <w:b/>
        </w:rPr>
      </w:pPr>
      <w:r>
        <w:rPr>
          <w:b/>
        </w:rPr>
        <w:br w:type="page"/>
      </w:r>
    </w:p>
    <w:p w14:paraId="717F176A" w14:textId="3954BF85" w:rsidR="00462A25" w:rsidRPr="00A829B3" w:rsidRDefault="00462A25" w:rsidP="00891052">
      <w:pPr>
        <w:spacing w:line="480" w:lineRule="auto"/>
        <w:contextualSpacing/>
        <w:jc w:val="center"/>
        <w:rPr>
          <w:b/>
        </w:rPr>
      </w:pPr>
      <w:r w:rsidRPr="00A829B3">
        <w:rPr>
          <w:b/>
        </w:rPr>
        <w:lastRenderedPageBreak/>
        <w:t>References</w:t>
      </w:r>
    </w:p>
    <w:p w14:paraId="6C901A0D" w14:textId="318AEBC3" w:rsidR="00A5790E" w:rsidRPr="00A5790E" w:rsidRDefault="00971AA7" w:rsidP="00A5790E">
      <w:pPr>
        <w:widowControl w:val="0"/>
        <w:autoSpaceDE w:val="0"/>
        <w:autoSpaceDN w:val="0"/>
        <w:adjustRightInd w:val="0"/>
        <w:spacing w:line="480" w:lineRule="auto"/>
        <w:ind w:left="480" w:hanging="480"/>
        <w:rPr>
          <w:noProof/>
        </w:rPr>
      </w:pPr>
      <w:r>
        <w:fldChar w:fldCharType="begin" w:fldLock="1"/>
      </w:r>
      <w:r>
        <w:instrText xml:space="preserve">ADDIN Mendeley Bibliography CSL_BIBLIOGRAPHY </w:instrText>
      </w:r>
      <w:r>
        <w:fldChar w:fldCharType="separate"/>
      </w:r>
      <w:r w:rsidR="00A5790E" w:rsidRPr="00A5790E">
        <w:rPr>
          <w:noProof/>
        </w:rPr>
        <w:t xml:space="preserve">Arch, J. J., Wolitzky-Taylor, K. B., Eifert, G. H., &amp; Craske, M. G. (2012). Longitudinal treatment mediation of traditional cognitive behavioral therapy and acceptance and commitment therapy for anxiety disorders. </w:t>
      </w:r>
      <w:r w:rsidR="00A5790E" w:rsidRPr="00A5790E">
        <w:rPr>
          <w:i/>
          <w:iCs/>
          <w:noProof/>
        </w:rPr>
        <w:t>Behaviour Research and Therapy</w:t>
      </w:r>
      <w:r w:rsidR="00A5790E" w:rsidRPr="00A5790E">
        <w:rPr>
          <w:noProof/>
        </w:rPr>
        <w:t xml:space="preserve">, </w:t>
      </w:r>
      <w:r w:rsidR="00A5790E" w:rsidRPr="00A5790E">
        <w:rPr>
          <w:i/>
          <w:iCs/>
          <w:noProof/>
        </w:rPr>
        <w:t>50</w:t>
      </w:r>
      <w:r w:rsidR="00A5790E" w:rsidRPr="00A5790E">
        <w:rPr>
          <w:noProof/>
        </w:rPr>
        <w:t>, 469–478. https://doi.org/10.1016/j.brat.2012.04.007</w:t>
      </w:r>
    </w:p>
    <w:p w14:paraId="6F444EBE"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Bardeen, J. R., &amp; Fergus, T. A. (2016). The interactive effect of cognitive fusion and experiential avoidance on anxiety, depression, stress and posttraumatic stress symptoms. </w:t>
      </w:r>
      <w:r w:rsidRPr="00A5790E">
        <w:rPr>
          <w:i/>
          <w:iCs/>
          <w:noProof/>
        </w:rPr>
        <w:t>Journal of Contextual Behavioral Science</w:t>
      </w:r>
      <w:r w:rsidRPr="00A5790E">
        <w:rPr>
          <w:noProof/>
        </w:rPr>
        <w:t xml:space="preserve">, </w:t>
      </w:r>
      <w:r w:rsidRPr="00A5790E">
        <w:rPr>
          <w:i/>
          <w:iCs/>
          <w:noProof/>
        </w:rPr>
        <w:t>5</w:t>
      </w:r>
      <w:r w:rsidRPr="00A5790E">
        <w:rPr>
          <w:noProof/>
        </w:rPr>
        <w:t>, 1–6. https://doi.org/10.1016/j.jcbs.2016.02.002</w:t>
      </w:r>
    </w:p>
    <w:p w14:paraId="1D763445"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Bodenlos, J. S., Hawes, E. S., Burstein, S. M., &amp; Arroyo, K. M. (2020). Association of cognitive fusion with domains of health. </w:t>
      </w:r>
      <w:r w:rsidRPr="00A5790E">
        <w:rPr>
          <w:i/>
          <w:iCs/>
          <w:noProof/>
        </w:rPr>
        <w:t>Journal of Contextual Behavioral Science</w:t>
      </w:r>
      <w:r w:rsidRPr="00A5790E">
        <w:rPr>
          <w:noProof/>
        </w:rPr>
        <w:t xml:space="preserve">, </w:t>
      </w:r>
      <w:r w:rsidRPr="00A5790E">
        <w:rPr>
          <w:i/>
          <w:iCs/>
          <w:noProof/>
        </w:rPr>
        <w:t>18</w:t>
      </w:r>
      <w:r w:rsidRPr="00A5790E">
        <w:rPr>
          <w:noProof/>
        </w:rPr>
        <w:t>, 9–15. http://10.0.3.248/j.jcbs.2020.08.001</w:t>
      </w:r>
    </w:p>
    <w:p w14:paraId="5ABFE9F8"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Carvalho, S. A., Trindade, I. A., Gillanders, D., Pinto-Gouveia, J., &amp; Castilho, P. (2019). Cognitive fusion and depressive symptoms in women with chronic pain: A longitudinal growth curve modelling study over 12 months. </w:t>
      </w:r>
      <w:r w:rsidRPr="00A5790E">
        <w:rPr>
          <w:i/>
          <w:iCs/>
          <w:noProof/>
        </w:rPr>
        <w:t>Clinical Psychology and Psychotherapy</w:t>
      </w:r>
      <w:r w:rsidRPr="00A5790E">
        <w:rPr>
          <w:noProof/>
        </w:rPr>
        <w:t xml:space="preserve">, </w:t>
      </w:r>
      <w:r w:rsidRPr="00A5790E">
        <w:rPr>
          <w:i/>
          <w:iCs/>
          <w:noProof/>
        </w:rPr>
        <w:t>26</w:t>
      </w:r>
      <w:r w:rsidRPr="00A5790E">
        <w:rPr>
          <w:noProof/>
        </w:rPr>
        <w:t>(5), 616–625. https://doi.org/10.1002/cpp.2386</w:t>
      </w:r>
    </w:p>
    <w:p w14:paraId="0F7FC40F"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Center for Collegiate Mental Health. (2012). </w:t>
      </w:r>
      <w:r w:rsidRPr="00A5790E">
        <w:rPr>
          <w:i/>
          <w:iCs/>
          <w:noProof/>
        </w:rPr>
        <w:t>CCAPS 2012 Technical Manual</w:t>
      </w:r>
      <w:r w:rsidRPr="00A5790E">
        <w:rPr>
          <w:noProof/>
        </w:rPr>
        <w:t>. Pennsylvania State University.</w:t>
      </w:r>
    </w:p>
    <w:p w14:paraId="33913BAE"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Cristea, I. A., Montgomery, G. H., Szamoskozi, Ş., &amp; David, D. (2013). Key constructs in “classical” and “new wave” cognitive behavioral psychotherapies: Relationships among each other and with emotional distress. </w:t>
      </w:r>
      <w:r w:rsidRPr="00A5790E">
        <w:rPr>
          <w:i/>
          <w:iCs/>
          <w:noProof/>
        </w:rPr>
        <w:t>Journal of Clinical Psychology</w:t>
      </w:r>
      <w:r w:rsidRPr="00A5790E">
        <w:rPr>
          <w:noProof/>
        </w:rPr>
        <w:t xml:space="preserve">, </w:t>
      </w:r>
      <w:r w:rsidRPr="00A5790E">
        <w:rPr>
          <w:i/>
          <w:iCs/>
          <w:noProof/>
        </w:rPr>
        <w:t>69</w:t>
      </w:r>
      <w:r w:rsidRPr="00A5790E">
        <w:rPr>
          <w:noProof/>
        </w:rPr>
        <w:t>(6), 584–599. https://doi.org/10.1002/jclp.21976</w:t>
      </w:r>
    </w:p>
    <w:p w14:paraId="65AB5FF2"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Deacon, B. J., Fawzy, T. I., Lickel, J. J., &amp; Wolitzky-Taylor, K. B. (2011). Cognitive defusion versus cognitive restructuring in the treatment of negative self-referential thoughts: An </w:t>
      </w:r>
      <w:r w:rsidRPr="00A5790E">
        <w:rPr>
          <w:noProof/>
        </w:rPr>
        <w:lastRenderedPageBreak/>
        <w:t xml:space="preserve">investigation of process and outcome. </w:t>
      </w:r>
      <w:r w:rsidRPr="00A5790E">
        <w:rPr>
          <w:i/>
          <w:iCs/>
          <w:noProof/>
        </w:rPr>
        <w:t>Journal of Cognitive Psychotherapy</w:t>
      </w:r>
      <w:r w:rsidRPr="00A5790E">
        <w:rPr>
          <w:noProof/>
        </w:rPr>
        <w:t xml:space="preserve">, </w:t>
      </w:r>
      <w:r w:rsidRPr="00A5790E">
        <w:rPr>
          <w:i/>
          <w:iCs/>
          <w:noProof/>
        </w:rPr>
        <w:t>25</w:t>
      </w:r>
      <w:r w:rsidRPr="00A5790E">
        <w:rPr>
          <w:noProof/>
        </w:rPr>
        <w:t>, 218–232. https://doi.org/10.1891/0889-8391.25.3.218</w:t>
      </w:r>
    </w:p>
    <w:p w14:paraId="7A8CA9AB"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Enders, C. K. (2011). Analyzing longitudinal data with missing values. </w:t>
      </w:r>
      <w:r w:rsidRPr="00A5790E">
        <w:rPr>
          <w:i/>
          <w:iCs/>
          <w:noProof/>
        </w:rPr>
        <w:t>Rehabilitation Psychology</w:t>
      </w:r>
      <w:r w:rsidRPr="00A5790E">
        <w:rPr>
          <w:noProof/>
        </w:rPr>
        <w:t xml:space="preserve">, </w:t>
      </w:r>
      <w:r w:rsidRPr="00A5790E">
        <w:rPr>
          <w:i/>
          <w:iCs/>
          <w:noProof/>
        </w:rPr>
        <w:t>56</w:t>
      </w:r>
      <w:r w:rsidRPr="00A5790E">
        <w:rPr>
          <w:noProof/>
        </w:rPr>
        <w:t>(4), 267–288. https://doi.org/10.1037/a0025579</w:t>
      </w:r>
    </w:p>
    <w:p w14:paraId="0155EE66"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Faul, F., Erdfelder, E., Lang, A.-G., &amp; Buchner, A. (2007). G*Power 3: A flexible statistical power analysis program for the social, behavioral, and biomedical sciences. </w:t>
      </w:r>
      <w:r w:rsidRPr="00A5790E">
        <w:rPr>
          <w:i/>
          <w:iCs/>
          <w:noProof/>
        </w:rPr>
        <w:t>Behavior Research Methods</w:t>
      </w:r>
      <w:r w:rsidRPr="00A5790E">
        <w:rPr>
          <w:noProof/>
        </w:rPr>
        <w:t xml:space="preserve">, </w:t>
      </w:r>
      <w:r w:rsidRPr="00A5790E">
        <w:rPr>
          <w:i/>
          <w:iCs/>
          <w:noProof/>
        </w:rPr>
        <w:t>39</w:t>
      </w:r>
      <w:r w:rsidRPr="00A5790E">
        <w:rPr>
          <w:noProof/>
        </w:rPr>
        <w:t>, 175–191. https://doi.org/10.3758/BF03193146</w:t>
      </w:r>
    </w:p>
    <w:p w14:paraId="58A77A79"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Ferreira, C., Palmeira, L., &amp; Trindade, I. a. (2014). Turning eating psychopathology risk factors into action. The pervasive effect of body image-related cognitive fusion. </w:t>
      </w:r>
      <w:r w:rsidRPr="00A5790E">
        <w:rPr>
          <w:i/>
          <w:iCs/>
          <w:noProof/>
        </w:rPr>
        <w:t>Appetite</w:t>
      </w:r>
      <w:r w:rsidRPr="00A5790E">
        <w:rPr>
          <w:noProof/>
        </w:rPr>
        <w:t xml:space="preserve">, </w:t>
      </w:r>
      <w:r w:rsidRPr="00A5790E">
        <w:rPr>
          <w:i/>
          <w:iCs/>
          <w:noProof/>
        </w:rPr>
        <w:t>80</w:t>
      </w:r>
      <w:r w:rsidRPr="00A5790E">
        <w:rPr>
          <w:noProof/>
        </w:rPr>
        <w:t>, 137–142. https://doi.org/10.1016/j.appet.2014.05.019</w:t>
      </w:r>
    </w:p>
    <w:p w14:paraId="2C124F5F"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Ferreira, C., Trindade, I. a, Duarte, C., &amp; Pinto-Gouveia, J. (2015). Getting entangled with body image: Development and validation of a new measure. </w:t>
      </w:r>
      <w:r w:rsidRPr="00A5790E">
        <w:rPr>
          <w:i/>
          <w:iCs/>
          <w:noProof/>
        </w:rPr>
        <w:t>Psychology and Psychotherapy</w:t>
      </w:r>
      <w:r w:rsidRPr="00A5790E">
        <w:rPr>
          <w:noProof/>
        </w:rPr>
        <w:t>, 1–13. https://doi.org/10.1111/papt.12047</w:t>
      </w:r>
    </w:p>
    <w:p w14:paraId="557BC587"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Floyd, F. J., &amp; Widaman, K. F. (1995). Factor analysis in the development and refinement of clinical assessment instruments. </w:t>
      </w:r>
      <w:r w:rsidRPr="00A5790E">
        <w:rPr>
          <w:i/>
          <w:iCs/>
          <w:noProof/>
        </w:rPr>
        <w:t>Psychological Assessment</w:t>
      </w:r>
      <w:r w:rsidRPr="00A5790E">
        <w:rPr>
          <w:noProof/>
        </w:rPr>
        <w:t xml:space="preserve">, </w:t>
      </w:r>
      <w:r w:rsidRPr="00A5790E">
        <w:rPr>
          <w:i/>
          <w:iCs/>
          <w:noProof/>
        </w:rPr>
        <w:t>7</w:t>
      </w:r>
      <w:r w:rsidRPr="00A5790E">
        <w:rPr>
          <w:noProof/>
        </w:rPr>
        <w:t>, 286–299. https://doi.org/10.1037/1040-3590.7.3.286</w:t>
      </w:r>
    </w:p>
    <w:p w14:paraId="0855B9F7"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Francis, A. W., Dawson, D. L., &amp; Golijani-Moghaddam, N. (2016). The development and validation of the Comprehensive assessment of Acceptance and Commitment Therapy processes (CompACT). </w:t>
      </w:r>
      <w:r w:rsidRPr="00A5790E">
        <w:rPr>
          <w:i/>
          <w:iCs/>
          <w:noProof/>
        </w:rPr>
        <w:t>Journal of Contextual Behavioral Science</w:t>
      </w:r>
      <w:r w:rsidRPr="00A5790E">
        <w:rPr>
          <w:noProof/>
        </w:rPr>
        <w:t xml:space="preserve">, </w:t>
      </w:r>
      <w:r w:rsidRPr="00A5790E">
        <w:rPr>
          <w:i/>
          <w:iCs/>
          <w:noProof/>
        </w:rPr>
        <w:t>5</w:t>
      </w:r>
      <w:r w:rsidRPr="00A5790E">
        <w:rPr>
          <w:noProof/>
        </w:rPr>
        <w:t>, 134–145. https://doi.org/10.1016/j.jcbs.2016.05.003</w:t>
      </w:r>
    </w:p>
    <w:p w14:paraId="5BCBFE1D"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Gaudiano, B. A., Herbert, J. D., &amp; Hayes, S. C. (2010). Is it the symptom or the relation to it? Investigating potential mediators of change in acceptance and commitment therapy for psychosis. </w:t>
      </w:r>
      <w:r w:rsidRPr="00A5790E">
        <w:rPr>
          <w:i/>
          <w:iCs/>
          <w:noProof/>
        </w:rPr>
        <w:t>Behavior Therapy</w:t>
      </w:r>
      <w:r w:rsidRPr="00A5790E">
        <w:rPr>
          <w:noProof/>
        </w:rPr>
        <w:t xml:space="preserve">, </w:t>
      </w:r>
      <w:r w:rsidRPr="00A5790E">
        <w:rPr>
          <w:i/>
          <w:iCs/>
          <w:noProof/>
        </w:rPr>
        <w:t>41</w:t>
      </w:r>
      <w:r w:rsidRPr="00A5790E">
        <w:rPr>
          <w:noProof/>
        </w:rPr>
        <w:t>(4), 543–554. https://doi.org/10.1007/978-94-007-7696-</w:t>
      </w:r>
      <w:r w:rsidRPr="00A5790E">
        <w:rPr>
          <w:noProof/>
        </w:rPr>
        <w:lastRenderedPageBreak/>
        <w:t>8_51</w:t>
      </w:r>
    </w:p>
    <w:p w14:paraId="3BE08004"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Gillanders, D. T., Bolderston, H., Bond, F. W., Dempster, M., Flaxman, P. E., Campbell, L., Kerr, S., Tansey, L., Noel, P., Ferenbach, C., Masley, S., Roach, L., Lloyd, J., May, L., Clarke, S., &amp; Remington, B. (2014). The development and initial validation of the Cognitive Fusion Questionnaire. </w:t>
      </w:r>
      <w:r w:rsidRPr="00A5790E">
        <w:rPr>
          <w:i/>
          <w:iCs/>
          <w:noProof/>
        </w:rPr>
        <w:t>Behavior Therapy</w:t>
      </w:r>
      <w:r w:rsidRPr="00A5790E">
        <w:rPr>
          <w:noProof/>
        </w:rPr>
        <w:t xml:space="preserve">, </w:t>
      </w:r>
      <w:r w:rsidRPr="00A5790E">
        <w:rPr>
          <w:i/>
          <w:iCs/>
          <w:noProof/>
        </w:rPr>
        <w:t>45</w:t>
      </w:r>
      <w:r w:rsidRPr="00A5790E">
        <w:rPr>
          <w:noProof/>
        </w:rPr>
        <w:t>(1), 83–101. https://doi.org/10.1016/j.beth.2013.09.001</w:t>
      </w:r>
    </w:p>
    <w:p w14:paraId="2E9BFF5B"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Hayes, S. C., Strosahl, K., &amp; Wilson, K. G. (2012). </w:t>
      </w:r>
      <w:r w:rsidRPr="00A5790E">
        <w:rPr>
          <w:i/>
          <w:iCs/>
          <w:noProof/>
        </w:rPr>
        <w:t>Acceptance and commitment therapy: The process and practice of mindful change</w:t>
      </w:r>
      <w:r w:rsidRPr="00A5790E">
        <w:rPr>
          <w:noProof/>
        </w:rPr>
        <w:t xml:space="preserve"> (2nd ed.). Guilford Press.</w:t>
      </w:r>
    </w:p>
    <w:p w14:paraId="31A02119"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Herzberg, K. N., Sheppard, S. C., Forsyth, J. P., Credé, M., Earleywine, M., &amp; Eifert, G. H. (2012). The Believability of Anxious Feelings and Thoughts Questionnaire (BAFT): a psychometric evaluation of cognitive fusion in a nonclinical and highly anxious community sample. </w:t>
      </w:r>
      <w:r w:rsidRPr="00A5790E">
        <w:rPr>
          <w:i/>
          <w:iCs/>
          <w:noProof/>
        </w:rPr>
        <w:t>Psychological Assessment</w:t>
      </w:r>
      <w:r w:rsidRPr="00A5790E">
        <w:rPr>
          <w:noProof/>
        </w:rPr>
        <w:t xml:space="preserve">, </w:t>
      </w:r>
      <w:r w:rsidRPr="00A5790E">
        <w:rPr>
          <w:i/>
          <w:iCs/>
          <w:noProof/>
        </w:rPr>
        <w:t>24</w:t>
      </w:r>
      <w:r w:rsidRPr="00A5790E">
        <w:rPr>
          <w:noProof/>
        </w:rPr>
        <w:t>(4), 877–891. https://doi.org/10.1037/a0027782</w:t>
      </w:r>
    </w:p>
    <w:p w14:paraId="67228A28"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Hofmann, S. G., &amp; Hayes, S. C. (2018). The future of intervention science: Process-based therapy. </w:t>
      </w:r>
      <w:r w:rsidRPr="00A5790E">
        <w:rPr>
          <w:i/>
          <w:iCs/>
          <w:noProof/>
        </w:rPr>
        <w:t>Clinical Psychological Science</w:t>
      </w:r>
      <w:r w:rsidRPr="00A5790E">
        <w:rPr>
          <w:noProof/>
        </w:rPr>
        <w:t xml:space="preserve">, </w:t>
      </w:r>
      <w:r w:rsidRPr="00A5790E">
        <w:rPr>
          <w:i/>
          <w:iCs/>
          <w:noProof/>
        </w:rPr>
        <w:t>7</w:t>
      </w:r>
      <w:r w:rsidRPr="00A5790E">
        <w:rPr>
          <w:noProof/>
        </w:rPr>
        <w:t>, 37–50. https://doi.org/10.1177/2167702618772296</w:t>
      </w:r>
    </w:p>
    <w:p w14:paraId="331B04B6"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Hollon, S. D., &amp; Kendall, P. C. (1980). Cognitive self-statements in depression: Development of an automatic thoughts questionnaire. </w:t>
      </w:r>
      <w:r w:rsidRPr="00A5790E">
        <w:rPr>
          <w:i/>
          <w:iCs/>
          <w:noProof/>
        </w:rPr>
        <w:t>Cognitive Therapy and Research</w:t>
      </w:r>
      <w:r w:rsidRPr="00A5790E">
        <w:rPr>
          <w:noProof/>
        </w:rPr>
        <w:t xml:space="preserve">, </w:t>
      </w:r>
      <w:r w:rsidRPr="00A5790E">
        <w:rPr>
          <w:i/>
          <w:iCs/>
          <w:noProof/>
        </w:rPr>
        <w:t>4</w:t>
      </w:r>
      <w:r w:rsidRPr="00A5790E">
        <w:rPr>
          <w:noProof/>
        </w:rPr>
        <w:t>(4), 383–395. https://doi.org/10.1007/BF01178214</w:t>
      </w:r>
    </w:p>
    <w:p w14:paraId="2E908E57"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Krafft, J., Haeger, J. A., &amp; Levin, M. E. (2019). Comparing cognitive fusion and cognitive reappraisal as predictors of college student mental health. </w:t>
      </w:r>
      <w:r w:rsidRPr="00A5790E">
        <w:rPr>
          <w:i/>
          <w:iCs/>
          <w:noProof/>
        </w:rPr>
        <w:t>Cognitive Behaviour Therapy</w:t>
      </w:r>
      <w:r w:rsidRPr="00A5790E">
        <w:rPr>
          <w:noProof/>
        </w:rPr>
        <w:t xml:space="preserve">, </w:t>
      </w:r>
      <w:r w:rsidRPr="00A5790E">
        <w:rPr>
          <w:i/>
          <w:iCs/>
          <w:noProof/>
        </w:rPr>
        <w:t>48</w:t>
      </w:r>
      <w:r w:rsidRPr="00A5790E">
        <w:rPr>
          <w:noProof/>
        </w:rPr>
        <w:t>(3). https://doi.org/10.1080/16506073.2018.1513556</w:t>
      </w:r>
    </w:p>
    <w:p w14:paraId="7AB1595F"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Levin, M. E., Hildebrandt, M. J., Lillis, J., &amp; Hayes, S. C. (2012). The impact of treatment components suggested by the psychological flexibility model: A meta-analysis of </w:t>
      </w:r>
      <w:r w:rsidRPr="00A5790E">
        <w:rPr>
          <w:noProof/>
        </w:rPr>
        <w:lastRenderedPageBreak/>
        <w:t xml:space="preserve">laboratory-based component studies. </w:t>
      </w:r>
      <w:r w:rsidRPr="00A5790E">
        <w:rPr>
          <w:i/>
          <w:iCs/>
          <w:noProof/>
        </w:rPr>
        <w:t>Behavior Therapy</w:t>
      </w:r>
      <w:r w:rsidRPr="00A5790E">
        <w:rPr>
          <w:noProof/>
        </w:rPr>
        <w:t xml:space="preserve">, </w:t>
      </w:r>
      <w:r w:rsidRPr="00A5790E">
        <w:rPr>
          <w:i/>
          <w:iCs/>
          <w:noProof/>
        </w:rPr>
        <w:t>43</w:t>
      </w:r>
      <w:r w:rsidRPr="00A5790E">
        <w:rPr>
          <w:noProof/>
        </w:rPr>
        <w:t>(4), 741–756. https://doi.org/10.1016/j.beth.2012.05.003</w:t>
      </w:r>
    </w:p>
    <w:p w14:paraId="00BE9371"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Little, R. J. A. (1988). A test of missing completely at random for multivariate data with missing values. </w:t>
      </w:r>
      <w:r w:rsidRPr="00A5790E">
        <w:rPr>
          <w:i/>
          <w:iCs/>
          <w:noProof/>
        </w:rPr>
        <w:t>Journal of the American Statistical Association</w:t>
      </w:r>
      <w:r w:rsidRPr="00A5790E">
        <w:rPr>
          <w:noProof/>
        </w:rPr>
        <w:t xml:space="preserve">, </w:t>
      </w:r>
      <w:r w:rsidRPr="00A5790E">
        <w:rPr>
          <w:i/>
          <w:iCs/>
          <w:noProof/>
        </w:rPr>
        <w:t>83</w:t>
      </w:r>
      <w:r w:rsidRPr="00A5790E">
        <w:rPr>
          <w:noProof/>
        </w:rPr>
        <w:t>(404), 1198–1202. https://doi.org/10.1080/01621459.1988.10478722</w:t>
      </w:r>
    </w:p>
    <w:p w14:paraId="2A2B0854"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Locke, B. D., McAleavey, A. a., Zhao, Y., Lei, P.-W., Hayes, J. A., Castonguay, L. G., Li, H., Tate, R., &amp; Lin, Y.-C. (2012). Development and initial validation of the Counseling Center Assessment of Psychological Symptoms-34. </w:t>
      </w:r>
      <w:r w:rsidRPr="00A5790E">
        <w:rPr>
          <w:i/>
          <w:iCs/>
          <w:noProof/>
        </w:rPr>
        <w:t>Measurement and Evaluation in Counseling and Development</w:t>
      </w:r>
      <w:r w:rsidRPr="00A5790E">
        <w:rPr>
          <w:noProof/>
        </w:rPr>
        <w:t xml:space="preserve">, </w:t>
      </w:r>
      <w:r w:rsidRPr="00A5790E">
        <w:rPr>
          <w:i/>
          <w:iCs/>
          <w:noProof/>
        </w:rPr>
        <w:t>45</w:t>
      </w:r>
      <w:r w:rsidRPr="00A5790E">
        <w:rPr>
          <w:noProof/>
        </w:rPr>
        <w:t>, 151–169. https://doi.org/10.1177/0748175611432642</w:t>
      </w:r>
    </w:p>
    <w:p w14:paraId="4FEB53C9"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O’Brien, R. M. (2007). A caution regarding rules of thumb for variance inflation factors. </w:t>
      </w:r>
      <w:r w:rsidRPr="00A5790E">
        <w:rPr>
          <w:i/>
          <w:iCs/>
          <w:noProof/>
        </w:rPr>
        <w:t>Quality and Quantity</w:t>
      </w:r>
      <w:r w:rsidRPr="00A5790E">
        <w:rPr>
          <w:noProof/>
        </w:rPr>
        <w:t xml:space="preserve">, </w:t>
      </w:r>
      <w:r w:rsidRPr="00A5790E">
        <w:rPr>
          <w:i/>
          <w:iCs/>
          <w:noProof/>
        </w:rPr>
        <w:t>41</w:t>
      </w:r>
      <w:r w:rsidRPr="00A5790E">
        <w:rPr>
          <w:noProof/>
        </w:rPr>
        <w:t>(5), 673–690. https://doi.org/10.1007/s11135-006-9018-6</w:t>
      </w:r>
    </w:p>
    <w:p w14:paraId="11FA2020"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Rochefort, C., Baldwin, A. S., &amp; Chmielewski, M. (2018). Experiential avoidance: An examination of the construct validity of the AAQ-II and MEAQ. </w:t>
      </w:r>
      <w:r w:rsidRPr="00A5790E">
        <w:rPr>
          <w:i/>
          <w:iCs/>
          <w:noProof/>
        </w:rPr>
        <w:t>Behavior Therapy</w:t>
      </w:r>
      <w:r w:rsidRPr="00A5790E">
        <w:rPr>
          <w:noProof/>
        </w:rPr>
        <w:t xml:space="preserve">, </w:t>
      </w:r>
      <w:r w:rsidRPr="00A5790E">
        <w:rPr>
          <w:i/>
          <w:iCs/>
          <w:noProof/>
        </w:rPr>
        <w:t>49</w:t>
      </w:r>
      <w:r w:rsidRPr="00A5790E">
        <w:rPr>
          <w:noProof/>
        </w:rPr>
        <w:t>, 435–449. https://doi.org/10.1016/j.beth.2017.08.008</w:t>
      </w:r>
    </w:p>
    <w:p w14:paraId="2FD8DF2A"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Tyndall, I., Waldeck, D., Pancani, L., Whelan, R., Roche, B., &amp; Dawson, D. L. (2019). The Acceptance and Action Questionnaire-II (AAQ-II) as a measure of experiential avoidance: Concerns over discriminant validity. </w:t>
      </w:r>
      <w:r w:rsidRPr="00A5790E">
        <w:rPr>
          <w:i/>
          <w:iCs/>
          <w:noProof/>
        </w:rPr>
        <w:t>Journal of Contextual Behavioral Science</w:t>
      </w:r>
      <w:r w:rsidRPr="00A5790E">
        <w:rPr>
          <w:noProof/>
        </w:rPr>
        <w:t xml:space="preserve">, </w:t>
      </w:r>
      <w:r w:rsidRPr="00A5790E">
        <w:rPr>
          <w:i/>
          <w:iCs/>
          <w:noProof/>
        </w:rPr>
        <w:t>12</w:t>
      </w:r>
      <w:r w:rsidRPr="00A5790E">
        <w:rPr>
          <w:noProof/>
        </w:rPr>
        <w:t>, 278–284. https://doi.org/https://doi.org/10.1016/j.jcbs.2018.09.005</w:t>
      </w:r>
    </w:p>
    <w:p w14:paraId="2DF6088E"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van Buuren, S., &amp; Groothuis-Oudshoorn, K. (2011). MICE: Multivariate imputation by chained equations in R. </w:t>
      </w:r>
      <w:r w:rsidRPr="00A5790E">
        <w:rPr>
          <w:i/>
          <w:iCs/>
          <w:noProof/>
        </w:rPr>
        <w:t>Journal of Statistical Software</w:t>
      </w:r>
      <w:r w:rsidRPr="00A5790E">
        <w:rPr>
          <w:noProof/>
        </w:rPr>
        <w:t xml:space="preserve">, </w:t>
      </w:r>
      <w:r w:rsidRPr="00A5790E">
        <w:rPr>
          <w:i/>
          <w:iCs/>
          <w:noProof/>
        </w:rPr>
        <w:t>45</w:t>
      </w:r>
      <w:r w:rsidRPr="00A5790E">
        <w:rPr>
          <w:noProof/>
        </w:rPr>
        <w:t>. https://doi.org/10.1080/10580530.2013.739883</w:t>
      </w:r>
    </w:p>
    <w:p w14:paraId="52B2EF33"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Wolgast, M. (2014). What does the Acceptance and Action Questionnaire (AAQ-II) really measure? </w:t>
      </w:r>
      <w:r w:rsidRPr="00A5790E">
        <w:rPr>
          <w:i/>
          <w:iCs/>
          <w:noProof/>
        </w:rPr>
        <w:t>Behavior Therapy</w:t>
      </w:r>
      <w:r w:rsidRPr="00A5790E">
        <w:rPr>
          <w:noProof/>
        </w:rPr>
        <w:t xml:space="preserve">, </w:t>
      </w:r>
      <w:r w:rsidRPr="00A5790E">
        <w:rPr>
          <w:i/>
          <w:iCs/>
          <w:noProof/>
        </w:rPr>
        <w:t>45</w:t>
      </w:r>
      <w:r w:rsidRPr="00A5790E">
        <w:rPr>
          <w:noProof/>
        </w:rPr>
        <w:t xml:space="preserve">(6), 831–839. </w:t>
      </w:r>
      <w:r w:rsidRPr="00A5790E">
        <w:rPr>
          <w:noProof/>
        </w:rPr>
        <w:lastRenderedPageBreak/>
        <w:t>https://doi.org/https://doi.org/10.1016/j.beth.2014.07.002</w:t>
      </w:r>
    </w:p>
    <w:p w14:paraId="358F5989" w14:textId="77777777" w:rsidR="00A5790E" w:rsidRPr="00A5790E" w:rsidRDefault="00A5790E" w:rsidP="00A5790E">
      <w:pPr>
        <w:widowControl w:val="0"/>
        <w:autoSpaceDE w:val="0"/>
        <w:autoSpaceDN w:val="0"/>
        <w:adjustRightInd w:val="0"/>
        <w:spacing w:line="480" w:lineRule="auto"/>
        <w:ind w:left="480" w:hanging="480"/>
        <w:rPr>
          <w:noProof/>
        </w:rPr>
      </w:pPr>
      <w:r w:rsidRPr="00A5790E">
        <w:rPr>
          <w:noProof/>
        </w:rPr>
        <w:t xml:space="preserve">Zettle, R. D., Rains, J. C., &amp; Hayes, S. C. (2011). Processes of change in acceptance and commitment therapy and cognitive therapy for depression: a mediation reanalysis of Zettle and Rains. </w:t>
      </w:r>
      <w:r w:rsidRPr="00A5790E">
        <w:rPr>
          <w:i/>
          <w:iCs/>
          <w:noProof/>
        </w:rPr>
        <w:t>Behavior Modification</w:t>
      </w:r>
      <w:r w:rsidRPr="00A5790E">
        <w:rPr>
          <w:noProof/>
        </w:rPr>
        <w:t xml:space="preserve">, </w:t>
      </w:r>
      <w:r w:rsidRPr="00A5790E">
        <w:rPr>
          <w:i/>
          <w:iCs/>
          <w:noProof/>
        </w:rPr>
        <w:t>35</w:t>
      </w:r>
      <w:r w:rsidRPr="00A5790E">
        <w:rPr>
          <w:noProof/>
        </w:rPr>
        <w:t>(3), 265–283. https://doi.org/10.1177/0145445511398344</w:t>
      </w:r>
    </w:p>
    <w:p w14:paraId="4839E0B3" w14:textId="576AA6B9" w:rsidR="007567AF" w:rsidRDefault="00971AA7" w:rsidP="00A5790E">
      <w:pPr>
        <w:widowControl w:val="0"/>
        <w:autoSpaceDE w:val="0"/>
        <w:autoSpaceDN w:val="0"/>
        <w:adjustRightInd w:val="0"/>
        <w:spacing w:line="480" w:lineRule="auto"/>
        <w:ind w:left="480" w:hanging="480"/>
      </w:pPr>
      <w:r>
        <w:fldChar w:fldCharType="end"/>
      </w:r>
    </w:p>
    <w:p w14:paraId="6C5DAD67" w14:textId="77777777" w:rsidR="007567AF" w:rsidRDefault="007567AF">
      <w:pPr>
        <w:spacing w:after="160" w:line="259" w:lineRule="auto"/>
      </w:pPr>
      <w:r>
        <w:br w:type="page"/>
      </w:r>
    </w:p>
    <w:p w14:paraId="6724C0D9" w14:textId="77777777" w:rsidR="007567AF" w:rsidRDefault="007567AF" w:rsidP="007C15E3">
      <w:pPr>
        <w:widowControl w:val="0"/>
        <w:autoSpaceDE w:val="0"/>
        <w:autoSpaceDN w:val="0"/>
        <w:adjustRightInd w:val="0"/>
        <w:spacing w:line="480" w:lineRule="auto"/>
        <w:ind w:left="480" w:hanging="480"/>
        <w:rPr>
          <w:b/>
          <w:bCs/>
        </w:rPr>
      </w:pPr>
      <w:r>
        <w:rPr>
          <w:b/>
          <w:bCs/>
        </w:rPr>
        <w:lastRenderedPageBreak/>
        <w:t>Table 1</w:t>
      </w:r>
    </w:p>
    <w:p w14:paraId="199FBF91" w14:textId="28C3F5B9" w:rsidR="007567AF" w:rsidRDefault="007567AF" w:rsidP="007C15E3">
      <w:pPr>
        <w:widowControl w:val="0"/>
        <w:autoSpaceDE w:val="0"/>
        <w:autoSpaceDN w:val="0"/>
        <w:adjustRightInd w:val="0"/>
        <w:spacing w:line="480" w:lineRule="auto"/>
        <w:ind w:left="480" w:hanging="480"/>
        <w:rPr>
          <w:i/>
          <w:iCs/>
        </w:rPr>
      </w:pPr>
      <w:r>
        <w:rPr>
          <w:i/>
          <w:iCs/>
        </w:rPr>
        <w:t>Descriptive Statistics for Study Variables at Baseline and Follow-up</w:t>
      </w: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790"/>
        <w:gridCol w:w="1639"/>
        <w:gridCol w:w="1640"/>
        <w:gridCol w:w="968"/>
        <w:gridCol w:w="671"/>
        <w:gridCol w:w="1640"/>
        <w:gridCol w:w="6"/>
        <w:gridCol w:w="6"/>
      </w:tblGrid>
      <w:tr w:rsidR="007567AF" w:rsidRPr="00A01E75" w14:paraId="55F9EC3C" w14:textId="49A703F8" w:rsidTr="00DA6897">
        <w:trPr>
          <w:cantSplit/>
          <w:trHeight w:val="279"/>
        </w:trPr>
        <w:tc>
          <w:tcPr>
            <w:tcW w:w="2790" w:type="dxa"/>
            <w:tcBorders>
              <w:top w:val="single" w:sz="4" w:space="0" w:color="auto"/>
              <w:bottom w:val="nil"/>
            </w:tcBorders>
            <w:shd w:val="clear" w:color="auto" w:fill="auto"/>
            <w:vAlign w:val="center"/>
          </w:tcPr>
          <w:p w14:paraId="6B841CE4" w14:textId="60D230AF" w:rsidR="007567AF" w:rsidRPr="00DA6897" w:rsidRDefault="007567AF" w:rsidP="00397B47">
            <w:pPr>
              <w:jc w:val="center"/>
              <w:rPr>
                <w:u w:val="single"/>
              </w:rPr>
            </w:pPr>
          </w:p>
        </w:tc>
        <w:tc>
          <w:tcPr>
            <w:tcW w:w="4247" w:type="dxa"/>
            <w:gridSpan w:val="3"/>
            <w:tcBorders>
              <w:top w:val="single" w:sz="4" w:space="0" w:color="auto"/>
              <w:bottom w:val="nil"/>
            </w:tcBorders>
            <w:shd w:val="clear" w:color="auto" w:fill="auto"/>
            <w:vAlign w:val="center"/>
          </w:tcPr>
          <w:p w14:paraId="4EFC2D7D" w14:textId="3D08E26E" w:rsidR="007567AF" w:rsidRPr="00A01E75" w:rsidRDefault="007567AF" w:rsidP="00397B47">
            <w:pPr>
              <w:jc w:val="center"/>
            </w:pPr>
            <w:r w:rsidRPr="00DA6897">
              <w:rPr>
                <w:u w:val="single"/>
              </w:rPr>
              <w:t>Baseline</w:t>
            </w:r>
          </w:p>
        </w:tc>
        <w:tc>
          <w:tcPr>
            <w:tcW w:w="2311" w:type="dxa"/>
            <w:gridSpan w:val="2"/>
            <w:tcBorders>
              <w:top w:val="single" w:sz="4" w:space="0" w:color="auto"/>
              <w:bottom w:val="nil"/>
            </w:tcBorders>
            <w:shd w:val="clear" w:color="auto" w:fill="auto"/>
            <w:vAlign w:val="center"/>
          </w:tcPr>
          <w:p w14:paraId="6A9AF6C6" w14:textId="36D4B712" w:rsidR="007567AF" w:rsidRPr="00A01E75" w:rsidRDefault="007567AF" w:rsidP="00397B47">
            <w:pPr>
              <w:jc w:val="center"/>
            </w:pPr>
            <w:r w:rsidRPr="00DA6897">
              <w:rPr>
                <w:u w:val="single"/>
              </w:rPr>
              <w:t>Follow-up</w:t>
            </w:r>
          </w:p>
        </w:tc>
        <w:tc>
          <w:tcPr>
            <w:tcW w:w="0" w:type="auto"/>
            <w:tcBorders>
              <w:top w:val="single" w:sz="4" w:space="0" w:color="auto"/>
              <w:bottom w:val="single" w:sz="4" w:space="0" w:color="auto"/>
            </w:tcBorders>
          </w:tcPr>
          <w:p w14:paraId="6389366F" w14:textId="77777777" w:rsidR="007567AF" w:rsidRPr="00A01E75" w:rsidRDefault="007567AF" w:rsidP="00397B47">
            <w:pPr>
              <w:jc w:val="center"/>
            </w:pPr>
          </w:p>
        </w:tc>
        <w:tc>
          <w:tcPr>
            <w:tcW w:w="0" w:type="auto"/>
            <w:tcBorders>
              <w:top w:val="single" w:sz="4" w:space="0" w:color="auto"/>
              <w:bottom w:val="single" w:sz="4" w:space="0" w:color="auto"/>
            </w:tcBorders>
          </w:tcPr>
          <w:p w14:paraId="27502D38" w14:textId="182877D0" w:rsidR="007567AF" w:rsidRPr="00A01E75" w:rsidRDefault="007567AF" w:rsidP="00397B47">
            <w:pPr>
              <w:jc w:val="center"/>
            </w:pPr>
          </w:p>
        </w:tc>
      </w:tr>
      <w:tr w:rsidR="00486AC1" w:rsidRPr="00A01E75" w14:paraId="04B7971D" w14:textId="77777777" w:rsidTr="00DA6897">
        <w:trPr>
          <w:cantSplit/>
          <w:trHeight w:val="279"/>
        </w:trPr>
        <w:tc>
          <w:tcPr>
            <w:tcW w:w="2790" w:type="dxa"/>
            <w:tcBorders>
              <w:top w:val="nil"/>
              <w:bottom w:val="single" w:sz="4" w:space="0" w:color="auto"/>
            </w:tcBorders>
            <w:shd w:val="clear" w:color="auto" w:fill="auto"/>
            <w:vAlign w:val="center"/>
          </w:tcPr>
          <w:p w14:paraId="25635EA8" w14:textId="2E6CB76B" w:rsidR="007567AF" w:rsidRPr="007567AF" w:rsidRDefault="007567AF" w:rsidP="007567AF">
            <w:pPr>
              <w:jc w:val="center"/>
              <w:rPr>
                <w:u w:val="single"/>
              </w:rPr>
            </w:pPr>
            <w:r w:rsidRPr="005A71E8">
              <w:rPr>
                <w:u w:val="single"/>
              </w:rPr>
              <w:t>Measure</w:t>
            </w:r>
          </w:p>
        </w:tc>
        <w:tc>
          <w:tcPr>
            <w:tcW w:w="1639" w:type="dxa"/>
            <w:tcBorders>
              <w:top w:val="nil"/>
              <w:bottom w:val="single" w:sz="4" w:space="0" w:color="auto"/>
            </w:tcBorders>
            <w:shd w:val="clear" w:color="auto" w:fill="auto"/>
            <w:vAlign w:val="center"/>
          </w:tcPr>
          <w:p w14:paraId="70332BF8" w14:textId="08482400" w:rsidR="007567AF" w:rsidRPr="00DA6897" w:rsidRDefault="007567AF" w:rsidP="007567AF">
            <w:pPr>
              <w:jc w:val="center"/>
              <w:rPr>
                <w:i/>
                <w:iCs/>
              </w:rPr>
            </w:pPr>
            <w:r w:rsidRPr="00DA6897">
              <w:rPr>
                <w:i/>
                <w:iCs/>
              </w:rPr>
              <w:t>M</w:t>
            </w:r>
          </w:p>
        </w:tc>
        <w:tc>
          <w:tcPr>
            <w:tcW w:w="1640" w:type="dxa"/>
            <w:tcBorders>
              <w:top w:val="nil"/>
              <w:bottom w:val="single" w:sz="4" w:space="0" w:color="auto"/>
            </w:tcBorders>
            <w:shd w:val="clear" w:color="auto" w:fill="auto"/>
            <w:vAlign w:val="center"/>
          </w:tcPr>
          <w:p w14:paraId="762ABA3C" w14:textId="5299CAFF" w:rsidR="007567AF" w:rsidRDefault="007567AF" w:rsidP="007567AF">
            <w:pPr>
              <w:jc w:val="center"/>
            </w:pPr>
            <w:r>
              <w:t>SD</w:t>
            </w:r>
          </w:p>
        </w:tc>
        <w:tc>
          <w:tcPr>
            <w:tcW w:w="1639" w:type="dxa"/>
            <w:gridSpan w:val="2"/>
            <w:tcBorders>
              <w:top w:val="nil"/>
              <w:bottom w:val="single" w:sz="4" w:space="0" w:color="auto"/>
            </w:tcBorders>
            <w:shd w:val="clear" w:color="auto" w:fill="auto"/>
            <w:vAlign w:val="center"/>
          </w:tcPr>
          <w:p w14:paraId="6037746D" w14:textId="42E9C9A4" w:rsidR="007567AF" w:rsidRPr="00DA6897" w:rsidRDefault="007567AF" w:rsidP="007567AF">
            <w:pPr>
              <w:jc w:val="center"/>
              <w:rPr>
                <w:i/>
                <w:iCs/>
              </w:rPr>
            </w:pPr>
            <w:r w:rsidRPr="00DA6897">
              <w:rPr>
                <w:i/>
                <w:iCs/>
              </w:rPr>
              <w:t>M</w:t>
            </w:r>
          </w:p>
        </w:tc>
        <w:tc>
          <w:tcPr>
            <w:tcW w:w="1640" w:type="dxa"/>
            <w:tcBorders>
              <w:top w:val="nil"/>
              <w:bottom w:val="single" w:sz="4" w:space="0" w:color="auto"/>
            </w:tcBorders>
            <w:shd w:val="clear" w:color="auto" w:fill="auto"/>
            <w:vAlign w:val="center"/>
          </w:tcPr>
          <w:p w14:paraId="4A7A5157" w14:textId="23FCEFCD" w:rsidR="007567AF" w:rsidRPr="00A01E75" w:rsidRDefault="007567AF" w:rsidP="007567AF">
            <w:pPr>
              <w:jc w:val="center"/>
            </w:pPr>
            <w:r>
              <w:t>SD</w:t>
            </w:r>
          </w:p>
        </w:tc>
        <w:tc>
          <w:tcPr>
            <w:tcW w:w="0" w:type="auto"/>
            <w:tcBorders>
              <w:top w:val="nil"/>
              <w:bottom w:val="single" w:sz="4" w:space="0" w:color="auto"/>
            </w:tcBorders>
          </w:tcPr>
          <w:p w14:paraId="518F44FB" w14:textId="77777777" w:rsidR="007567AF" w:rsidRPr="00A01E75" w:rsidRDefault="007567AF" w:rsidP="007567AF">
            <w:pPr>
              <w:jc w:val="center"/>
            </w:pPr>
          </w:p>
        </w:tc>
        <w:tc>
          <w:tcPr>
            <w:tcW w:w="0" w:type="auto"/>
            <w:tcBorders>
              <w:top w:val="nil"/>
              <w:bottom w:val="single" w:sz="4" w:space="0" w:color="auto"/>
            </w:tcBorders>
          </w:tcPr>
          <w:p w14:paraId="00562AE1" w14:textId="77777777" w:rsidR="007567AF" w:rsidRPr="00A01E75" w:rsidRDefault="007567AF" w:rsidP="007567AF">
            <w:pPr>
              <w:jc w:val="center"/>
            </w:pPr>
          </w:p>
        </w:tc>
      </w:tr>
      <w:tr w:rsidR="00486AC1" w:rsidRPr="00A01E75" w14:paraId="4664C858" w14:textId="49E374F1" w:rsidTr="00DA6897">
        <w:trPr>
          <w:cantSplit/>
          <w:trHeight w:hRule="exact" w:val="432"/>
        </w:trPr>
        <w:tc>
          <w:tcPr>
            <w:tcW w:w="2790" w:type="dxa"/>
            <w:tcBorders>
              <w:top w:val="single" w:sz="4" w:space="0" w:color="auto"/>
            </w:tcBorders>
            <w:shd w:val="clear" w:color="auto" w:fill="auto"/>
            <w:vAlign w:val="center"/>
          </w:tcPr>
          <w:p w14:paraId="6FE89F9F" w14:textId="422C50B5" w:rsidR="007567AF" w:rsidRPr="00A01E75" w:rsidRDefault="00486AC1" w:rsidP="007567AF">
            <w:r>
              <w:t>CFQ</w:t>
            </w:r>
          </w:p>
        </w:tc>
        <w:tc>
          <w:tcPr>
            <w:tcW w:w="1639" w:type="dxa"/>
            <w:tcBorders>
              <w:top w:val="single" w:sz="4" w:space="0" w:color="auto"/>
            </w:tcBorders>
            <w:shd w:val="clear" w:color="auto" w:fill="auto"/>
            <w:vAlign w:val="center"/>
          </w:tcPr>
          <w:p w14:paraId="4A409132" w14:textId="1F829907" w:rsidR="007567AF" w:rsidRPr="00A01E75" w:rsidRDefault="00486AC1" w:rsidP="007567AF">
            <w:pPr>
              <w:jc w:val="center"/>
            </w:pPr>
            <w:r>
              <w:t>24.73</w:t>
            </w:r>
          </w:p>
        </w:tc>
        <w:tc>
          <w:tcPr>
            <w:tcW w:w="1640" w:type="dxa"/>
            <w:tcBorders>
              <w:top w:val="single" w:sz="4" w:space="0" w:color="auto"/>
            </w:tcBorders>
            <w:shd w:val="clear" w:color="auto" w:fill="auto"/>
            <w:vAlign w:val="center"/>
          </w:tcPr>
          <w:p w14:paraId="2A0EFD83" w14:textId="49CBD766" w:rsidR="007567AF" w:rsidRPr="00A01E75" w:rsidRDefault="00486AC1" w:rsidP="007567AF">
            <w:pPr>
              <w:jc w:val="center"/>
            </w:pPr>
            <w:r>
              <w:t>10.40</w:t>
            </w:r>
          </w:p>
        </w:tc>
        <w:tc>
          <w:tcPr>
            <w:tcW w:w="1639" w:type="dxa"/>
            <w:gridSpan w:val="2"/>
            <w:tcBorders>
              <w:top w:val="single" w:sz="4" w:space="0" w:color="auto"/>
            </w:tcBorders>
            <w:shd w:val="clear" w:color="auto" w:fill="auto"/>
            <w:vAlign w:val="center"/>
          </w:tcPr>
          <w:p w14:paraId="1C2055F8" w14:textId="1D15E7E3" w:rsidR="007567AF" w:rsidRPr="00A01E75" w:rsidRDefault="00ED2B25" w:rsidP="007567AF">
            <w:pPr>
              <w:jc w:val="center"/>
            </w:pPr>
            <w:r>
              <w:t>23.20</w:t>
            </w:r>
          </w:p>
        </w:tc>
        <w:tc>
          <w:tcPr>
            <w:tcW w:w="1640" w:type="dxa"/>
            <w:tcBorders>
              <w:top w:val="single" w:sz="4" w:space="0" w:color="auto"/>
            </w:tcBorders>
            <w:shd w:val="clear" w:color="auto" w:fill="auto"/>
            <w:vAlign w:val="center"/>
          </w:tcPr>
          <w:p w14:paraId="1F8EDA98" w14:textId="6F846646" w:rsidR="007567AF" w:rsidRPr="00A01E75" w:rsidRDefault="00ED2B25" w:rsidP="007567AF">
            <w:pPr>
              <w:jc w:val="center"/>
            </w:pPr>
            <w:r>
              <w:t>10.22</w:t>
            </w:r>
          </w:p>
        </w:tc>
        <w:tc>
          <w:tcPr>
            <w:tcW w:w="0" w:type="auto"/>
            <w:tcBorders>
              <w:top w:val="single" w:sz="4" w:space="0" w:color="auto"/>
            </w:tcBorders>
          </w:tcPr>
          <w:p w14:paraId="1668254A" w14:textId="77777777" w:rsidR="007567AF" w:rsidRDefault="007567AF" w:rsidP="007567AF">
            <w:pPr>
              <w:jc w:val="center"/>
            </w:pPr>
          </w:p>
        </w:tc>
        <w:tc>
          <w:tcPr>
            <w:tcW w:w="0" w:type="auto"/>
            <w:tcBorders>
              <w:top w:val="single" w:sz="4" w:space="0" w:color="auto"/>
            </w:tcBorders>
          </w:tcPr>
          <w:p w14:paraId="360A12D9" w14:textId="21FA324B" w:rsidR="007567AF" w:rsidRDefault="007567AF" w:rsidP="007567AF">
            <w:pPr>
              <w:jc w:val="center"/>
            </w:pPr>
          </w:p>
        </w:tc>
      </w:tr>
      <w:tr w:rsidR="00486AC1" w:rsidRPr="00A01E75" w14:paraId="515B7E9F" w14:textId="3B81EBBE" w:rsidTr="00486AC1">
        <w:trPr>
          <w:cantSplit/>
          <w:trHeight w:hRule="exact" w:val="549"/>
        </w:trPr>
        <w:tc>
          <w:tcPr>
            <w:tcW w:w="2790" w:type="dxa"/>
            <w:shd w:val="clear" w:color="auto" w:fill="auto"/>
            <w:vAlign w:val="center"/>
          </w:tcPr>
          <w:p w14:paraId="2366AA9E" w14:textId="677E3C14" w:rsidR="007567AF" w:rsidRPr="00A01E75" w:rsidRDefault="00486AC1" w:rsidP="007567AF">
            <w:r>
              <w:t>ATQ</w:t>
            </w:r>
          </w:p>
        </w:tc>
        <w:tc>
          <w:tcPr>
            <w:tcW w:w="1639" w:type="dxa"/>
            <w:shd w:val="clear" w:color="auto" w:fill="auto"/>
            <w:vAlign w:val="center"/>
          </w:tcPr>
          <w:p w14:paraId="34AC304A" w14:textId="1411E8F6" w:rsidR="007567AF" w:rsidRPr="00A01E75" w:rsidRDefault="00486AC1" w:rsidP="007567AF">
            <w:pPr>
              <w:jc w:val="center"/>
            </w:pPr>
            <w:r>
              <w:t>57.81</w:t>
            </w:r>
          </w:p>
        </w:tc>
        <w:tc>
          <w:tcPr>
            <w:tcW w:w="1640" w:type="dxa"/>
            <w:shd w:val="clear" w:color="auto" w:fill="auto"/>
            <w:vAlign w:val="center"/>
          </w:tcPr>
          <w:p w14:paraId="4CC545E6" w14:textId="5DD823A4" w:rsidR="007567AF" w:rsidRPr="00A01E75" w:rsidRDefault="00486AC1" w:rsidP="007567AF">
            <w:pPr>
              <w:jc w:val="center"/>
            </w:pPr>
            <w:r>
              <w:t>24.76</w:t>
            </w:r>
          </w:p>
        </w:tc>
        <w:tc>
          <w:tcPr>
            <w:tcW w:w="1639" w:type="dxa"/>
            <w:gridSpan w:val="2"/>
            <w:shd w:val="clear" w:color="auto" w:fill="auto"/>
            <w:vAlign w:val="center"/>
          </w:tcPr>
          <w:p w14:paraId="4717592D" w14:textId="31A2620D" w:rsidR="007567AF" w:rsidRPr="00A01E75" w:rsidRDefault="00ED2B25" w:rsidP="007567AF">
            <w:pPr>
              <w:jc w:val="center"/>
            </w:pPr>
            <w:r>
              <w:t>58.35</w:t>
            </w:r>
          </w:p>
        </w:tc>
        <w:tc>
          <w:tcPr>
            <w:tcW w:w="1640" w:type="dxa"/>
            <w:shd w:val="clear" w:color="auto" w:fill="auto"/>
            <w:vAlign w:val="center"/>
          </w:tcPr>
          <w:p w14:paraId="65C4FE45" w14:textId="5AC33AD4" w:rsidR="007567AF" w:rsidRPr="00A01E75" w:rsidRDefault="00ED2B25" w:rsidP="007567AF">
            <w:pPr>
              <w:jc w:val="center"/>
            </w:pPr>
            <w:r>
              <w:t>27.39</w:t>
            </w:r>
          </w:p>
        </w:tc>
        <w:tc>
          <w:tcPr>
            <w:tcW w:w="0" w:type="auto"/>
          </w:tcPr>
          <w:p w14:paraId="131B6FB7" w14:textId="77777777" w:rsidR="007567AF" w:rsidRDefault="007567AF" w:rsidP="007567AF">
            <w:pPr>
              <w:jc w:val="center"/>
            </w:pPr>
          </w:p>
        </w:tc>
        <w:tc>
          <w:tcPr>
            <w:tcW w:w="0" w:type="auto"/>
          </w:tcPr>
          <w:p w14:paraId="023DBADC" w14:textId="346B4AA5" w:rsidR="007567AF" w:rsidRDefault="007567AF" w:rsidP="007567AF">
            <w:pPr>
              <w:jc w:val="center"/>
            </w:pPr>
          </w:p>
        </w:tc>
      </w:tr>
      <w:tr w:rsidR="00486AC1" w:rsidRPr="00A01E75" w14:paraId="1A3F74D0" w14:textId="15362D71" w:rsidTr="00486AC1">
        <w:trPr>
          <w:cantSplit/>
          <w:trHeight w:hRule="exact" w:val="432"/>
        </w:trPr>
        <w:tc>
          <w:tcPr>
            <w:tcW w:w="2790" w:type="dxa"/>
            <w:shd w:val="clear" w:color="auto" w:fill="auto"/>
            <w:vAlign w:val="center"/>
          </w:tcPr>
          <w:p w14:paraId="3E1586A2" w14:textId="330F876D" w:rsidR="007567AF" w:rsidRPr="00A01E75" w:rsidRDefault="00486AC1" w:rsidP="007567AF">
            <w:r>
              <w:t>CCAPS-34 Depression</w:t>
            </w:r>
          </w:p>
        </w:tc>
        <w:tc>
          <w:tcPr>
            <w:tcW w:w="1639" w:type="dxa"/>
            <w:shd w:val="clear" w:color="auto" w:fill="auto"/>
            <w:vAlign w:val="center"/>
          </w:tcPr>
          <w:p w14:paraId="5ADACBC4" w14:textId="36D3DEB2" w:rsidR="007567AF" w:rsidRPr="00A01E75" w:rsidRDefault="00ED2B25" w:rsidP="007567AF">
            <w:pPr>
              <w:jc w:val="center"/>
            </w:pPr>
            <w:r>
              <w:t>1.07</w:t>
            </w:r>
          </w:p>
        </w:tc>
        <w:tc>
          <w:tcPr>
            <w:tcW w:w="1640" w:type="dxa"/>
            <w:shd w:val="clear" w:color="auto" w:fill="auto"/>
            <w:vAlign w:val="center"/>
          </w:tcPr>
          <w:p w14:paraId="16C81305" w14:textId="1D951E1B" w:rsidR="007567AF" w:rsidRPr="00A01E75" w:rsidRDefault="00ED2B25" w:rsidP="007567AF">
            <w:pPr>
              <w:jc w:val="center"/>
            </w:pPr>
            <w:r>
              <w:t>0.95</w:t>
            </w:r>
          </w:p>
        </w:tc>
        <w:tc>
          <w:tcPr>
            <w:tcW w:w="1639" w:type="dxa"/>
            <w:gridSpan w:val="2"/>
            <w:shd w:val="clear" w:color="auto" w:fill="auto"/>
            <w:vAlign w:val="center"/>
          </w:tcPr>
          <w:p w14:paraId="148E611D" w14:textId="5544A096" w:rsidR="007567AF" w:rsidRPr="00A01E75" w:rsidRDefault="009F6449" w:rsidP="007567AF">
            <w:pPr>
              <w:jc w:val="center"/>
            </w:pPr>
            <w:r>
              <w:t>0.92</w:t>
            </w:r>
          </w:p>
        </w:tc>
        <w:tc>
          <w:tcPr>
            <w:tcW w:w="1640" w:type="dxa"/>
            <w:shd w:val="clear" w:color="auto" w:fill="auto"/>
            <w:vAlign w:val="center"/>
          </w:tcPr>
          <w:p w14:paraId="35305526" w14:textId="0D6F56AA" w:rsidR="007567AF" w:rsidRPr="00A01E75" w:rsidRDefault="009F6449" w:rsidP="007567AF">
            <w:pPr>
              <w:jc w:val="center"/>
            </w:pPr>
            <w:r>
              <w:t>0.88</w:t>
            </w:r>
          </w:p>
        </w:tc>
        <w:tc>
          <w:tcPr>
            <w:tcW w:w="0" w:type="auto"/>
          </w:tcPr>
          <w:p w14:paraId="00492DC4" w14:textId="77777777" w:rsidR="007567AF" w:rsidRDefault="007567AF" w:rsidP="007567AF">
            <w:pPr>
              <w:jc w:val="center"/>
            </w:pPr>
          </w:p>
        </w:tc>
        <w:tc>
          <w:tcPr>
            <w:tcW w:w="0" w:type="auto"/>
          </w:tcPr>
          <w:p w14:paraId="5A79FF46" w14:textId="1E9975CE" w:rsidR="007567AF" w:rsidRDefault="007567AF" w:rsidP="007567AF">
            <w:pPr>
              <w:jc w:val="center"/>
            </w:pPr>
          </w:p>
        </w:tc>
      </w:tr>
      <w:tr w:rsidR="00486AC1" w:rsidRPr="00A01E75" w14:paraId="1B92C162" w14:textId="15430C41" w:rsidTr="00486AC1">
        <w:trPr>
          <w:cantSplit/>
          <w:trHeight w:hRule="exact" w:val="432"/>
        </w:trPr>
        <w:tc>
          <w:tcPr>
            <w:tcW w:w="2790" w:type="dxa"/>
            <w:shd w:val="clear" w:color="auto" w:fill="auto"/>
            <w:vAlign w:val="center"/>
          </w:tcPr>
          <w:p w14:paraId="0F711985" w14:textId="08B0337A" w:rsidR="007567AF" w:rsidRPr="00A01E75" w:rsidRDefault="00486AC1" w:rsidP="007567AF">
            <w:r>
              <w:t>CCAPS-34 General Anxiety</w:t>
            </w:r>
          </w:p>
        </w:tc>
        <w:tc>
          <w:tcPr>
            <w:tcW w:w="1639" w:type="dxa"/>
            <w:shd w:val="clear" w:color="auto" w:fill="auto"/>
            <w:vAlign w:val="center"/>
          </w:tcPr>
          <w:p w14:paraId="00ECC183" w14:textId="727C1DEA" w:rsidR="007567AF" w:rsidRPr="00A01E75" w:rsidRDefault="00ED2B25" w:rsidP="007567AF">
            <w:pPr>
              <w:jc w:val="center"/>
            </w:pPr>
            <w:r>
              <w:t>1.34</w:t>
            </w:r>
          </w:p>
        </w:tc>
        <w:tc>
          <w:tcPr>
            <w:tcW w:w="1640" w:type="dxa"/>
            <w:shd w:val="clear" w:color="auto" w:fill="auto"/>
            <w:vAlign w:val="center"/>
          </w:tcPr>
          <w:p w14:paraId="15C868ED" w14:textId="4D724D1E" w:rsidR="007567AF" w:rsidRPr="00A01E75" w:rsidRDefault="00ED2B25" w:rsidP="007567AF">
            <w:pPr>
              <w:jc w:val="center"/>
            </w:pPr>
            <w:r>
              <w:t>0.90</w:t>
            </w:r>
          </w:p>
        </w:tc>
        <w:tc>
          <w:tcPr>
            <w:tcW w:w="1639" w:type="dxa"/>
            <w:gridSpan w:val="2"/>
            <w:shd w:val="clear" w:color="auto" w:fill="auto"/>
            <w:vAlign w:val="center"/>
          </w:tcPr>
          <w:p w14:paraId="446E17A0" w14:textId="56EFEADC" w:rsidR="007567AF" w:rsidRPr="00A01E75" w:rsidRDefault="00ED2B25" w:rsidP="007567AF">
            <w:pPr>
              <w:jc w:val="center"/>
            </w:pPr>
            <w:r>
              <w:t>1.20</w:t>
            </w:r>
          </w:p>
        </w:tc>
        <w:tc>
          <w:tcPr>
            <w:tcW w:w="1640" w:type="dxa"/>
            <w:shd w:val="clear" w:color="auto" w:fill="auto"/>
            <w:vAlign w:val="center"/>
          </w:tcPr>
          <w:p w14:paraId="4E8D3E10" w14:textId="249D68B2" w:rsidR="007567AF" w:rsidRPr="00A01E75" w:rsidRDefault="00ED2B25" w:rsidP="007567AF">
            <w:pPr>
              <w:jc w:val="center"/>
            </w:pPr>
            <w:r>
              <w:t>0.85</w:t>
            </w:r>
          </w:p>
        </w:tc>
        <w:tc>
          <w:tcPr>
            <w:tcW w:w="0" w:type="auto"/>
          </w:tcPr>
          <w:p w14:paraId="0A3ECA18" w14:textId="77777777" w:rsidR="007567AF" w:rsidRDefault="007567AF" w:rsidP="007567AF">
            <w:pPr>
              <w:jc w:val="center"/>
            </w:pPr>
          </w:p>
        </w:tc>
        <w:tc>
          <w:tcPr>
            <w:tcW w:w="0" w:type="auto"/>
          </w:tcPr>
          <w:p w14:paraId="4839DBB3" w14:textId="126D6816" w:rsidR="007567AF" w:rsidRDefault="007567AF" w:rsidP="007567AF">
            <w:pPr>
              <w:jc w:val="center"/>
            </w:pPr>
          </w:p>
        </w:tc>
      </w:tr>
      <w:tr w:rsidR="00486AC1" w:rsidRPr="00A01E75" w14:paraId="79E43CBF" w14:textId="6EAE43CE" w:rsidTr="00486AC1">
        <w:trPr>
          <w:cantSplit/>
          <w:trHeight w:hRule="exact" w:val="432"/>
        </w:trPr>
        <w:tc>
          <w:tcPr>
            <w:tcW w:w="2790" w:type="dxa"/>
            <w:shd w:val="clear" w:color="auto" w:fill="auto"/>
            <w:vAlign w:val="center"/>
          </w:tcPr>
          <w:p w14:paraId="681190B6" w14:textId="302725D1" w:rsidR="007567AF" w:rsidRPr="00A01E75" w:rsidRDefault="00486AC1" w:rsidP="007567AF">
            <w:r>
              <w:t>CCAPS-34 Distress Index</w:t>
            </w:r>
          </w:p>
        </w:tc>
        <w:tc>
          <w:tcPr>
            <w:tcW w:w="1639" w:type="dxa"/>
            <w:shd w:val="clear" w:color="auto" w:fill="auto"/>
            <w:vAlign w:val="center"/>
          </w:tcPr>
          <w:p w14:paraId="04E9743B" w14:textId="3A1A40CE" w:rsidR="007567AF" w:rsidRPr="00A01E75" w:rsidRDefault="00486AC1" w:rsidP="007567AF">
            <w:pPr>
              <w:jc w:val="center"/>
            </w:pPr>
            <w:r>
              <w:t>1.18</w:t>
            </w:r>
          </w:p>
        </w:tc>
        <w:tc>
          <w:tcPr>
            <w:tcW w:w="1640" w:type="dxa"/>
            <w:shd w:val="clear" w:color="auto" w:fill="auto"/>
            <w:vAlign w:val="center"/>
          </w:tcPr>
          <w:p w14:paraId="0B1CB44F" w14:textId="73B7306A" w:rsidR="007567AF" w:rsidRPr="00A01E75" w:rsidRDefault="00486AC1" w:rsidP="007567AF">
            <w:pPr>
              <w:jc w:val="center"/>
            </w:pPr>
            <w:r>
              <w:t>0.76</w:t>
            </w:r>
          </w:p>
        </w:tc>
        <w:tc>
          <w:tcPr>
            <w:tcW w:w="1639" w:type="dxa"/>
            <w:gridSpan w:val="2"/>
            <w:shd w:val="clear" w:color="auto" w:fill="auto"/>
            <w:vAlign w:val="center"/>
          </w:tcPr>
          <w:p w14:paraId="673DE901" w14:textId="5C45B87C" w:rsidR="007567AF" w:rsidRPr="00A01E75" w:rsidRDefault="00ED2B25" w:rsidP="007567AF">
            <w:pPr>
              <w:jc w:val="center"/>
            </w:pPr>
            <w:r>
              <w:t>1.08</w:t>
            </w:r>
          </w:p>
        </w:tc>
        <w:tc>
          <w:tcPr>
            <w:tcW w:w="1640" w:type="dxa"/>
            <w:shd w:val="clear" w:color="auto" w:fill="auto"/>
            <w:vAlign w:val="center"/>
          </w:tcPr>
          <w:p w14:paraId="4D20AEF1" w14:textId="33082B03" w:rsidR="007567AF" w:rsidRPr="00A01E75" w:rsidRDefault="00ED2B25" w:rsidP="007567AF">
            <w:pPr>
              <w:jc w:val="center"/>
            </w:pPr>
            <w:r>
              <w:t>0.73</w:t>
            </w:r>
          </w:p>
        </w:tc>
        <w:tc>
          <w:tcPr>
            <w:tcW w:w="0" w:type="auto"/>
          </w:tcPr>
          <w:p w14:paraId="7AB26B77" w14:textId="77777777" w:rsidR="007567AF" w:rsidRDefault="007567AF" w:rsidP="007567AF">
            <w:pPr>
              <w:jc w:val="center"/>
            </w:pPr>
          </w:p>
        </w:tc>
        <w:tc>
          <w:tcPr>
            <w:tcW w:w="0" w:type="auto"/>
          </w:tcPr>
          <w:p w14:paraId="2E6C379D" w14:textId="25DBC21C" w:rsidR="007567AF" w:rsidRDefault="007567AF" w:rsidP="007567AF">
            <w:pPr>
              <w:jc w:val="center"/>
            </w:pPr>
          </w:p>
        </w:tc>
      </w:tr>
    </w:tbl>
    <w:p w14:paraId="6A6A2023" w14:textId="77777777" w:rsidR="007567AF" w:rsidRPr="00DA6897" w:rsidRDefault="007567AF" w:rsidP="007C15E3">
      <w:pPr>
        <w:widowControl w:val="0"/>
        <w:autoSpaceDE w:val="0"/>
        <w:autoSpaceDN w:val="0"/>
        <w:adjustRightInd w:val="0"/>
        <w:spacing w:line="480" w:lineRule="auto"/>
        <w:ind w:left="480" w:hanging="480"/>
        <w:rPr>
          <w:i/>
          <w:iCs/>
        </w:rPr>
      </w:pPr>
    </w:p>
    <w:p w14:paraId="6E1CEB6E" w14:textId="77777777" w:rsidR="007567AF" w:rsidRDefault="007567AF">
      <w:pPr>
        <w:spacing w:after="160" w:line="259" w:lineRule="auto"/>
        <w:rPr>
          <w:b/>
          <w:bCs/>
        </w:rPr>
      </w:pPr>
      <w:r>
        <w:rPr>
          <w:b/>
          <w:bCs/>
        </w:rPr>
        <w:br w:type="page"/>
      </w:r>
    </w:p>
    <w:p w14:paraId="5EBC368B" w14:textId="7A752EB3" w:rsidR="00162E29" w:rsidRPr="004A375A" w:rsidRDefault="00BA3FB6" w:rsidP="007C15E3">
      <w:pPr>
        <w:widowControl w:val="0"/>
        <w:autoSpaceDE w:val="0"/>
        <w:autoSpaceDN w:val="0"/>
        <w:adjustRightInd w:val="0"/>
        <w:spacing w:line="480" w:lineRule="auto"/>
        <w:ind w:left="480" w:hanging="480"/>
        <w:rPr>
          <w:b/>
          <w:bCs/>
        </w:rPr>
      </w:pPr>
      <w:r w:rsidRPr="004A375A">
        <w:rPr>
          <w:b/>
          <w:bCs/>
        </w:rPr>
        <w:lastRenderedPageBreak/>
        <w:t xml:space="preserve">Table </w:t>
      </w:r>
      <w:r w:rsidR="007567AF">
        <w:rPr>
          <w:b/>
          <w:bCs/>
        </w:rPr>
        <w:t>2</w:t>
      </w:r>
    </w:p>
    <w:p w14:paraId="280E8A1D" w14:textId="77777777" w:rsidR="00ED6A9C" w:rsidRDefault="00ED6A9C" w:rsidP="00486CE7">
      <w:pPr>
        <w:rPr>
          <w:i/>
          <w:iCs/>
        </w:rPr>
      </w:pPr>
    </w:p>
    <w:p w14:paraId="22E89AB6" w14:textId="5167730B" w:rsidR="00BA3FB6" w:rsidRDefault="00971AA7" w:rsidP="00486CE7">
      <w:pPr>
        <w:rPr>
          <w:i/>
          <w:iCs/>
        </w:rPr>
      </w:pPr>
      <w:r>
        <w:rPr>
          <w:i/>
          <w:iCs/>
        </w:rPr>
        <w:t>Factor Loadings</w:t>
      </w:r>
    </w:p>
    <w:p w14:paraId="08B54890" w14:textId="77777777" w:rsidR="00AF7280" w:rsidRDefault="00AF7280" w:rsidP="00486CE7">
      <w:pPr>
        <w:rPr>
          <w:i/>
          <w:iCs/>
        </w:rPr>
      </w:pP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360"/>
        <w:gridCol w:w="500"/>
        <w:gridCol w:w="500"/>
        <w:gridCol w:w="500"/>
        <w:gridCol w:w="500"/>
      </w:tblGrid>
      <w:tr w:rsidR="00AF7280" w:rsidRPr="00A01E75" w14:paraId="2A958B4F" w14:textId="77777777" w:rsidTr="00A27E68">
        <w:trPr>
          <w:cantSplit/>
          <w:trHeight w:val="413"/>
        </w:trPr>
        <w:tc>
          <w:tcPr>
            <w:tcW w:w="0" w:type="auto"/>
            <w:tcBorders>
              <w:top w:val="single" w:sz="4" w:space="0" w:color="auto"/>
              <w:bottom w:val="nil"/>
            </w:tcBorders>
            <w:shd w:val="clear" w:color="auto" w:fill="auto"/>
            <w:vAlign w:val="center"/>
          </w:tcPr>
          <w:p w14:paraId="0E1AB7C9" w14:textId="77777777" w:rsidR="00EF5A51" w:rsidRPr="00A01E75" w:rsidRDefault="00EF5A51" w:rsidP="001F1B36">
            <w:pPr>
              <w:jc w:val="center"/>
            </w:pPr>
          </w:p>
        </w:tc>
        <w:tc>
          <w:tcPr>
            <w:tcW w:w="0" w:type="auto"/>
            <w:gridSpan w:val="4"/>
            <w:tcBorders>
              <w:top w:val="single" w:sz="4" w:space="0" w:color="auto"/>
              <w:bottom w:val="nil"/>
            </w:tcBorders>
            <w:shd w:val="clear" w:color="auto" w:fill="auto"/>
            <w:vAlign w:val="center"/>
          </w:tcPr>
          <w:p w14:paraId="320951D8" w14:textId="2B903B45" w:rsidR="00AF7280" w:rsidRPr="00AF7280" w:rsidRDefault="00EF5A51" w:rsidP="001F1B36">
            <w:pPr>
              <w:jc w:val="center"/>
              <w:rPr>
                <w:u w:val="single"/>
              </w:rPr>
            </w:pPr>
            <w:r w:rsidRPr="00AF7280">
              <w:rPr>
                <w:u w:val="single"/>
              </w:rPr>
              <w:t>Factor</w:t>
            </w:r>
          </w:p>
        </w:tc>
      </w:tr>
      <w:tr w:rsidR="00AF7280" w:rsidRPr="00A01E75" w14:paraId="6BAAE75D" w14:textId="77777777" w:rsidTr="00A27E68">
        <w:trPr>
          <w:cantSplit/>
          <w:trHeight w:val="279"/>
        </w:trPr>
        <w:tc>
          <w:tcPr>
            <w:tcW w:w="0" w:type="auto"/>
            <w:tcBorders>
              <w:top w:val="nil"/>
              <w:bottom w:val="single" w:sz="4" w:space="0" w:color="auto"/>
            </w:tcBorders>
            <w:shd w:val="clear" w:color="auto" w:fill="auto"/>
            <w:vAlign w:val="center"/>
          </w:tcPr>
          <w:p w14:paraId="460E263F" w14:textId="77777777" w:rsidR="00EF5A51" w:rsidRPr="00A01E75" w:rsidRDefault="00EF5A51" w:rsidP="001F1B36">
            <w:pPr>
              <w:jc w:val="center"/>
            </w:pPr>
          </w:p>
        </w:tc>
        <w:tc>
          <w:tcPr>
            <w:tcW w:w="0" w:type="auto"/>
            <w:tcBorders>
              <w:top w:val="nil"/>
              <w:bottom w:val="single" w:sz="4" w:space="0" w:color="auto"/>
            </w:tcBorders>
            <w:shd w:val="clear" w:color="auto" w:fill="auto"/>
            <w:vAlign w:val="center"/>
          </w:tcPr>
          <w:p w14:paraId="27DE22D8" w14:textId="77777777" w:rsidR="00EF5A51" w:rsidRPr="00A01E75" w:rsidRDefault="00EF5A51" w:rsidP="001F1B36">
            <w:pPr>
              <w:jc w:val="center"/>
            </w:pPr>
            <w:r w:rsidRPr="00A01E75">
              <w:t>1</w:t>
            </w:r>
          </w:p>
        </w:tc>
        <w:tc>
          <w:tcPr>
            <w:tcW w:w="0" w:type="auto"/>
            <w:tcBorders>
              <w:top w:val="nil"/>
              <w:bottom w:val="single" w:sz="4" w:space="0" w:color="auto"/>
            </w:tcBorders>
            <w:shd w:val="clear" w:color="auto" w:fill="auto"/>
            <w:vAlign w:val="center"/>
          </w:tcPr>
          <w:p w14:paraId="0FEB77C9" w14:textId="77777777" w:rsidR="00EF5A51" w:rsidRPr="00A01E75" w:rsidRDefault="00EF5A51" w:rsidP="001F1B36">
            <w:pPr>
              <w:jc w:val="center"/>
            </w:pPr>
            <w:r w:rsidRPr="00A01E75">
              <w:t>2</w:t>
            </w:r>
          </w:p>
        </w:tc>
        <w:tc>
          <w:tcPr>
            <w:tcW w:w="0" w:type="auto"/>
            <w:tcBorders>
              <w:top w:val="nil"/>
              <w:bottom w:val="single" w:sz="4" w:space="0" w:color="auto"/>
            </w:tcBorders>
            <w:shd w:val="clear" w:color="auto" w:fill="auto"/>
            <w:vAlign w:val="center"/>
          </w:tcPr>
          <w:p w14:paraId="575F2027" w14:textId="77777777" w:rsidR="00EF5A51" w:rsidRPr="00A01E75" w:rsidRDefault="00EF5A51" w:rsidP="001F1B36">
            <w:pPr>
              <w:jc w:val="center"/>
            </w:pPr>
            <w:r w:rsidRPr="00A01E75">
              <w:t>3</w:t>
            </w:r>
          </w:p>
        </w:tc>
        <w:tc>
          <w:tcPr>
            <w:tcW w:w="0" w:type="auto"/>
            <w:tcBorders>
              <w:top w:val="nil"/>
              <w:bottom w:val="single" w:sz="4" w:space="0" w:color="auto"/>
            </w:tcBorders>
            <w:shd w:val="clear" w:color="auto" w:fill="auto"/>
            <w:vAlign w:val="center"/>
          </w:tcPr>
          <w:p w14:paraId="7761529A" w14:textId="77777777" w:rsidR="00EF5A51" w:rsidRPr="00A01E75" w:rsidRDefault="00EF5A51" w:rsidP="001F1B36">
            <w:pPr>
              <w:jc w:val="center"/>
            </w:pPr>
            <w:r w:rsidRPr="00A01E75">
              <w:t>4</w:t>
            </w:r>
          </w:p>
        </w:tc>
      </w:tr>
      <w:tr w:rsidR="00AF7280" w:rsidRPr="00A01E75" w14:paraId="4CB21DEB" w14:textId="77777777" w:rsidTr="00A27E68">
        <w:trPr>
          <w:cantSplit/>
          <w:trHeight w:hRule="exact" w:val="432"/>
        </w:trPr>
        <w:tc>
          <w:tcPr>
            <w:tcW w:w="0" w:type="auto"/>
            <w:tcBorders>
              <w:top w:val="single" w:sz="4" w:space="0" w:color="auto"/>
            </w:tcBorders>
            <w:shd w:val="clear" w:color="auto" w:fill="auto"/>
            <w:vAlign w:val="center"/>
          </w:tcPr>
          <w:p w14:paraId="167AB9B9" w14:textId="46C2A5DB" w:rsidR="00AF7280" w:rsidRPr="00A01E75" w:rsidRDefault="00AF7280" w:rsidP="001F1B36">
            <w:r>
              <w:t>CFQ</w:t>
            </w:r>
            <w:r w:rsidRPr="00A01E75">
              <w:t>1 - My thoughts cause me distress or emotional pain</w:t>
            </w:r>
          </w:p>
        </w:tc>
        <w:tc>
          <w:tcPr>
            <w:tcW w:w="0" w:type="auto"/>
            <w:tcBorders>
              <w:top w:val="single" w:sz="4" w:space="0" w:color="auto"/>
            </w:tcBorders>
            <w:shd w:val="clear" w:color="auto" w:fill="auto"/>
            <w:vAlign w:val="center"/>
          </w:tcPr>
          <w:p w14:paraId="7D33A713" w14:textId="5F5174B3" w:rsidR="00AF7280" w:rsidRPr="00A01E75" w:rsidRDefault="00AF7280" w:rsidP="001F1B36">
            <w:pPr>
              <w:jc w:val="center"/>
            </w:pPr>
            <w:r>
              <w:rPr>
                <w:color w:val="000000"/>
              </w:rPr>
              <w:t>.063</w:t>
            </w:r>
          </w:p>
        </w:tc>
        <w:tc>
          <w:tcPr>
            <w:tcW w:w="0" w:type="auto"/>
            <w:tcBorders>
              <w:top w:val="single" w:sz="4" w:space="0" w:color="auto"/>
            </w:tcBorders>
            <w:shd w:val="clear" w:color="auto" w:fill="auto"/>
            <w:vAlign w:val="center"/>
          </w:tcPr>
          <w:p w14:paraId="419D7EEF" w14:textId="65639C07" w:rsidR="00AF7280" w:rsidRPr="00A01E75" w:rsidRDefault="00AF7280" w:rsidP="001F1B36">
            <w:pPr>
              <w:jc w:val="center"/>
            </w:pPr>
            <w:r>
              <w:rPr>
                <w:b/>
                <w:bCs/>
              </w:rPr>
              <w:t>.813</w:t>
            </w:r>
          </w:p>
        </w:tc>
        <w:tc>
          <w:tcPr>
            <w:tcW w:w="0" w:type="auto"/>
            <w:tcBorders>
              <w:top w:val="single" w:sz="4" w:space="0" w:color="auto"/>
            </w:tcBorders>
            <w:shd w:val="clear" w:color="auto" w:fill="auto"/>
            <w:vAlign w:val="center"/>
          </w:tcPr>
          <w:p w14:paraId="521B7A8E" w14:textId="0DA1323E" w:rsidR="00AF7280" w:rsidRPr="00A01E75" w:rsidRDefault="00AF7280" w:rsidP="001F1B36">
            <w:pPr>
              <w:jc w:val="center"/>
            </w:pPr>
            <w:r>
              <w:t>.013</w:t>
            </w:r>
          </w:p>
        </w:tc>
        <w:tc>
          <w:tcPr>
            <w:tcW w:w="0" w:type="auto"/>
            <w:tcBorders>
              <w:top w:val="single" w:sz="4" w:space="0" w:color="auto"/>
            </w:tcBorders>
            <w:shd w:val="clear" w:color="auto" w:fill="auto"/>
            <w:vAlign w:val="center"/>
          </w:tcPr>
          <w:p w14:paraId="03396A5D" w14:textId="3CC1D0EF" w:rsidR="00AF7280" w:rsidRPr="00A01E75" w:rsidRDefault="00AF7280" w:rsidP="001F1B36">
            <w:pPr>
              <w:jc w:val="center"/>
            </w:pPr>
            <w:r>
              <w:t>.026</w:t>
            </w:r>
          </w:p>
        </w:tc>
      </w:tr>
      <w:tr w:rsidR="00AF7280" w:rsidRPr="00A01E75" w14:paraId="6A853CD2" w14:textId="77777777" w:rsidTr="00A27E68">
        <w:trPr>
          <w:cantSplit/>
          <w:trHeight w:hRule="exact" w:val="549"/>
        </w:trPr>
        <w:tc>
          <w:tcPr>
            <w:tcW w:w="0" w:type="auto"/>
            <w:shd w:val="clear" w:color="auto" w:fill="auto"/>
            <w:vAlign w:val="center"/>
          </w:tcPr>
          <w:p w14:paraId="683299B0" w14:textId="28101425" w:rsidR="00AF7280" w:rsidRPr="00A01E75" w:rsidRDefault="00AF7280" w:rsidP="001F1B36">
            <w:r>
              <w:t>CFQ</w:t>
            </w:r>
            <w:r w:rsidRPr="00A01E75">
              <w:t>2 - I get so caught up in my thoughts that I am unable to do the things that I</w:t>
            </w:r>
            <w:r w:rsidR="001F1B36">
              <w:t xml:space="preserve"> most want to do</w:t>
            </w:r>
          </w:p>
        </w:tc>
        <w:tc>
          <w:tcPr>
            <w:tcW w:w="0" w:type="auto"/>
            <w:shd w:val="clear" w:color="auto" w:fill="auto"/>
            <w:vAlign w:val="center"/>
          </w:tcPr>
          <w:p w14:paraId="783ED332" w14:textId="30AC9358" w:rsidR="00AF7280" w:rsidRPr="00A01E75" w:rsidRDefault="00AF7280" w:rsidP="001F1B36">
            <w:pPr>
              <w:jc w:val="center"/>
            </w:pPr>
            <w:r>
              <w:t>.046</w:t>
            </w:r>
          </w:p>
        </w:tc>
        <w:tc>
          <w:tcPr>
            <w:tcW w:w="0" w:type="auto"/>
            <w:shd w:val="clear" w:color="auto" w:fill="auto"/>
            <w:vAlign w:val="center"/>
          </w:tcPr>
          <w:p w14:paraId="1D391256" w14:textId="1BBEA0BD" w:rsidR="00AF7280" w:rsidRPr="00A01E75" w:rsidRDefault="00AF7280" w:rsidP="001F1B36">
            <w:pPr>
              <w:jc w:val="center"/>
            </w:pPr>
            <w:r>
              <w:rPr>
                <w:b/>
                <w:bCs/>
              </w:rPr>
              <w:t>.839</w:t>
            </w:r>
          </w:p>
        </w:tc>
        <w:tc>
          <w:tcPr>
            <w:tcW w:w="0" w:type="auto"/>
            <w:shd w:val="clear" w:color="auto" w:fill="auto"/>
            <w:vAlign w:val="center"/>
          </w:tcPr>
          <w:p w14:paraId="318139BF" w14:textId="77607F16" w:rsidR="00AF7280" w:rsidRPr="00A01E75" w:rsidRDefault="00AF7280" w:rsidP="001F1B36">
            <w:pPr>
              <w:jc w:val="center"/>
            </w:pPr>
            <w:r>
              <w:t>.026</w:t>
            </w:r>
          </w:p>
        </w:tc>
        <w:tc>
          <w:tcPr>
            <w:tcW w:w="0" w:type="auto"/>
            <w:shd w:val="clear" w:color="auto" w:fill="auto"/>
            <w:vAlign w:val="center"/>
          </w:tcPr>
          <w:p w14:paraId="45911952" w14:textId="14C3236E" w:rsidR="00AF7280" w:rsidRPr="00A01E75" w:rsidRDefault="00AF7280" w:rsidP="001F1B36">
            <w:pPr>
              <w:jc w:val="center"/>
            </w:pPr>
            <w:r>
              <w:t>.003</w:t>
            </w:r>
          </w:p>
        </w:tc>
      </w:tr>
      <w:tr w:rsidR="00AF7280" w:rsidRPr="00A01E75" w14:paraId="750A487C" w14:textId="77777777" w:rsidTr="00A27E68">
        <w:trPr>
          <w:cantSplit/>
          <w:trHeight w:hRule="exact" w:val="432"/>
        </w:trPr>
        <w:tc>
          <w:tcPr>
            <w:tcW w:w="0" w:type="auto"/>
            <w:shd w:val="clear" w:color="auto" w:fill="auto"/>
            <w:vAlign w:val="center"/>
          </w:tcPr>
          <w:p w14:paraId="147B42EC" w14:textId="18264DDF" w:rsidR="00AF7280" w:rsidRPr="00A01E75" w:rsidRDefault="00AF7280" w:rsidP="001F1B36">
            <w:r>
              <w:t>CFQ</w:t>
            </w:r>
            <w:r w:rsidRPr="00A01E75">
              <w:t>3 - I over-analyze situations to the point where it's unhelpful to me</w:t>
            </w:r>
          </w:p>
        </w:tc>
        <w:tc>
          <w:tcPr>
            <w:tcW w:w="0" w:type="auto"/>
            <w:shd w:val="clear" w:color="auto" w:fill="auto"/>
            <w:vAlign w:val="center"/>
          </w:tcPr>
          <w:p w14:paraId="57C30A29" w14:textId="4831A0A8" w:rsidR="00AF7280" w:rsidRPr="00A01E75" w:rsidRDefault="00AF7280" w:rsidP="001F1B36">
            <w:pPr>
              <w:jc w:val="center"/>
            </w:pPr>
            <w:r>
              <w:t>-.004</w:t>
            </w:r>
          </w:p>
        </w:tc>
        <w:tc>
          <w:tcPr>
            <w:tcW w:w="0" w:type="auto"/>
            <w:shd w:val="clear" w:color="auto" w:fill="auto"/>
            <w:vAlign w:val="center"/>
          </w:tcPr>
          <w:p w14:paraId="7069AA19" w14:textId="4F076A09" w:rsidR="00AF7280" w:rsidRPr="00A01E75" w:rsidRDefault="00AF7280" w:rsidP="001F1B36">
            <w:pPr>
              <w:jc w:val="center"/>
            </w:pPr>
            <w:r>
              <w:rPr>
                <w:b/>
                <w:bCs/>
              </w:rPr>
              <w:t>.778</w:t>
            </w:r>
          </w:p>
        </w:tc>
        <w:tc>
          <w:tcPr>
            <w:tcW w:w="0" w:type="auto"/>
            <w:shd w:val="clear" w:color="auto" w:fill="auto"/>
            <w:vAlign w:val="center"/>
          </w:tcPr>
          <w:p w14:paraId="20AF6DCE" w14:textId="2977C6F9" w:rsidR="00AF7280" w:rsidRPr="00A01E75" w:rsidRDefault="00AF7280" w:rsidP="001F1B36">
            <w:pPr>
              <w:jc w:val="center"/>
            </w:pPr>
            <w:r>
              <w:t>.093</w:t>
            </w:r>
          </w:p>
        </w:tc>
        <w:tc>
          <w:tcPr>
            <w:tcW w:w="0" w:type="auto"/>
            <w:shd w:val="clear" w:color="auto" w:fill="auto"/>
            <w:vAlign w:val="center"/>
          </w:tcPr>
          <w:p w14:paraId="051440E5" w14:textId="200603FD" w:rsidR="00AF7280" w:rsidRPr="00A01E75" w:rsidRDefault="00AF7280" w:rsidP="001F1B36">
            <w:pPr>
              <w:jc w:val="center"/>
            </w:pPr>
            <w:r>
              <w:t>-.064</w:t>
            </w:r>
          </w:p>
        </w:tc>
      </w:tr>
      <w:tr w:rsidR="00AF7280" w:rsidRPr="00A01E75" w14:paraId="6E38CC31" w14:textId="77777777" w:rsidTr="00A27E68">
        <w:trPr>
          <w:cantSplit/>
          <w:trHeight w:hRule="exact" w:val="432"/>
        </w:trPr>
        <w:tc>
          <w:tcPr>
            <w:tcW w:w="0" w:type="auto"/>
            <w:shd w:val="clear" w:color="auto" w:fill="auto"/>
            <w:vAlign w:val="center"/>
          </w:tcPr>
          <w:p w14:paraId="268BBF33" w14:textId="05DACA15" w:rsidR="00AF7280" w:rsidRPr="00A01E75" w:rsidRDefault="00AF7280" w:rsidP="001F1B36">
            <w:r>
              <w:t>CFQ</w:t>
            </w:r>
            <w:r w:rsidRPr="00A01E75">
              <w:t>4 - I struggle with my thoughts</w:t>
            </w:r>
          </w:p>
        </w:tc>
        <w:tc>
          <w:tcPr>
            <w:tcW w:w="0" w:type="auto"/>
            <w:shd w:val="clear" w:color="auto" w:fill="auto"/>
            <w:vAlign w:val="center"/>
          </w:tcPr>
          <w:p w14:paraId="5A32CEA2" w14:textId="54346F2F" w:rsidR="00AF7280" w:rsidRPr="00A01E75" w:rsidRDefault="00AF7280" w:rsidP="001F1B36">
            <w:pPr>
              <w:jc w:val="center"/>
            </w:pPr>
            <w:r>
              <w:t>-.014</w:t>
            </w:r>
          </w:p>
        </w:tc>
        <w:tc>
          <w:tcPr>
            <w:tcW w:w="0" w:type="auto"/>
            <w:shd w:val="clear" w:color="auto" w:fill="auto"/>
            <w:vAlign w:val="center"/>
          </w:tcPr>
          <w:p w14:paraId="6A2E0526" w14:textId="0B6B0625" w:rsidR="00AF7280" w:rsidRPr="00A01E75" w:rsidRDefault="00AF7280" w:rsidP="001F1B36">
            <w:pPr>
              <w:jc w:val="center"/>
            </w:pPr>
            <w:r>
              <w:rPr>
                <w:b/>
                <w:bCs/>
              </w:rPr>
              <w:t>.974</w:t>
            </w:r>
          </w:p>
        </w:tc>
        <w:tc>
          <w:tcPr>
            <w:tcW w:w="0" w:type="auto"/>
            <w:shd w:val="clear" w:color="auto" w:fill="auto"/>
            <w:vAlign w:val="center"/>
          </w:tcPr>
          <w:p w14:paraId="02887D04" w14:textId="1CFE2814" w:rsidR="00AF7280" w:rsidRPr="00A01E75" w:rsidRDefault="00AF7280" w:rsidP="001F1B36">
            <w:pPr>
              <w:jc w:val="center"/>
            </w:pPr>
            <w:r>
              <w:t>-.049</w:t>
            </w:r>
          </w:p>
        </w:tc>
        <w:tc>
          <w:tcPr>
            <w:tcW w:w="0" w:type="auto"/>
            <w:shd w:val="clear" w:color="auto" w:fill="auto"/>
            <w:vAlign w:val="center"/>
          </w:tcPr>
          <w:p w14:paraId="4930BFBF" w14:textId="02F1219D" w:rsidR="00AF7280" w:rsidRPr="00A01E75" w:rsidRDefault="00AF7280" w:rsidP="001F1B36">
            <w:pPr>
              <w:jc w:val="center"/>
            </w:pPr>
            <w:r>
              <w:t>-.022</w:t>
            </w:r>
          </w:p>
        </w:tc>
      </w:tr>
      <w:tr w:rsidR="00AF7280" w:rsidRPr="00A01E75" w14:paraId="3A5C1C81" w14:textId="77777777" w:rsidTr="00A27E68">
        <w:trPr>
          <w:cantSplit/>
          <w:trHeight w:hRule="exact" w:val="432"/>
        </w:trPr>
        <w:tc>
          <w:tcPr>
            <w:tcW w:w="0" w:type="auto"/>
            <w:shd w:val="clear" w:color="auto" w:fill="auto"/>
            <w:vAlign w:val="center"/>
          </w:tcPr>
          <w:p w14:paraId="13FE616D" w14:textId="20550816" w:rsidR="00AF7280" w:rsidRPr="00A01E75" w:rsidRDefault="00AF7280" w:rsidP="001F1B36">
            <w:r>
              <w:t>CFQ</w:t>
            </w:r>
            <w:r w:rsidRPr="00A01E75">
              <w:t>5 - I get upset with myself for having certain thoughts</w:t>
            </w:r>
          </w:p>
        </w:tc>
        <w:tc>
          <w:tcPr>
            <w:tcW w:w="0" w:type="auto"/>
            <w:shd w:val="clear" w:color="auto" w:fill="auto"/>
            <w:vAlign w:val="center"/>
          </w:tcPr>
          <w:p w14:paraId="20EC3C2F" w14:textId="4BFCE99C" w:rsidR="00AF7280" w:rsidRPr="00A01E75" w:rsidRDefault="00AF7280" w:rsidP="001F1B36">
            <w:pPr>
              <w:jc w:val="center"/>
            </w:pPr>
            <w:r>
              <w:t>.073</w:t>
            </w:r>
          </w:p>
        </w:tc>
        <w:tc>
          <w:tcPr>
            <w:tcW w:w="0" w:type="auto"/>
            <w:shd w:val="clear" w:color="auto" w:fill="auto"/>
            <w:vAlign w:val="center"/>
          </w:tcPr>
          <w:p w14:paraId="21CDA9A6" w14:textId="0EE548A1" w:rsidR="00AF7280" w:rsidRPr="00A01E75" w:rsidRDefault="00AF7280" w:rsidP="001F1B36">
            <w:pPr>
              <w:jc w:val="center"/>
            </w:pPr>
            <w:r>
              <w:rPr>
                <w:b/>
                <w:bCs/>
              </w:rPr>
              <w:t>.824</w:t>
            </w:r>
          </w:p>
        </w:tc>
        <w:tc>
          <w:tcPr>
            <w:tcW w:w="0" w:type="auto"/>
            <w:shd w:val="clear" w:color="auto" w:fill="auto"/>
            <w:vAlign w:val="center"/>
          </w:tcPr>
          <w:p w14:paraId="69F1FF39" w14:textId="2076745E" w:rsidR="00AF7280" w:rsidRPr="00A01E75" w:rsidRDefault="00AF7280" w:rsidP="001F1B36">
            <w:pPr>
              <w:jc w:val="center"/>
            </w:pPr>
            <w:r>
              <w:t>-.08</w:t>
            </w:r>
          </w:p>
        </w:tc>
        <w:tc>
          <w:tcPr>
            <w:tcW w:w="0" w:type="auto"/>
            <w:shd w:val="clear" w:color="auto" w:fill="auto"/>
            <w:vAlign w:val="center"/>
          </w:tcPr>
          <w:p w14:paraId="03D91736" w14:textId="6E31F891" w:rsidR="00AF7280" w:rsidRPr="00A01E75" w:rsidRDefault="00AF7280" w:rsidP="001F1B36">
            <w:pPr>
              <w:jc w:val="center"/>
            </w:pPr>
            <w:r>
              <w:t>.012</w:t>
            </w:r>
          </w:p>
        </w:tc>
      </w:tr>
      <w:tr w:rsidR="00AF7280" w:rsidRPr="00A01E75" w14:paraId="0F70E6EA" w14:textId="77777777" w:rsidTr="00A27E68">
        <w:trPr>
          <w:cantSplit/>
          <w:trHeight w:hRule="exact" w:val="432"/>
        </w:trPr>
        <w:tc>
          <w:tcPr>
            <w:tcW w:w="0" w:type="auto"/>
            <w:shd w:val="clear" w:color="auto" w:fill="auto"/>
            <w:vAlign w:val="center"/>
          </w:tcPr>
          <w:p w14:paraId="7ABE48F1" w14:textId="73622205" w:rsidR="00AF7280" w:rsidRPr="00A01E75" w:rsidRDefault="00AF7280" w:rsidP="001F1B36">
            <w:r>
              <w:t>CFQ</w:t>
            </w:r>
            <w:r w:rsidRPr="00A01E75">
              <w:t>6 - I tend to get very entangled in my thoughts</w:t>
            </w:r>
          </w:p>
        </w:tc>
        <w:tc>
          <w:tcPr>
            <w:tcW w:w="0" w:type="auto"/>
            <w:shd w:val="clear" w:color="auto" w:fill="auto"/>
            <w:vAlign w:val="center"/>
          </w:tcPr>
          <w:p w14:paraId="71013BB6" w14:textId="0B6C0526" w:rsidR="00AF7280" w:rsidRPr="00A01E75" w:rsidRDefault="00AF7280" w:rsidP="001F1B36">
            <w:pPr>
              <w:jc w:val="center"/>
            </w:pPr>
            <w:r>
              <w:t>-.077</w:t>
            </w:r>
          </w:p>
        </w:tc>
        <w:tc>
          <w:tcPr>
            <w:tcW w:w="0" w:type="auto"/>
            <w:shd w:val="clear" w:color="auto" w:fill="auto"/>
            <w:vAlign w:val="center"/>
          </w:tcPr>
          <w:p w14:paraId="575CA030" w14:textId="20AF3E06" w:rsidR="00AF7280" w:rsidRPr="00A01E75" w:rsidRDefault="00AF7280" w:rsidP="001F1B36">
            <w:pPr>
              <w:jc w:val="center"/>
            </w:pPr>
            <w:r>
              <w:rPr>
                <w:b/>
                <w:bCs/>
              </w:rPr>
              <w:t>.938</w:t>
            </w:r>
          </w:p>
        </w:tc>
        <w:tc>
          <w:tcPr>
            <w:tcW w:w="0" w:type="auto"/>
            <w:shd w:val="clear" w:color="auto" w:fill="auto"/>
            <w:vAlign w:val="center"/>
          </w:tcPr>
          <w:p w14:paraId="177A4102" w14:textId="454BE69A" w:rsidR="00AF7280" w:rsidRPr="00A01E75" w:rsidRDefault="00AF7280" w:rsidP="001F1B36">
            <w:pPr>
              <w:jc w:val="center"/>
            </w:pPr>
            <w:r>
              <w:t>-.077</w:t>
            </w:r>
          </w:p>
        </w:tc>
        <w:tc>
          <w:tcPr>
            <w:tcW w:w="0" w:type="auto"/>
            <w:shd w:val="clear" w:color="auto" w:fill="auto"/>
            <w:vAlign w:val="center"/>
          </w:tcPr>
          <w:p w14:paraId="481CAEF6" w14:textId="5736266A" w:rsidR="00AF7280" w:rsidRPr="00A01E75" w:rsidRDefault="00AF7280" w:rsidP="001F1B36">
            <w:pPr>
              <w:jc w:val="center"/>
            </w:pPr>
            <w:r>
              <w:t>.023</w:t>
            </w:r>
          </w:p>
        </w:tc>
      </w:tr>
      <w:tr w:rsidR="00AF7280" w:rsidRPr="00A01E75" w14:paraId="079B85A7" w14:textId="77777777" w:rsidTr="00A27E68">
        <w:trPr>
          <w:cantSplit/>
          <w:trHeight w:hRule="exact" w:val="603"/>
        </w:trPr>
        <w:tc>
          <w:tcPr>
            <w:tcW w:w="0" w:type="auto"/>
            <w:shd w:val="clear" w:color="auto" w:fill="auto"/>
            <w:vAlign w:val="center"/>
          </w:tcPr>
          <w:p w14:paraId="2C1E0440" w14:textId="1695CF70" w:rsidR="00AF7280" w:rsidRDefault="00AF7280" w:rsidP="001F1B36">
            <w:r>
              <w:t>CFQ</w:t>
            </w:r>
            <w:r w:rsidRPr="00A01E75">
              <w:t>7 - It's such a struggle to let go of upsetting thoughts even when I know that</w:t>
            </w:r>
            <w:r w:rsidR="001F1B36">
              <w:t xml:space="preserve"> letting go would be helpful</w:t>
            </w:r>
          </w:p>
          <w:p w14:paraId="0C43BA68" w14:textId="77777777" w:rsidR="00A27E68" w:rsidRDefault="00A27E68" w:rsidP="001F1B36"/>
          <w:p w14:paraId="795766C9" w14:textId="3ED5D375" w:rsidR="00A27E68" w:rsidRPr="00A01E75" w:rsidRDefault="00A27E68" w:rsidP="001F1B36"/>
        </w:tc>
        <w:tc>
          <w:tcPr>
            <w:tcW w:w="0" w:type="auto"/>
            <w:shd w:val="clear" w:color="auto" w:fill="auto"/>
            <w:vAlign w:val="center"/>
          </w:tcPr>
          <w:p w14:paraId="290F2DAC" w14:textId="095163FC" w:rsidR="00AF7280" w:rsidRPr="00A01E75" w:rsidRDefault="00AF7280" w:rsidP="001F1B36">
            <w:pPr>
              <w:jc w:val="center"/>
            </w:pPr>
            <w:r>
              <w:t>-.039</w:t>
            </w:r>
          </w:p>
        </w:tc>
        <w:tc>
          <w:tcPr>
            <w:tcW w:w="0" w:type="auto"/>
            <w:shd w:val="clear" w:color="auto" w:fill="auto"/>
            <w:vAlign w:val="center"/>
          </w:tcPr>
          <w:p w14:paraId="4657F4AE" w14:textId="406092F4" w:rsidR="00AF7280" w:rsidRPr="00A01E75" w:rsidRDefault="00AF7280" w:rsidP="001F1B36">
            <w:pPr>
              <w:jc w:val="center"/>
            </w:pPr>
            <w:r>
              <w:rPr>
                <w:b/>
                <w:bCs/>
              </w:rPr>
              <w:t>.873</w:t>
            </w:r>
          </w:p>
        </w:tc>
        <w:tc>
          <w:tcPr>
            <w:tcW w:w="0" w:type="auto"/>
            <w:shd w:val="clear" w:color="auto" w:fill="auto"/>
            <w:vAlign w:val="center"/>
          </w:tcPr>
          <w:p w14:paraId="37527ED8" w14:textId="7ACFFEA8" w:rsidR="00AF7280" w:rsidRPr="00A01E75" w:rsidRDefault="00AF7280" w:rsidP="001F1B36">
            <w:pPr>
              <w:jc w:val="center"/>
            </w:pPr>
            <w:r>
              <w:t>-.060</w:t>
            </w:r>
          </w:p>
        </w:tc>
        <w:tc>
          <w:tcPr>
            <w:tcW w:w="0" w:type="auto"/>
            <w:shd w:val="clear" w:color="auto" w:fill="auto"/>
            <w:vAlign w:val="center"/>
          </w:tcPr>
          <w:p w14:paraId="72D8F0D1" w14:textId="52099519" w:rsidR="00AF7280" w:rsidRPr="00A01E75" w:rsidRDefault="00AF7280" w:rsidP="001F1B36">
            <w:pPr>
              <w:jc w:val="center"/>
            </w:pPr>
            <w:r>
              <w:t>.041</w:t>
            </w:r>
          </w:p>
        </w:tc>
      </w:tr>
      <w:tr w:rsidR="00AF7280" w:rsidRPr="00A01E75" w14:paraId="5B16FAF2" w14:textId="77777777" w:rsidTr="00A27E68">
        <w:trPr>
          <w:cantSplit/>
          <w:trHeight w:hRule="exact" w:val="432"/>
        </w:trPr>
        <w:tc>
          <w:tcPr>
            <w:tcW w:w="0" w:type="auto"/>
            <w:shd w:val="clear" w:color="auto" w:fill="auto"/>
            <w:vAlign w:val="center"/>
          </w:tcPr>
          <w:p w14:paraId="746317BB" w14:textId="46B95D4D" w:rsidR="00AF7280" w:rsidRPr="00A01E75" w:rsidRDefault="00AF7280" w:rsidP="001F1B36">
            <w:r>
              <w:t>ATQ</w:t>
            </w:r>
            <w:r w:rsidRPr="00A01E75">
              <w:t>1 - I feel like I'm up against the world.</w:t>
            </w:r>
          </w:p>
        </w:tc>
        <w:tc>
          <w:tcPr>
            <w:tcW w:w="0" w:type="auto"/>
            <w:shd w:val="clear" w:color="auto" w:fill="auto"/>
            <w:vAlign w:val="center"/>
          </w:tcPr>
          <w:p w14:paraId="18924664" w14:textId="10428DE8" w:rsidR="00AF7280" w:rsidRPr="00A01E75" w:rsidRDefault="00AF7280" w:rsidP="001F1B36">
            <w:pPr>
              <w:jc w:val="center"/>
            </w:pPr>
            <w:r>
              <w:t>-.037</w:t>
            </w:r>
          </w:p>
        </w:tc>
        <w:tc>
          <w:tcPr>
            <w:tcW w:w="0" w:type="auto"/>
            <w:shd w:val="clear" w:color="auto" w:fill="auto"/>
            <w:vAlign w:val="center"/>
          </w:tcPr>
          <w:p w14:paraId="3EA31BB5" w14:textId="2220C07E" w:rsidR="00AF7280" w:rsidRPr="00A01E75" w:rsidRDefault="00AF7280" w:rsidP="001F1B36">
            <w:pPr>
              <w:jc w:val="center"/>
            </w:pPr>
            <w:r>
              <w:t>.162</w:t>
            </w:r>
          </w:p>
        </w:tc>
        <w:tc>
          <w:tcPr>
            <w:tcW w:w="0" w:type="auto"/>
            <w:shd w:val="clear" w:color="auto" w:fill="auto"/>
            <w:vAlign w:val="center"/>
          </w:tcPr>
          <w:p w14:paraId="126ABD22" w14:textId="62EFDE35" w:rsidR="00AF7280" w:rsidRPr="00A01E75" w:rsidRDefault="00AF7280" w:rsidP="001F1B36">
            <w:pPr>
              <w:jc w:val="center"/>
            </w:pPr>
            <w:r>
              <w:t>.193</w:t>
            </w:r>
          </w:p>
        </w:tc>
        <w:tc>
          <w:tcPr>
            <w:tcW w:w="0" w:type="auto"/>
            <w:shd w:val="clear" w:color="auto" w:fill="auto"/>
            <w:vAlign w:val="center"/>
          </w:tcPr>
          <w:p w14:paraId="23E674AE" w14:textId="72E3CA62" w:rsidR="00AF7280" w:rsidRPr="00A01E75" w:rsidRDefault="00AF7280" w:rsidP="001F1B36">
            <w:pPr>
              <w:jc w:val="center"/>
            </w:pPr>
            <w:r>
              <w:rPr>
                <w:b/>
                <w:bCs/>
              </w:rPr>
              <w:t>.438</w:t>
            </w:r>
          </w:p>
        </w:tc>
      </w:tr>
      <w:tr w:rsidR="00AF7280" w:rsidRPr="00A01E75" w14:paraId="31C5D4F4" w14:textId="77777777" w:rsidTr="00A27E68">
        <w:trPr>
          <w:cantSplit/>
          <w:trHeight w:hRule="exact" w:val="432"/>
        </w:trPr>
        <w:tc>
          <w:tcPr>
            <w:tcW w:w="0" w:type="auto"/>
            <w:shd w:val="clear" w:color="auto" w:fill="auto"/>
            <w:vAlign w:val="center"/>
          </w:tcPr>
          <w:p w14:paraId="1BA5F78C" w14:textId="5845BE34" w:rsidR="00AF7280" w:rsidRPr="00A01E75" w:rsidRDefault="00AF7280" w:rsidP="001F1B36">
            <w:r>
              <w:t>ATQ</w:t>
            </w:r>
            <w:r w:rsidRPr="00A01E75">
              <w:t>2 - I'm no good.</w:t>
            </w:r>
          </w:p>
        </w:tc>
        <w:tc>
          <w:tcPr>
            <w:tcW w:w="0" w:type="auto"/>
            <w:shd w:val="clear" w:color="auto" w:fill="auto"/>
            <w:vAlign w:val="center"/>
          </w:tcPr>
          <w:p w14:paraId="49168356" w14:textId="24EB37B5" w:rsidR="00AF7280" w:rsidRPr="00A01E75" w:rsidRDefault="00AF7280" w:rsidP="001F1B36">
            <w:pPr>
              <w:jc w:val="center"/>
            </w:pPr>
            <w:r>
              <w:rPr>
                <w:b/>
                <w:bCs/>
              </w:rPr>
              <w:t>.714</w:t>
            </w:r>
          </w:p>
        </w:tc>
        <w:tc>
          <w:tcPr>
            <w:tcW w:w="0" w:type="auto"/>
            <w:shd w:val="clear" w:color="auto" w:fill="auto"/>
            <w:vAlign w:val="center"/>
          </w:tcPr>
          <w:p w14:paraId="7FB94D09" w14:textId="1427A58F" w:rsidR="00AF7280" w:rsidRPr="00A01E75" w:rsidRDefault="00AF7280" w:rsidP="001F1B36">
            <w:pPr>
              <w:jc w:val="center"/>
            </w:pPr>
            <w:r>
              <w:t>.114</w:t>
            </w:r>
          </w:p>
        </w:tc>
        <w:tc>
          <w:tcPr>
            <w:tcW w:w="0" w:type="auto"/>
            <w:shd w:val="clear" w:color="auto" w:fill="auto"/>
            <w:vAlign w:val="center"/>
          </w:tcPr>
          <w:p w14:paraId="02CD4776" w14:textId="3B6EA4DB" w:rsidR="00AF7280" w:rsidRPr="00A01E75" w:rsidRDefault="00AF7280" w:rsidP="001F1B36">
            <w:pPr>
              <w:jc w:val="center"/>
            </w:pPr>
            <w:r>
              <w:t>.177</w:t>
            </w:r>
          </w:p>
        </w:tc>
        <w:tc>
          <w:tcPr>
            <w:tcW w:w="0" w:type="auto"/>
            <w:shd w:val="clear" w:color="auto" w:fill="auto"/>
            <w:vAlign w:val="center"/>
          </w:tcPr>
          <w:p w14:paraId="183B30A4" w14:textId="752AD331" w:rsidR="00AF7280" w:rsidRPr="00A01E75" w:rsidRDefault="00AF7280" w:rsidP="001F1B36">
            <w:pPr>
              <w:jc w:val="center"/>
            </w:pPr>
            <w:r>
              <w:t>-.041</w:t>
            </w:r>
          </w:p>
        </w:tc>
      </w:tr>
      <w:tr w:rsidR="00AF7280" w:rsidRPr="00A01E75" w14:paraId="171D0285" w14:textId="77777777" w:rsidTr="00A27E68">
        <w:trPr>
          <w:cantSplit/>
          <w:trHeight w:hRule="exact" w:val="432"/>
        </w:trPr>
        <w:tc>
          <w:tcPr>
            <w:tcW w:w="0" w:type="auto"/>
            <w:shd w:val="clear" w:color="auto" w:fill="auto"/>
            <w:vAlign w:val="center"/>
          </w:tcPr>
          <w:p w14:paraId="0D87692A" w14:textId="131F160B" w:rsidR="00AF7280" w:rsidRPr="00A01E75" w:rsidRDefault="00AF7280" w:rsidP="001F1B36">
            <w:r>
              <w:t>ATQ</w:t>
            </w:r>
            <w:r w:rsidRPr="00A01E75">
              <w:t>3 - Why can't I ever succeed?</w:t>
            </w:r>
          </w:p>
        </w:tc>
        <w:tc>
          <w:tcPr>
            <w:tcW w:w="0" w:type="auto"/>
            <w:shd w:val="clear" w:color="auto" w:fill="auto"/>
            <w:vAlign w:val="center"/>
          </w:tcPr>
          <w:p w14:paraId="1EDA1F8A" w14:textId="7EDF2701" w:rsidR="00AF7280" w:rsidRPr="00A01E75" w:rsidRDefault="00AF7280" w:rsidP="001F1B36">
            <w:pPr>
              <w:jc w:val="center"/>
            </w:pPr>
            <w:r>
              <w:rPr>
                <w:b/>
                <w:bCs/>
              </w:rPr>
              <w:t>.502</w:t>
            </w:r>
          </w:p>
        </w:tc>
        <w:tc>
          <w:tcPr>
            <w:tcW w:w="0" w:type="auto"/>
            <w:shd w:val="clear" w:color="auto" w:fill="auto"/>
            <w:vAlign w:val="center"/>
          </w:tcPr>
          <w:p w14:paraId="30F8BC36" w14:textId="58DB9601" w:rsidR="00AF7280" w:rsidRPr="00A01E75" w:rsidRDefault="00AF7280" w:rsidP="001F1B36">
            <w:pPr>
              <w:jc w:val="center"/>
            </w:pPr>
            <w:r>
              <w:t>.094</w:t>
            </w:r>
          </w:p>
        </w:tc>
        <w:tc>
          <w:tcPr>
            <w:tcW w:w="0" w:type="auto"/>
            <w:shd w:val="clear" w:color="auto" w:fill="auto"/>
            <w:vAlign w:val="center"/>
          </w:tcPr>
          <w:p w14:paraId="51593D9B" w14:textId="2B8C64B1" w:rsidR="00AF7280" w:rsidRPr="00A01E75" w:rsidRDefault="00AF7280" w:rsidP="001F1B36">
            <w:pPr>
              <w:jc w:val="center"/>
            </w:pPr>
            <w:r>
              <w:t>.342</w:t>
            </w:r>
          </w:p>
        </w:tc>
        <w:tc>
          <w:tcPr>
            <w:tcW w:w="0" w:type="auto"/>
            <w:shd w:val="clear" w:color="auto" w:fill="auto"/>
            <w:vAlign w:val="center"/>
          </w:tcPr>
          <w:p w14:paraId="679D42EA" w14:textId="3EF19153" w:rsidR="00AF7280" w:rsidRPr="00A01E75" w:rsidRDefault="00AF7280" w:rsidP="001F1B36">
            <w:pPr>
              <w:jc w:val="center"/>
            </w:pPr>
            <w:r>
              <w:t>.029</w:t>
            </w:r>
          </w:p>
        </w:tc>
      </w:tr>
      <w:tr w:rsidR="00AF7280" w:rsidRPr="00A01E75" w14:paraId="1C6BEE9B" w14:textId="77777777" w:rsidTr="00A27E68">
        <w:trPr>
          <w:cantSplit/>
          <w:trHeight w:hRule="exact" w:val="432"/>
        </w:trPr>
        <w:tc>
          <w:tcPr>
            <w:tcW w:w="0" w:type="auto"/>
            <w:shd w:val="clear" w:color="auto" w:fill="auto"/>
            <w:vAlign w:val="center"/>
          </w:tcPr>
          <w:p w14:paraId="4EF6774A" w14:textId="73C3D103" w:rsidR="00AF7280" w:rsidRPr="00A01E75" w:rsidRDefault="00AF7280" w:rsidP="001F1B36">
            <w:r>
              <w:t>ATQ</w:t>
            </w:r>
            <w:r w:rsidRPr="00A01E75">
              <w:t>4 - No one understands me.</w:t>
            </w:r>
          </w:p>
        </w:tc>
        <w:tc>
          <w:tcPr>
            <w:tcW w:w="0" w:type="auto"/>
            <w:shd w:val="clear" w:color="auto" w:fill="auto"/>
            <w:vAlign w:val="center"/>
          </w:tcPr>
          <w:p w14:paraId="604B3CF4" w14:textId="28C7AABD" w:rsidR="00AF7280" w:rsidRPr="00A01E75" w:rsidRDefault="00AF7280" w:rsidP="001F1B36">
            <w:pPr>
              <w:jc w:val="center"/>
            </w:pPr>
            <w:r>
              <w:t>.238</w:t>
            </w:r>
          </w:p>
        </w:tc>
        <w:tc>
          <w:tcPr>
            <w:tcW w:w="0" w:type="auto"/>
            <w:shd w:val="clear" w:color="auto" w:fill="auto"/>
            <w:vAlign w:val="center"/>
          </w:tcPr>
          <w:p w14:paraId="416E4C22" w14:textId="5545DFD0" w:rsidR="00AF7280" w:rsidRPr="00A01E75" w:rsidRDefault="00AF7280" w:rsidP="001F1B36">
            <w:pPr>
              <w:jc w:val="center"/>
            </w:pPr>
            <w:r>
              <w:t>.247</w:t>
            </w:r>
          </w:p>
        </w:tc>
        <w:tc>
          <w:tcPr>
            <w:tcW w:w="0" w:type="auto"/>
            <w:shd w:val="clear" w:color="auto" w:fill="auto"/>
            <w:vAlign w:val="center"/>
          </w:tcPr>
          <w:p w14:paraId="3F6B98FB" w14:textId="70AA02CF" w:rsidR="00AF7280" w:rsidRPr="00A01E75" w:rsidRDefault="00AF7280" w:rsidP="001F1B36">
            <w:pPr>
              <w:jc w:val="center"/>
            </w:pPr>
            <w:r>
              <w:t>.166</w:t>
            </w:r>
          </w:p>
        </w:tc>
        <w:tc>
          <w:tcPr>
            <w:tcW w:w="0" w:type="auto"/>
            <w:shd w:val="clear" w:color="auto" w:fill="auto"/>
            <w:vAlign w:val="center"/>
          </w:tcPr>
          <w:p w14:paraId="1DD8ACDA" w14:textId="752D5972" w:rsidR="00AF7280" w:rsidRPr="00A01E75" w:rsidRDefault="00AF7280" w:rsidP="001F1B36">
            <w:pPr>
              <w:jc w:val="center"/>
            </w:pPr>
            <w:r>
              <w:t>.243</w:t>
            </w:r>
          </w:p>
        </w:tc>
      </w:tr>
      <w:tr w:rsidR="00AF7280" w:rsidRPr="00A01E75" w14:paraId="263F1C55" w14:textId="77777777" w:rsidTr="00A27E68">
        <w:trPr>
          <w:cantSplit/>
          <w:trHeight w:hRule="exact" w:val="432"/>
        </w:trPr>
        <w:tc>
          <w:tcPr>
            <w:tcW w:w="0" w:type="auto"/>
            <w:shd w:val="clear" w:color="auto" w:fill="auto"/>
            <w:vAlign w:val="center"/>
          </w:tcPr>
          <w:p w14:paraId="73AD67C1" w14:textId="4F95378C" w:rsidR="00AF7280" w:rsidRPr="00A01E75" w:rsidRDefault="00AF7280" w:rsidP="001F1B36">
            <w:r>
              <w:t>ATQ</w:t>
            </w:r>
            <w:r w:rsidRPr="00A01E75">
              <w:t>5 - I've let people down.</w:t>
            </w:r>
          </w:p>
        </w:tc>
        <w:tc>
          <w:tcPr>
            <w:tcW w:w="0" w:type="auto"/>
            <w:shd w:val="clear" w:color="auto" w:fill="auto"/>
            <w:vAlign w:val="center"/>
          </w:tcPr>
          <w:p w14:paraId="5E7240D6" w14:textId="4B35C71D" w:rsidR="00AF7280" w:rsidRPr="00A01E75" w:rsidRDefault="00AF7280" w:rsidP="001F1B36">
            <w:pPr>
              <w:jc w:val="center"/>
            </w:pPr>
            <w:r>
              <w:rPr>
                <w:b/>
                <w:bCs/>
              </w:rPr>
              <w:t>.443</w:t>
            </w:r>
          </w:p>
        </w:tc>
        <w:tc>
          <w:tcPr>
            <w:tcW w:w="0" w:type="auto"/>
            <w:shd w:val="clear" w:color="auto" w:fill="auto"/>
            <w:vAlign w:val="center"/>
          </w:tcPr>
          <w:p w14:paraId="602E36F8" w14:textId="36EAC90F" w:rsidR="00AF7280" w:rsidRPr="00A01E75" w:rsidRDefault="00AF7280" w:rsidP="001F1B36">
            <w:pPr>
              <w:jc w:val="center"/>
            </w:pPr>
            <w:r>
              <w:t>.257</w:t>
            </w:r>
          </w:p>
        </w:tc>
        <w:tc>
          <w:tcPr>
            <w:tcW w:w="0" w:type="auto"/>
            <w:shd w:val="clear" w:color="auto" w:fill="auto"/>
            <w:vAlign w:val="center"/>
          </w:tcPr>
          <w:p w14:paraId="67FFB124" w14:textId="166ECC6F" w:rsidR="00AF7280" w:rsidRPr="00A01E75" w:rsidRDefault="00AF7280" w:rsidP="001F1B36">
            <w:pPr>
              <w:jc w:val="center"/>
            </w:pPr>
            <w:r>
              <w:t>.178</w:t>
            </w:r>
          </w:p>
        </w:tc>
        <w:tc>
          <w:tcPr>
            <w:tcW w:w="0" w:type="auto"/>
            <w:shd w:val="clear" w:color="auto" w:fill="auto"/>
            <w:vAlign w:val="center"/>
          </w:tcPr>
          <w:p w14:paraId="573BA53E" w14:textId="6BE94434" w:rsidR="00AF7280" w:rsidRPr="00A01E75" w:rsidRDefault="00AF7280" w:rsidP="001F1B36">
            <w:pPr>
              <w:jc w:val="center"/>
            </w:pPr>
            <w:r>
              <w:t>.056</w:t>
            </w:r>
          </w:p>
        </w:tc>
      </w:tr>
      <w:tr w:rsidR="00AF7280" w:rsidRPr="00A01E75" w14:paraId="15327CB2" w14:textId="77777777" w:rsidTr="00A27E68">
        <w:trPr>
          <w:cantSplit/>
          <w:trHeight w:hRule="exact" w:val="432"/>
        </w:trPr>
        <w:tc>
          <w:tcPr>
            <w:tcW w:w="0" w:type="auto"/>
            <w:shd w:val="clear" w:color="auto" w:fill="auto"/>
            <w:vAlign w:val="center"/>
          </w:tcPr>
          <w:p w14:paraId="5E2EB66E" w14:textId="2A877962" w:rsidR="00AF7280" w:rsidRPr="00A01E75" w:rsidRDefault="00AF7280" w:rsidP="001F1B36">
            <w:r>
              <w:t>ATQ</w:t>
            </w:r>
            <w:r w:rsidRPr="00A01E75">
              <w:t>6 - I don't think I can go on.</w:t>
            </w:r>
          </w:p>
        </w:tc>
        <w:tc>
          <w:tcPr>
            <w:tcW w:w="0" w:type="auto"/>
            <w:shd w:val="clear" w:color="auto" w:fill="auto"/>
            <w:vAlign w:val="center"/>
          </w:tcPr>
          <w:p w14:paraId="411973BA" w14:textId="342BF820" w:rsidR="00AF7280" w:rsidRPr="00A01E75" w:rsidRDefault="00AF7280" w:rsidP="001F1B36">
            <w:pPr>
              <w:jc w:val="center"/>
            </w:pPr>
            <w:r>
              <w:t>.182</w:t>
            </w:r>
          </w:p>
        </w:tc>
        <w:tc>
          <w:tcPr>
            <w:tcW w:w="0" w:type="auto"/>
            <w:shd w:val="clear" w:color="auto" w:fill="auto"/>
            <w:vAlign w:val="center"/>
          </w:tcPr>
          <w:p w14:paraId="08797147" w14:textId="0319561D" w:rsidR="00AF7280" w:rsidRPr="00A01E75" w:rsidRDefault="00AF7280" w:rsidP="001F1B36">
            <w:pPr>
              <w:jc w:val="center"/>
            </w:pPr>
            <w:r>
              <w:t>.045</w:t>
            </w:r>
          </w:p>
        </w:tc>
        <w:tc>
          <w:tcPr>
            <w:tcW w:w="0" w:type="auto"/>
            <w:shd w:val="clear" w:color="auto" w:fill="auto"/>
            <w:vAlign w:val="center"/>
          </w:tcPr>
          <w:p w14:paraId="35FB67F1" w14:textId="463DDD32" w:rsidR="00AF7280" w:rsidRPr="00A01E75" w:rsidRDefault="00AF7280" w:rsidP="001F1B36">
            <w:pPr>
              <w:jc w:val="center"/>
            </w:pPr>
            <w:r>
              <w:t>-.066</w:t>
            </w:r>
          </w:p>
        </w:tc>
        <w:tc>
          <w:tcPr>
            <w:tcW w:w="0" w:type="auto"/>
            <w:shd w:val="clear" w:color="auto" w:fill="auto"/>
            <w:vAlign w:val="center"/>
          </w:tcPr>
          <w:p w14:paraId="08CF5668" w14:textId="2A2B8CD5" w:rsidR="00AF7280" w:rsidRPr="00A01E75" w:rsidRDefault="00AF7280" w:rsidP="001F1B36">
            <w:pPr>
              <w:jc w:val="center"/>
            </w:pPr>
            <w:r>
              <w:rPr>
                <w:b/>
                <w:bCs/>
              </w:rPr>
              <w:t>.569</w:t>
            </w:r>
          </w:p>
        </w:tc>
      </w:tr>
      <w:tr w:rsidR="00AF7280" w:rsidRPr="00A01E75" w14:paraId="5E89C7A7" w14:textId="77777777" w:rsidTr="00A27E68">
        <w:trPr>
          <w:cantSplit/>
          <w:trHeight w:hRule="exact" w:val="432"/>
        </w:trPr>
        <w:tc>
          <w:tcPr>
            <w:tcW w:w="0" w:type="auto"/>
            <w:shd w:val="clear" w:color="auto" w:fill="auto"/>
            <w:vAlign w:val="center"/>
          </w:tcPr>
          <w:p w14:paraId="4CE672E2" w14:textId="369E0F76" w:rsidR="00AF7280" w:rsidRPr="00A01E75" w:rsidRDefault="00AF7280" w:rsidP="001F1B36">
            <w:r>
              <w:t>ATQ</w:t>
            </w:r>
            <w:r w:rsidRPr="00A01E75">
              <w:t>7 - I wish I were a better person.</w:t>
            </w:r>
          </w:p>
        </w:tc>
        <w:tc>
          <w:tcPr>
            <w:tcW w:w="0" w:type="auto"/>
            <w:shd w:val="clear" w:color="auto" w:fill="auto"/>
            <w:vAlign w:val="center"/>
          </w:tcPr>
          <w:p w14:paraId="3FD2271C" w14:textId="54B9834F" w:rsidR="00AF7280" w:rsidRPr="00A01E75" w:rsidRDefault="00AF7280" w:rsidP="001F1B36">
            <w:pPr>
              <w:jc w:val="center"/>
            </w:pPr>
            <w:r>
              <w:rPr>
                <w:b/>
                <w:bCs/>
              </w:rPr>
              <w:t>.518</w:t>
            </w:r>
          </w:p>
        </w:tc>
        <w:tc>
          <w:tcPr>
            <w:tcW w:w="0" w:type="auto"/>
            <w:shd w:val="clear" w:color="auto" w:fill="auto"/>
            <w:vAlign w:val="center"/>
          </w:tcPr>
          <w:p w14:paraId="7C33434C" w14:textId="589AA825" w:rsidR="00AF7280" w:rsidRPr="00A01E75" w:rsidRDefault="00AF7280" w:rsidP="001F1B36">
            <w:pPr>
              <w:jc w:val="center"/>
            </w:pPr>
            <w:r>
              <w:t>.151</w:t>
            </w:r>
          </w:p>
        </w:tc>
        <w:tc>
          <w:tcPr>
            <w:tcW w:w="0" w:type="auto"/>
            <w:shd w:val="clear" w:color="auto" w:fill="auto"/>
            <w:vAlign w:val="center"/>
          </w:tcPr>
          <w:p w14:paraId="55A9AA8D" w14:textId="44652761" w:rsidR="00AF7280" w:rsidRPr="00A01E75" w:rsidRDefault="00AF7280" w:rsidP="001F1B36">
            <w:pPr>
              <w:jc w:val="center"/>
            </w:pPr>
            <w:r>
              <w:t>.268</w:t>
            </w:r>
          </w:p>
        </w:tc>
        <w:tc>
          <w:tcPr>
            <w:tcW w:w="0" w:type="auto"/>
            <w:shd w:val="clear" w:color="auto" w:fill="auto"/>
            <w:vAlign w:val="center"/>
          </w:tcPr>
          <w:p w14:paraId="6900CB72" w14:textId="7DDD3317" w:rsidR="00AF7280" w:rsidRPr="00A01E75" w:rsidRDefault="00AF7280" w:rsidP="001F1B36">
            <w:pPr>
              <w:jc w:val="center"/>
            </w:pPr>
            <w:r>
              <w:t>-.069</w:t>
            </w:r>
          </w:p>
        </w:tc>
      </w:tr>
      <w:tr w:rsidR="00AF7280" w:rsidRPr="00A01E75" w14:paraId="15195108" w14:textId="77777777" w:rsidTr="00A27E68">
        <w:trPr>
          <w:cantSplit/>
          <w:trHeight w:hRule="exact" w:val="432"/>
        </w:trPr>
        <w:tc>
          <w:tcPr>
            <w:tcW w:w="0" w:type="auto"/>
            <w:shd w:val="clear" w:color="auto" w:fill="auto"/>
            <w:vAlign w:val="center"/>
          </w:tcPr>
          <w:p w14:paraId="66BD3971" w14:textId="409C4BF0" w:rsidR="00AF7280" w:rsidRPr="00A01E75" w:rsidRDefault="00AF7280" w:rsidP="001F1B36">
            <w:r>
              <w:t>ATQ</w:t>
            </w:r>
            <w:r w:rsidRPr="00A01E75">
              <w:t>8 - I'm so weak.</w:t>
            </w:r>
          </w:p>
        </w:tc>
        <w:tc>
          <w:tcPr>
            <w:tcW w:w="0" w:type="auto"/>
            <w:shd w:val="clear" w:color="auto" w:fill="auto"/>
            <w:vAlign w:val="center"/>
          </w:tcPr>
          <w:p w14:paraId="045193D9" w14:textId="0FDA2F02" w:rsidR="00AF7280" w:rsidRPr="00A01E75" w:rsidRDefault="00AF7280" w:rsidP="001F1B36">
            <w:pPr>
              <w:jc w:val="center"/>
            </w:pPr>
            <w:r>
              <w:rPr>
                <w:b/>
                <w:bCs/>
              </w:rPr>
              <w:t>.591</w:t>
            </w:r>
          </w:p>
        </w:tc>
        <w:tc>
          <w:tcPr>
            <w:tcW w:w="0" w:type="auto"/>
            <w:shd w:val="clear" w:color="auto" w:fill="auto"/>
            <w:vAlign w:val="center"/>
          </w:tcPr>
          <w:p w14:paraId="48A19F9B" w14:textId="775C0634" w:rsidR="00AF7280" w:rsidRPr="00A01E75" w:rsidRDefault="00AF7280" w:rsidP="001F1B36">
            <w:pPr>
              <w:jc w:val="center"/>
            </w:pPr>
            <w:r>
              <w:t>.142</w:t>
            </w:r>
          </w:p>
        </w:tc>
        <w:tc>
          <w:tcPr>
            <w:tcW w:w="0" w:type="auto"/>
            <w:shd w:val="clear" w:color="auto" w:fill="auto"/>
            <w:vAlign w:val="center"/>
          </w:tcPr>
          <w:p w14:paraId="7B74EADA" w14:textId="272759A5" w:rsidR="00AF7280" w:rsidRPr="00A01E75" w:rsidRDefault="00AF7280" w:rsidP="001F1B36">
            <w:pPr>
              <w:jc w:val="center"/>
            </w:pPr>
            <w:r>
              <w:t>.113</w:t>
            </w:r>
          </w:p>
        </w:tc>
        <w:tc>
          <w:tcPr>
            <w:tcW w:w="0" w:type="auto"/>
            <w:shd w:val="clear" w:color="auto" w:fill="auto"/>
            <w:vAlign w:val="center"/>
          </w:tcPr>
          <w:p w14:paraId="4F629C77" w14:textId="3C0F3FE8" w:rsidR="00AF7280" w:rsidRPr="00A01E75" w:rsidRDefault="00AF7280" w:rsidP="001F1B36">
            <w:pPr>
              <w:jc w:val="center"/>
            </w:pPr>
            <w:r>
              <w:t>.039</w:t>
            </w:r>
          </w:p>
        </w:tc>
      </w:tr>
      <w:tr w:rsidR="00AF7280" w:rsidRPr="00A01E75" w14:paraId="10C8F84F" w14:textId="77777777" w:rsidTr="00A27E68">
        <w:trPr>
          <w:cantSplit/>
          <w:trHeight w:hRule="exact" w:val="432"/>
        </w:trPr>
        <w:tc>
          <w:tcPr>
            <w:tcW w:w="0" w:type="auto"/>
            <w:shd w:val="clear" w:color="auto" w:fill="auto"/>
            <w:vAlign w:val="center"/>
          </w:tcPr>
          <w:p w14:paraId="0746648B" w14:textId="4B4DAC17" w:rsidR="00AF7280" w:rsidRPr="00A01E75" w:rsidRDefault="00AF7280" w:rsidP="001F1B36">
            <w:r>
              <w:t>ATQ</w:t>
            </w:r>
            <w:r w:rsidRPr="00A01E75">
              <w:t>9 - My life's not going the way I want it to.</w:t>
            </w:r>
          </w:p>
        </w:tc>
        <w:tc>
          <w:tcPr>
            <w:tcW w:w="0" w:type="auto"/>
            <w:shd w:val="clear" w:color="auto" w:fill="auto"/>
            <w:vAlign w:val="center"/>
          </w:tcPr>
          <w:p w14:paraId="328BEAA9" w14:textId="78D72236" w:rsidR="00AF7280" w:rsidRPr="00A01E75" w:rsidRDefault="00AF7280" w:rsidP="001F1B36">
            <w:pPr>
              <w:jc w:val="center"/>
            </w:pPr>
            <w:r>
              <w:t>.315</w:t>
            </w:r>
          </w:p>
        </w:tc>
        <w:tc>
          <w:tcPr>
            <w:tcW w:w="0" w:type="auto"/>
            <w:shd w:val="clear" w:color="auto" w:fill="auto"/>
            <w:vAlign w:val="center"/>
          </w:tcPr>
          <w:p w14:paraId="3CB617C8" w14:textId="27D2E523" w:rsidR="00AF7280" w:rsidRPr="00A01E75" w:rsidRDefault="00AF7280" w:rsidP="001F1B36">
            <w:pPr>
              <w:jc w:val="center"/>
            </w:pPr>
            <w:r>
              <w:t>.014</w:t>
            </w:r>
          </w:p>
        </w:tc>
        <w:tc>
          <w:tcPr>
            <w:tcW w:w="0" w:type="auto"/>
            <w:shd w:val="clear" w:color="auto" w:fill="auto"/>
            <w:vAlign w:val="center"/>
          </w:tcPr>
          <w:p w14:paraId="30BB2AF3" w14:textId="6F98C489" w:rsidR="00AF7280" w:rsidRPr="00A01E75" w:rsidRDefault="00AF7280" w:rsidP="001F1B36">
            <w:pPr>
              <w:jc w:val="center"/>
            </w:pPr>
            <w:r>
              <w:rPr>
                <w:b/>
                <w:bCs/>
              </w:rPr>
              <w:t>.406</w:t>
            </w:r>
          </w:p>
        </w:tc>
        <w:tc>
          <w:tcPr>
            <w:tcW w:w="0" w:type="auto"/>
            <w:shd w:val="clear" w:color="auto" w:fill="auto"/>
            <w:vAlign w:val="center"/>
          </w:tcPr>
          <w:p w14:paraId="176B7735" w14:textId="12D3DF6F" w:rsidR="00AF7280" w:rsidRPr="00A01E75" w:rsidRDefault="00AF7280" w:rsidP="001F1B36">
            <w:pPr>
              <w:jc w:val="center"/>
            </w:pPr>
            <w:r>
              <w:t>.197</w:t>
            </w:r>
          </w:p>
        </w:tc>
      </w:tr>
      <w:tr w:rsidR="00AF7280" w:rsidRPr="00A01E75" w14:paraId="77F8E40A" w14:textId="77777777" w:rsidTr="00A27E68">
        <w:trPr>
          <w:cantSplit/>
          <w:trHeight w:hRule="exact" w:val="432"/>
        </w:trPr>
        <w:tc>
          <w:tcPr>
            <w:tcW w:w="0" w:type="auto"/>
            <w:shd w:val="clear" w:color="auto" w:fill="auto"/>
            <w:vAlign w:val="center"/>
          </w:tcPr>
          <w:p w14:paraId="08EAB031" w14:textId="261DA4E6" w:rsidR="00AF7280" w:rsidRPr="00A01E75" w:rsidRDefault="00AF7280" w:rsidP="001F1B36">
            <w:r>
              <w:t>ATQ</w:t>
            </w:r>
            <w:r w:rsidRPr="00A01E75">
              <w:t>10 - I'm so disappointed in myself.</w:t>
            </w:r>
          </w:p>
        </w:tc>
        <w:tc>
          <w:tcPr>
            <w:tcW w:w="0" w:type="auto"/>
            <w:shd w:val="clear" w:color="auto" w:fill="auto"/>
            <w:vAlign w:val="center"/>
          </w:tcPr>
          <w:p w14:paraId="2E75F1D6" w14:textId="645A630C" w:rsidR="00AF7280" w:rsidRPr="00A01E75" w:rsidRDefault="00AF7280" w:rsidP="001F1B36">
            <w:pPr>
              <w:jc w:val="center"/>
            </w:pPr>
            <w:r>
              <w:rPr>
                <w:b/>
                <w:bCs/>
              </w:rPr>
              <w:t>.613</w:t>
            </w:r>
          </w:p>
        </w:tc>
        <w:tc>
          <w:tcPr>
            <w:tcW w:w="0" w:type="auto"/>
            <w:shd w:val="clear" w:color="auto" w:fill="auto"/>
            <w:vAlign w:val="center"/>
          </w:tcPr>
          <w:p w14:paraId="7DCB74C2" w14:textId="035AEE30" w:rsidR="00AF7280" w:rsidRPr="00A01E75" w:rsidRDefault="00AF7280" w:rsidP="001F1B36">
            <w:pPr>
              <w:jc w:val="center"/>
            </w:pPr>
            <w:r>
              <w:t>.088</w:t>
            </w:r>
          </w:p>
        </w:tc>
        <w:tc>
          <w:tcPr>
            <w:tcW w:w="0" w:type="auto"/>
            <w:shd w:val="clear" w:color="auto" w:fill="auto"/>
            <w:vAlign w:val="center"/>
          </w:tcPr>
          <w:p w14:paraId="014B2467" w14:textId="3CF4C251" w:rsidR="00AF7280" w:rsidRPr="00A01E75" w:rsidRDefault="00AF7280" w:rsidP="001F1B36">
            <w:pPr>
              <w:jc w:val="center"/>
            </w:pPr>
            <w:r>
              <w:t>.287</w:t>
            </w:r>
          </w:p>
        </w:tc>
        <w:tc>
          <w:tcPr>
            <w:tcW w:w="0" w:type="auto"/>
            <w:shd w:val="clear" w:color="auto" w:fill="auto"/>
            <w:vAlign w:val="center"/>
          </w:tcPr>
          <w:p w14:paraId="3AC02284" w14:textId="74984EF6" w:rsidR="00AF7280" w:rsidRPr="00A01E75" w:rsidRDefault="00AF7280" w:rsidP="001F1B36">
            <w:pPr>
              <w:jc w:val="center"/>
            </w:pPr>
            <w:r>
              <w:t>.016</w:t>
            </w:r>
          </w:p>
        </w:tc>
      </w:tr>
      <w:tr w:rsidR="00AF7280" w:rsidRPr="00A01E75" w14:paraId="2DDD4988" w14:textId="77777777" w:rsidTr="00A27E68">
        <w:trPr>
          <w:cantSplit/>
          <w:trHeight w:hRule="exact" w:val="432"/>
        </w:trPr>
        <w:tc>
          <w:tcPr>
            <w:tcW w:w="0" w:type="auto"/>
            <w:shd w:val="clear" w:color="auto" w:fill="auto"/>
            <w:vAlign w:val="center"/>
          </w:tcPr>
          <w:p w14:paraId="225140E1" w14:textId="2BC06FF8" w:rsidR="00AF7280" w:rsidRPr="00A01E75" w:rsidRDefault="00AF7280" w:rsidP="001F1B36">
            <w:r>
              <w:t>ATQ</w:t>
            </w:r>
            <w:r w:rsidRPr="00A01E75">
              <w:t>11 - Nothing feels good anymore.</w:t>
            </w:r>
          </w:p>
        </w:tc>
        <w:tc>
          <w:tcPr>
            <w:tcW w:w="0" w:type="auto"/>
            <w:shd w:val="clear" w:color="auto" w:fill="auto"/>
            <w:vAlign w:val="center"/>
          </w:tcPr>
          <w:p w14:paraId="2232CB49" w14:textId="0FE9146E" w:rsidR="00AF7280" w:rsidRPr="00A01E75" w:rsidRDefault="00AF7280" w:rsidP="001F1B36">
            <w:pPr>
              <w:jc w:val="center"/>
            </w:pPr>
            <w:r>
              <w:t>.085</w:t>
            </w:r>
          </w:p>
        </w:tc>
        <w:tc>
          <w:tcPr>
            <w:tcW w:w="0" w:type="auto"/>
            <w:shd w:val="clear" w:color="auto" w:fill="auto"/>
            <w:vAlign w:val="center"/>
          </w:tcPr>
          <w:p w14:paraId="11AD774E" w14:textId="492E2D92" w:rsidR="00AF7280" w:rsidRPr="00A01E75" w:rsidRDefault="00AF7280" w:rsidP="001F1B36">
            <w:pPr>
              <w:jc w:val="center"/>
            </w:pPr>
            <w:r>
              <w:t>.094</w:t>
            </w:r>
          </w:p>
        </w:tc>
        <w:tc>
          <w:tcPr>
            <w:tcW w:w="0" w:type="auto"/>
            <w:shd w:val="clear" w:color="auto" w:fill="auto"/>
            <w:vAlign w:val="center"/>
          </w:tcPr>
          <w:p w14:paraId="46C69F43" w14:textId="4112CBAF" w:rsidR="00AF7280" w:rsidRPr="00A01E75" w:rsidRDefault="00AF7280" w:rsidP="001F1B36">
            <w:pPr>
              <w:jc w:val="center"/>
            </w:pPr>
            <w:r>
              <w:t>.099</w:t>
            </w:r>
          </w:p>
        </w:tc>
        <w:tc>
          <w:tcPr>
            <w:tcW w:w="0" w:type="auto"/>
            <w:shd w:val="clear" w:color="auto" w:fill="auto"/>
            <w:vAlign w:val="center"/>
          </w:tcPr>
          <w:p w14:paraId="4CD8A275" w14:textId="2C0563C2" w:rsidR="00AF7280" w:rsidRPr="00A01E75" w:rsidRDefault="00AF7280" w:rsidP="001F1B36">
            <w:pPr>
              <w:jc w:val="center"/>
            </w:pPr>
            <w:r>
              <w:rPr>
                <w:b/>
                <w:bCs/>
              </w:rPr>
              <w:t>.620</w:t>
            </w:r>
          </w:p>
        </w:tc>
      </w:tr>
      <w:tr w:rsidR="00AF7280" w:rsidRPr="00A01E75" w14:paraId="7F718805" w14:textId="77777777" w:rsidTr="00A27E68">
        <w:trPr>
          <w:cantSplit/>
          <w:trHeight w:hRule="exact" w:val="432"/>
        </w:trPr>
        <w:tc>
          <w:tcPr>
            <w:tcW w:w="0" w:type="auto"/>
            <w:shd w:val="clear" w:color="auto" w:fill="auto"/>
            <w:vAlign w:val="center"/>
          </w:tcPr>
          <w:p w14:paraId="1D5AB6E2" w14:textId="24ACEDF3" w:rsidR="00AF7280" w:rsidRPr="00A01E75" w:rsidRDefault="00AF7280" w:rsidP="001F1B36">
            <w:r>
              <w:t>ATQ</w:t>
            </w:r>
            <w:r w:rsidRPr="00A01E75">
              <w:t>12 - I can't stand this anymore.</w:t>
            </w:r>
          </w:p>
        </w:tc>
        <w:tc>
          <w:tcPr>
            <w:tcW w:w="0" w:type="auto"/>
            <w:shd w:val="clear" w:color="auto" w:fill="auto"/>
            <w:vAlign w:val="center"/>
          </w:tcPr>
          <w:p w14:paraId="3C26B2BA" w14:textId="0032D1BD" w:rsidR="00AF7280" w:rsidRPr="00A01E75" w:rsidRDefault="00AF7280" w:rsidP="001F1B36">
            <w:pPr>
              <w:jc w:val="center"/>
            </w:pPr>
            <w:r>
              <w:t>.137</w:t>
            </w:r>
          </w:p>
        </w:tc>
        <w:tc>
          <w:tcPr>
            <w:tcW w:w="0" w:type="auto"/>
            <w:shd w:val="clear" w:color="auto" w:fill="auto"/>
            <w:vAlign w:val="center"/>
          </w:tcPr>
          <w:p w14:paraId="33A34D02" w14:textId="2B5B1407" w:rsidR="00AF7280" w:rsidRPr="00A01E75" w:rsidRDefault="00AF7280" w:rsidP="001F1B36">
            <w:pPr>
              <w:jc w:val="center"/>
            </w:pPr>
            <w:r>
              <w:t>.154</w:t>
            </w:r>
          </w:p>
        </w:tc>
        <w:tc>
          <w:tcPr>
            <w:tcW w:w="0" w:type="auto"/>
            <w:shd w:val="clear" w:color="auto" w:fill="auto"/>
            <w:vAlign w:val="center"/>
          </w:tcPr>
          <w:p w14:paraId="1ACE0B7D" w14:textId="311A5FBA" w:rsidR="00AF7280" w:rsidRPr="00A01E75" w:rsidRDefault="00AF7280" w:rsidP="001F1B36">
            <w:pPr>
              <w:jc w:val="center"/>
            </w:pPr>
            <w:r>
              <w:t>-.031</w:t>
            </w:r>
          </w:p>
        </w:tc>
        <w:tc>
          <w:tcPr>
            <w:tcW w:w="0" w:type="auto"/>
            <w:shd w:val="clear" w:color="auto" w:fill="auto"/>
            <w:vAlign w:val="center"/>
          </w:tcPr>
          <w:p w14:paraId="6D9B7201" w14:textId="6907B2E7" w:rsidR="00AF7280" w:rsidRPr="00A01E75" w:rsidRDefault="00AF7280" w:rsidP="001F1B36">
            <w:pPr>
              <w:jc w:val="center"/>
            </w:pPr>
            <w:r>
              <w:rPr>
                <w:b/>
                <w:bCs/>
              </w:rPr>
              <w:t>.571</w:t>
            </w:r>
          </w:p>
        </w:tc>
      </w:tr>
      <w:tr w:rsidR="00AF7280" w:rsidRPr="00A01E75" w14:paraId="0A815EF3" w14:textId="77777777" w:rsidTr="00A27E68">
        <w:trPr>
          <w:cantSplit/>
          <w:trHeight w:hRule="exact" w:val="432"/>
        </w:trPr>
        <w:tc>
          <w:tcPr>
            <w:tcW w:w="0" w:type="auto"/>
            <w:shd w:val="clear" w:color="auto" w:fill="auto"/>
            <w:vAlign w:val="center"/>
          </w:tcPr>
          <w:p w14:paraId="417C2B2A" w14:textId="10FA112F" w:rsidR="00AF7280" w:rsidRPr="00A01E75" w:rsidRDefault="00AF7280" w:rsidP="001F1B36">
            <w:r>
              <w:t>ATQ</w:t>
            </w:r>
            <w:r w:rsidRPr="00A01E75">
              <w:t>13 - I can't get started</w:t>
            </w:r>
          </w:p>
        </w:tc>
        <w:tc>
          <w:tcPr>
            <w:tcW w:w="0" w:type="auto"/>
            <w:shd w:val="clear" w:color="auto" w:fill="auto"/>
            <w:vAlign w:val="center"/>
          </w:tcPr>
          <w:p w14:paraId="5390D421" w14:textId="7F49AA50" w:rsidR="00AF7280" w:rsidRPr="00A01E75" w:rsidRDefault="00AF7280" w:rsidP="001F1B36">
            <w:pPr>
              <w:jc w:val="center"/>
            </w:pPr>
            <w:r>
              <w:t>-.154</w:t>
            </w:r>
          </w:p>
        </w:tc>
        <w:tc>
          <w:tcPr>
            <w:tcW w:w="0" w:type="auto"/>
            <w:shd w:val="clear" w:color="auto" w:fill="auto"/>
            <w:vAlign w:val="center"/>
          </w:tcPr>
          <w:p w14:paraId="7626E913" w14:textId="4EDB4A70" w:rsidR="00AF7280" w:rsidRPr="00A01E75" w:rsidRDefault="00AF7280" w:rsidP="001F1B36">
            <w:pPr>
              <w:jc w:val="center"/>
            </w:pPr>
            <w:r>
              <w:t>.134</w:t>
            </w:r>
          </w:p>
        </w:tc>
        <w:tc>
          <w:tcPr>
            <w:tcW w:w="0" w:type="auto"/>
            <w:shd w:val="clear" w:color="auto" w:fill="auto"/>
            <w:vAlign w:val="center"/>
          </w:tcPr>
          <w:p w14:paraId="4DC87E1B" w14:textId="6021E7D3" w:rsidR="00AF7280" w:rsidRPr="00A01E75" w:rsidRDefault="00AF7280" w:rsidP="001F1B36">
            <w:pPr>
              <w:jc w:val="center"/>
            </w:pPr>
            <w:r>
              <w:t>.206</w:t>
            </w:r>
          </w:p>
        </w:tc>
        <w:tc>
          <w:tcPr>
            <w:tcW w:w="0" w:type="auto"/>
            <w:shd w:val="clear" w:color="auto" w:fill="auto"/>
            <w:vAlign w:val="center"/>
          </w:tcPr>
          <w:p w14:paraId="1F9AA38F" w14:textId="74680F15" w:rsidR="00AF7280" w:rsidRPr="00A01E75" w:rsidRDefault="00AF7280" w:rsidP="001F1B36">
            <w:pPr>
              <w:jc w:val="center"/>
            </w:pPr>
            <w:r>
              <w:rPr>
                <w:b/>
                <w:bCs/>
              </w:rPr>
              <w:t>.686</w:t>
            </w:r>
          </w:p>
        </w:tc>
      </w:tr>
      <w:tr w:rsidR="00AF7280" w:rsidRPr="00A01E75" w14:paraId="6AFB8867" w14:textId="77777777" w:rsidTr="00A27E68">
        <w:trPr>
          <w:cantSplit/>
          <w:trHeight w:hRule="exact" w:val="432"/>
        </w:trPr>
        <w:tc>
          <w:tcPr>
            <w:tcW w:w="0" w:type="auto"/>
            <w:shd w:val="clear" w:color="auto" w:fill="auto"/>
            <w:vAlign w:val="center"/>
          </w:tcPr>
          <w:p w14:paraId="20243405" w14:textId="026EC600" w:rsidR="00AF7280" w:rsidRPr="00A01E75" w:rsidRDefault="00AF7280" w:rsidP="001F1B36">
            <w:r>
              <w:t>ATQ</w:t>
            </w:r>
            <w:r w:rsidRPr="00A01E75">
              <w:t>14 - What's wrong with me?</w:t>
            </w:r>
          </w:p>
        </w:tc>
        <w:tc>
          <w:tcPr>
            <w:tcW w:w="0" w:type="auto"/>
            <w:shd w:val="clear" w:color="auto" w:fill="auto"/>
            <w:vAlign w:val="center"/>
          </w:tcPr>
          <w:p w14:paraId="27EC6FF2" w14:textId="3D7A6A22" w:rsidR="00AF7280" w:rsidRPr="00A01E75" w:rsidRDefault="00AF7280" w:rsidP="001F1B36">
            <w:pPr>
              <w:jc w:val="center"/>
            </w:pPr>
            <w:r>
              <w:t>.326</w:t>
            </w:r>
          </w:p>
        </w:tc>
        <w:tc>
          <w:tcPr>
            <w:tcW w:w="0" w:type="auto"/>
            <w:shd w:val="clear" w:color="auto" w:fill="auto"/>
            <w:vAlign w:val="center"/>
          </w:tcPr>
          <w:p w14:paraId="348F5F5F" w14:textId="53018EB5" w:rsidR="00AF7280" w:rsidRPr="00A01E75" w:rsidRDefault="00AF7280" w:rsidP="001F1B36">
            <w:pPr>
              <w:jc w:val="center"/>
            </w:pPr>
            <w:r>
              <w:t>.221</w:t>
            </w:r>
          </w:p>
        </w:tc>
        <w:tc>
          <w:tcPr>
            <w:tcW w:w="0" w:type="auto"/>
            <w:shd w:val="clear" w:color="auto" w:fill="auto"/>
            <w:vAlign w:val="center"/>
          </w:tcPr>
          <w:p w14:paraId="7B4A8BC9" w14:textId="2F1A4473" w:rsidR="00AF7280" w:rsidRPr="00A01E75" w:rsidRDefault="00AF7280" w:rsidP="001F1B36">
            <w:pPr>
              <w:jc w:val="center"/>
            </w:pPr>
            <w:r>
              <w:t>.224</w:t>
            </w:r>
          </w:p>
        </w:tc>
        <w:tc>
          <w:tcPr>
            <w:tcW w:w="0" w:type="auto"/>
            <w:shd w:val="clear" w:color="auto" w:fill="auto"/>
            <w:vAlign w:val="center"/>
          </w:tcPr>
          <w:p w14:paraId="75E19AC6" w14:textId="0391374A" w:rsidR="00AF7280" w:rsidRPr="00A01E75" w:rsidRDefault="00AF7280" w:rsidP="001F1B36">
            <w:pPr>
              <w:jc w:val="center"/>
            </w:pPr>
            <w:r>
              <w:t>.297</w:t>
            </w:r>
          </w:p>
        </w:tc>
      </w:tr>
      <w:tr w:rsidR="00AF7280" w:rsidRPr="00A01E75" w14:paraId="3010870D" w14:textId="77777777" w:rsidTr="00A27E68">
        <w:trPr>
          <w:cantSplit/>
          <w:trHeight w:hRule="exact" w:val="432"/>
        </w:trPr>
        <w:tc>
          <w:tcPr>
            <w:tcW w:w="0" w:type="auto"/>
            <w:shd w:val="clear" w:color="auto" w:fill="auto"/>
            <w:vAlign w:val="center"/>
          </w:tcPr>
          <w:p w14:paraId="4EACB59A" w14:textId="3D10D003" w:rsidR="00AF7280" w:rsidRPr="00A01E75" w:rsidRDefault="00AF7280" w:rsidP="001F1B36">
            <w:r>
              <w:t>ATQ</w:t>
            </w:r>
            <w:r w:rsidRPr="00A01E75">
              <w:t>15 - I wish I were somewhere else.</w:t>
            </w:r>
          </w:p>
        </w:tc>
        <w:tc>
          <w:tcPr>
            <w:tcW w:w="0" w:type="auto"/>
            <w:shd w:val="clear" w:color="auto" w:fill="auto"/>
            <w:vAlign w:val="center"/>
          </w:tcPr>
          <w:p w14:paraId="52BFBB39" w14:textId="03A28B65" w:rsidR="00AF7280" w:rsidRPr="00A01E75" w:rsidRDefault="00AF7280" w:rsidP="001F1B36">
            <w:pPr>
              <w:jc w:val="center"/>
            </w:pPr>
            <w:r>
              <w:t>.087</w:t>
            </w:r>
          </w:p>
        </w:tc>
        <w:tc>
          <w:tcPr>
            <w:tcW w:w="0" w:type="auto"/>
            <w:shd w:val="clear" w:color="auto" w:fill="auto"/>
            <w:vAlign w:val="center"/>
          </w:tcPr>
          <w:p w14:paraId="207E513A" w14:textId="261B2554" w:rsidR="00AF7280" w:rsidRPr="00A01E75" w:rsidRDefault="00AF7280" w:rsidP="001F1B36">
            <w:pPr>
              <w:jc w:val="center"/>
            </w:pPr>
            <w:r>
              <w:t>.073</w:t>
            </w:r>
          </w:p>
        </w:tc>
        <w:tc>
          <w:tcPr>
            <w:tcW w:w="0" w:type="auto"/>
            <w:shd w:val="clear" w:color="auto" w:fill="auto"/>
            <w:vAlign w:val="center"/>
          </w:tcPr>
          <w:p w14:paraId="28FED78B" w14:textId="49B8FBD1" w:rsidR="00AF7280" w:rsidRPr="00A01E75" w:rsidRDefault="00AF7280" w:rsidP="001F1B36">
            <w:pPr>
              <w:jc w:val="center"/>
            </w:pPr>
            <w:r>
              <w:t>.283</w:t>
            </w:r>
          </w:p>
        </w:tc>
        <w:tc>
          <w:tcPr>
            <w:tcW w:w="0" w:type="auto"/>
            <w:shd w:val="clear" w:color="auto" w:fill="auto"/>
            <w:vAlign w:val="center"/>
          </w:tcPr>
          <w:p w14:paraId="539FAF2F" w14:textId="43404A90" w:rsidR="00AF7280" w:rsidRPr="00A01E75" w:rsidRDefault="00AF7280" w:rsidP="001F1B36">
            <w:pPr>
              <w:jc w:val="center"/>
            </w:pPr>
            <w:r>
              <w:rPr>
                <w:b/>
                <w:bCs/>
              </w:rPr>
              <w:t>.445</w:t>
            </w:r>
          </w:p>
        </w:tc>
      </w:tr>
      <w:tr w:rsidR="00AF7280" w:rsidRPr="00A01E75" w14:paraId="21CE7D4D" w14:textId="77777777" w:rsidTr="00A27E68">
        <w:trPr>
          <w:cantSplit/>
          <w:trHeight w:hRule="exact" w:val="432"/>
        </w:trPr>
        <w:tc>
          <w:tcPr>
            <w:tcW w:w="0" w:type="auto"/>
            <w:shd w:val="clear" w:color="auto" w:fill="auto"/>
            <w:vAlign w:val="center"/>
          </w:tcPr>
          <w:p w14:paraId="0519C38F" w14:textId="72D9F619" w:rsidR="00AF7280" w:rsidRPr="00A01E75" w:rsidRDefault="00AF7280" w:rsidP="001F1B36">
            <w:r>
              <w:t>ATQ</w:t>
            </w:r>
            <w:r w:rsidRPr="00A01E75">
              <w:t>16 - I can't get things together</w:t>
            </w:r>
          </w:p>
        </w:tc>
        <w:tc>
          <w:tcPr>
            <w:tcW w:w="0" w:type="auto"/>
            <w:shd w:val="clear" w:color="auto" w:fill="auto"/>
            <w:vAlign w:val="center"/>
          </w:tcPr>
          <w:p w14:paraId="48700384" w14:textId="18696A65" w:rsidR="00AF7280" w:rsidRPr="00A01E75" w:rsidRDefault="00AF7280" w:rsidP="001F1B36">
            <w:pPr>
              <w:jc w:val="center"/>
            </w:pPr>
            <w:r>
              <w:t>.110</w:t>
            </w:r>
          </w:p>
        </w:tc>
        <w:tc>
          <w:tcPr>
            <w:tcW w:w="0" w:type="auto"/>
            <w:shd w:val="clear" w:color="auto" w:fill="auto"/>
            <w:vAlign w:val="center"/>
          </w:tcPr>
          <w:p w14:paraId="0C43AC22" w14:textId="1F2365CE" w:rsidR="00AF7280" w:rsidRPr="00A01E75" w:rsidRDefault="00AF7280" w:rsidP="001F1B36">
            <w:pPr>
              <w:jc w:val="center"/>
            </w:pPr>
            <w:r>
              <w:t>.130</w:t>
            </w:r>
          </w:p>
        </w:tc>
        <w:tc>
          <w:tcPr>
            <w:tcW w:w="0" w:type="auto"/>
            <w:shd w:val="clear" w:color="auto" w:fill="auto"/>
            <w:vAlign w:val="center"/>
          </w:tcPr>
          <w:p w14:paraId="1B2F4B47" w14:textId="4FB21907" w:rsidR="00AF7280" w:rsidRPr="00A01E75" w:rsidRDefault="00AF7280" w:rsidP="001F1B36">
            <w:pPr>
              <w:jc w:val="center"/>
            </w:pPr>
            <w:r>
              <w:rPr>
                <w:b/>
                <w:bCs/>
              </w:rPr>
              <w:t>.472</w:t>
            </w:r>
          </w:p>
        </w:tc>
        <w:tc>
          <w:tcPr>
            <w:tcW w:w="0" w:type="auto"/>
            <w:shd w:val="clear" w:color="auto" w:fill="auto"/>
            <w:vAlign w:val="center"/>
          </w:tcPr>
          <w:p w14:paraId="00679BBE" w14:textId="35A22FC2" w:rsidR="00AF7280" w:rsidRPr="00A01E75" w:rsidRDefault="00AF7280" w:rsidP="001F1B36">
            <w:pPr>
              <w:jc w:val="center"/>
            </w:pPr>
            <w:r>
              <w:t>.339</w:t>
            </w:r>
          </w:p>
        </w:tc>
      </w:tr>
      <w:tr w:rsidR="00AF7280" w:rsidRPr="00A01E75" w14:paraId="696B822B" w14:textId="77777777" w:rsidTr="00A27E68">
        <w:trPr>
          <w:cantSplit/>
          <w:trHeight w:hRule="exact" w:val="432"/>
        </w:trPr>
        <w:tc>
          <w:tcPr>
            <w:tcW w:w="0" w:type="auto"/>
            <w:shd w:val="clear" w:color="auto" w:fill="auto"/>
            <w:vAlign w:val="center"/>
          </w:tcPr>
          <w:p w14:paraId="09A9AC13" w14:textId="0BEBA66E" w:rsidR="00AF7280" w:rsidRPr="00A01E75" w:rsidRDefault="00AF7280" w:rsidP="001F1B36">
            <w:r>
              <w:t>ATQ</w:t>
            </w:r>
            <w:r w:rsidRPr="00A01E75">
              <w:t>17 - I hate myself</w:t>
            </w:r>
          </w:p>
        </w:tc>
        <w:tc>
          <w:tcPr>
            <w:tcW w:w="0" w:type="auto"/>
            <w:shd w:val="clear" w:color="auto" w:fill="auto"/>
            <w:vAlign w:val="center"/>
          </w:tcPr>
          <w:p w14:paraId="4D3B0023" w14:textId="19E1B512" w:rsidR="00AF7280" w:rsidRPr="00A01E75" w:rsidRDefault="00AF7280" w:rsidP="001F1B36">
            <w:pPr>
              <w:jc w:val="center"/>
            </w:pPr>
            <w:r>
              <w:rPr>
                <w:b/>
                <w:bCs/>
              </w:rPr>
              <w:t>.889</w:t>
            </w:r>
          </w:p>
        </w:tc>
        <w:tc>
          <w:tcPr>
            <w:tcW w:w="0" w:type="auto"/>
            <w:shd w:val="clear" w:color="auto" w:fill="auto"/>
            <w:vAlign w:val="center"/>
          </w:tcPr>
          <w:p w14:paraId="6B811122" w14:textId="38EC52C3" w:rsidR="00AF7280" w:rsidRPr="00A01E75" w:rsidRDefault="00AF7280" w:rsidP="001F1B36">
            <w:pPr>
              <w:jc w:val="center"/>
            </w:pPr>
            <w:r>
              <w:t>.017</w:t>
            </w:r>
          </w:p>
        </w:tc>
        <w:tc>
          <w:tcPr>
            <w:tcW w:w="0" w:type="auto"/>
            <w:shd w:val="clear" w:color="auto" w:fill="auto"/>
            <w:vAlign w:val="center"/>
          </w:tcPr>
          <w:p w14:paraId="517B3E0F" w14:textId="11515AF5" w:rsidR="00AF7280" w:rsidRPr="00A01E75" w:rsidRDefault="00AF7280" w:rsidP="001F1B36">
            <w:pPr>
              <w:jc w:val="center"/>
            </w:pPr>
            <w:r>
              <w:t>-.154</w:t>
            </w:r>
          </w:p>
        </w:tc>
        <w:tc>
          <w:tcPr>
            <w:tcW w:w="0" w:type="auto"/>
            <w:shd w:val="clear" w:color="auto" w:fill="auto"/>
            <w:vAlign w:val="center"/>
          </w:tcPr>
          <w:p w14:paraId="0008B745" w14:textId="202ECBB6" w:rsidR="00AF7280" w:rsidRPr="00A01E75" w:rsidRDefault="00AF7280" w:rsidP="001F1B36">
            <w:pPr>
              <w:jc w:val="center"/>
            </w:pPr>
            <w:r>
              <w:t>.039</w:t>
            </w:r>
          </w:p>
        </w:tc>
      </w:tr>
      <w:tr w:rsidR="00AF7280" w:rsidRPr="00A01E75" w14:paraId="7B04C2EA" w14:textId="77777777" w:rsidTr="00A27E68">
        <w:trPr>
          <w:cantSplit/>
          <w:trHeight w:hRule="exact" w:val="432"/>
        </w:trPr>
        <w:tc>
          <w:tcPr>
            <w:tcW w:w="0" w:type="auto"/>
            <w:shd w:val="clear" w:color="auto" w:fill="auto"/>
            <w:vAlign w:val="center"/>
          </w:tcPr>
          <w:p w14:paraId="5C6D9CFD" w14:textId="77B57555" w:rsidR="00AF7280" w:rsidRPr="00A01E75" w:rsidRDefault="00AF7280" w:rsidP="001F1B36">
            <w:r>
              <w:lastRenderedPageBreak/>
              <w:t>ATQ</w:t>
            </w:r>
            <w:r w:rsidRPr="00A01E75">
              <w:t>18 - I'm worthless</w:t>
            </w:r>
          </w:p>
        </w:tc>
        <w:tc>
          <w:tcPr>
            <w:tcW w:w="0" w:type="auto"/>
            <w:shd w:val="clear" w:color="auto" w:fill="auto"/>
            <w:vAlign w:val="center"/>
          </w:tcPr>
          <w:p w14:paraId="742C7691" w14:textId="2FD652E3" w:rsidR="00AF7280" w:rsidRPr="00A01E75" w:rsidRDefault="00AF7280" w:rsidP="001F1B36">
            <w:pPr>
              <w:jc w:val="center"/>
            </w:pPr>
            <w:r>
              <w:rPr>
                <w:b/>
                <w:bCs/>
              </w:rPr>
              <w:t>.846</w:t>
            </w:r>
          </w:p>
        </w:tc>
        <w:tc>
          <w:tcPr>
            <w:tcW w:w="0" w:type="auto"/>
            <w:shd w:val="clear" w:color="auto" w:fill="auto"/>
            <w:vAlign w:val="center"/>
          </w:tcPr>
          <w:p w14:paraId="68CD7EA7" w14:textId="6845459C" w:rsidR="00AF7280" w:rsidRPr="00A01E75" w:rsidRDefault="00AF7280" w:rsidP="001F1B36">
            <w:pPr>
              <w:jc w:val="center"/>
            </w:pPr>
            <w:r>
              <w:t>.079</w:t>
            </w:r>
          </w:p>
        </w:tc>
        <w:tc>
          <w:tcPr>
            <w:tcW w:w="0" w:type="auto"/>
            <w:shd w:val="clear" w:color="auto" w:fill="auto"/>
            <w:vAlign w:val="center"/>
          </w:tcPr>
          <w:p w14:paraId="2E80AEC0" w14:textId="57281C04" w:rsidR="00AF7280" w:rsidRPr="00A01E75" w:rsidRDefault="00AF7280" w:rsidP="001F1B36">
            <w:pPr>
              <w:jc w:val="center"/>
            </w:pPr>
            <w:r>
              <w:t>-.161</w:t>
            </w:r>
          </w:p>
        </w:tc>
        <w:tc>
          <w:tcPr>
            <w:tcW w:w="0" w:type="auto"/>
            <w:shd w:val="clear" w:color="auto" w:fill="auto"/>
            <w:vAlign w:val="center"/>
          </w:tcPr>
          <w:p w14:paraId="19BCCCAD" w14:textId="6027F008" w:rsidR="00AF7280" w:rsidRPr="00A01E75" w:rsidRDefault="00AF7280" w:rsidP="001F1B36">
            <w:pPr>
              <w:jc w:val="center"/>
            </w:pPr>
            <w:r>
              <w:t>.074</w:t>
            </w:r>
          </w:p>
        </w:tc>
      </w:tr>
      <w:tr w:rsidR="00AF7280" w:rsidRPr="00A01E75" w14:paraId="362B4BD8" w14:textId="77777777" w:rsidTr="00A27E68">
        <w:trPr>
          <w:cantSplit/>
          <w:trHeight w:hRule="exact" w:val="432"/>
        </w:trPr>
        <w:tc>
          <w:tcPr>
            <w:tcW w:w="0" w:type="auto"/>
            <w:shd w:val="clear" w:color="auto" w:fill="auto"/>
            <w:vAlign w:val="center"/>
          </w:tcPr>
          <w:p w14:paraId="00B68273" w14:textId="04DBA2C2" w:rsidR="00AF7280" w:rsidRPr="00A01E75" w:rsidRDefault="00AF7280" w:rsidP="001F1B36">
            <w:r>
              <w:t>ATQ</w:t>
            </w:r>
            <w:r w:rsidRPr="00A01E75">
              <w:t>19 - Wish I could just disappear</w:t>
            </w:r>
          </w:p>
        </w:tc>
        <w:tc>
          <w:tcPr>
            <w:tcW w:w="0" w:type="auto"/>
            <w:shd w:val="clear" w:color="auto" w:fill="auto"/>
            <w:vAlign w:val="center"/>
          </w:tcPr>
          <w:p w14:paraId="74B71791" w14:textId="15710531" w:rsidR="00AF7280" w:rsidRPr="00A01E75" w:rsidRDefault="00AF7280" w:rsidP="001F1B36">
            <w:pPr>
              <w:jc w:val="center"/>
            </w:pPr>
            <w:r>
              <w:rPr>
                <w:b/>
                <w:bCs/>
              </w:rPr>
              <w:t>.553</w:t>
            </w:r>
          </w:p>
        </w:tc>
        <w:tc>
          <w:tcPr>
            <w:tcW w:w="0" w:type="auto"/>
            <w:shd w:val="clear" w:color="auto" w:fill="auto"/>
            <w:vAlign w:val="center"/>
          </w:tcPr>
          <w:p w14:paraId="2F1012CF" w14:textId="6FCDBAAA" w:rsidR="00AF7280" w:rsidRPr="00A01E75" w:rsidRDefault="00AF7280" w:rsidP="001F1B36">
            <w:pPr>
              <w:jc w:val="center"/>
            </w:pPr>
            <w:r>
              <w:t>.059</w:t>
            </w:r>
          </w:p>
        </w:tc>
        <w:tc>
          <w:tcPr>
            <w:tcW w:w="0" w:type="auto"/>
            <w:shd w:val="clear" w:color="auto" w:fill="auto"/>
            <w:vAlign w:val="center"/>
          </w:tcPr>
          <w:p w14:paraId="16AE5B41" w14:textId="1D9BFDE5" w:rsidR="00AF7280" w:rsidRPr="00A01E75" w:rsidRDefault="00AF7280" w:rsidP="001F1B36">
            <w:pPr>
              <w:jc w:val="center"/>
            </w:pPr>
            <w:r>
              <w:t>-.218</w:t>
            </w:r>
          </w:p>
        </w:tc>
        <w:tc>
          <w:tcPr>
            <w:tcW w:w="0" w:type="auto"/>
            <w:shd w:val="clear" w:color="auto" w:fill="auto"/>
            <w:vAlign w:val="center"/>
          </w:tcPr>
          <w:p w14:paraId="39EF8E1A" w14:textId="65D0CDBC" w:rsidR="00AF7280" w:rsidRPr="00A01E75" w:rsidRDefault="00AF7280" w:rsidP="001F1B36">
            <w:pPr>
              <w:jc w:val="center"/>
            </w:pPr>
            <w:r>
              <w:t>.350</w:t>
            </w:r>
          </w:p>
        </w:tc>
      </w:tr>
      <w:tr w:rsidR="00AF7280" w:rsidRPr="00A01E75" w14:paraId="121018EA" w14:textId="77777777" w:rsidTr="00A27E68">
        <w:trPr>
          <w:cantSplit/>
          <w:trHeight w:hRule="exact" w:val="432"/>
        </w:trPr>
        <w:tc>
          <w:tcPr>
            <w:tcW w:w="0" w:type="auto"/>
            <w:shd w:val="clear" w:color="auto" w:fill="auto"/>
            <w:vAlign w:val="center"/>
          </w:tcPr>
          <w:p w14:paraId="3609737D" w14:textId="0040D57B" w:rsidR="00AF7280" w:rsidRPr="00A01E75" w:rsidRDefault="00AF7280" w:rsidP="001F1B36">
            <w:r>
              <w:t>ATQ</w:t>
            </w:r>
            <w:r w:rsidRPr="00A01E75">
              <w:t>20 - What's the matter with me?</w:t>
            </w:r>
          </w:p>
        </w:tc>
        <w:tc>
          <w:tcPr>
            <w:tcW w:w="0" w:type="auto"/>
            <w:shd w:val="clear" w:color="auto" w:fill="auto"/>
            <w:vAlign w:val="center"/>
          </w:tcPr>
          <w:p w14:paraId="23A049F8" w14:textId="56DBA487" w:rsidR="00AF7280" w:rsidRPr="00A01E75" w:rsidRDefault="00AF7280" w:rsidP="001F1B36">
            <w:pPr>
              <w:jc w:val="center"/>
            </w:pPr>
            <w:r>
              <w:rPr>
                <w:b/>
                <w:bCs/>
              </w:rPr>
              <w:t>.412</w:t>
            </w:r>
          </w:p>
        </w:tc>
        <w:tc>
          <w:tcPr>
            <w:tcW w:w="0" w:type="auto"/>
            <w:shd w:val="clear" w:color="auto" w:fill="auto"/>
            <w:vAlign w:val="center"/>
          </w:tcPr>
          <w:p w14:paraId="5742747A" w14:textId="19AC49FF" w:rsidR="00AF7280" w:rsidRPr="00A01E75" w:rsidRDefault="00AF7280" w:rsidP="001F1B36">
            <w:pPr>
              <w:jc w:val="center"/>
            </w:pPr>
            <w:r>
              <w:t>.187</w:t>
            </w:r>
          </w:p>
        </w:tc>
        <w:tc>
          <w:tcPr>
            <w:tcW w:w="0" w:type="auto"/>
            <w:shd w:val="clear" w:color="auto" w:fill="auto"/>
            <w:vAlign w:val="center"/>
          </w:tcPr>
          <w:p w14:paraId="2B7B4DCE" w14:textId="16719159" w:rsidR="00AF7280" w:rsidRPr="00A01E75" w:rsidRDefault="00AF7280" w:rsidP="001F1B36">
            <w:pPr>
              <w:jc w:val="center"/>
            </w:pPr>
            <w:r>
              <w:t>.180</w:t>
            </w:r>
          </w:p>
        </w:tc>
        <w:tc>
          <w:tcPr>
            <w:tcW w:w="0" w:type="auto"/>
            <w:shd w:val="clear" w:color="auto" w:fill="auto"/>
            <w:vAlign w:val="center"/>
          </w:tcPr>
          <w:p w14:paraId="34649760" w14:textId="1DE1B3F7" w:rsidR="00AF7280" w:rsidRPr="00A01E75" w:rsidRDefault="00AF7280" w:rsidP="001F1B36">
            <w:pPr>
              <w:jc w:val="center"/>
            </w:pPr>
            <w:r>
              <w:t>.220</w:t>
            </w:r>
          </w:p>
        </w:tc>
      </w:tr>
      <w:tr w:rsidR="00AF7280" w:rsidRPr="00A01E75" w14:paraId="5A090B96" w14:textId="77777777" w:rsidTr="00A27E68">
        <w:trPr>
          <w:cantSplit/>
          <w:trHeight w:hRule="exact" w:val="432"/>
        </w:trPr>
        <w:tc>
          <w:tcPr>
            <w:tcW w:w="0" w:type="auto"/>
            <w:shd w:val="clear" w:color="auto" w:fill="auto"/>
            <w:vAlign w:val="center"/>
          </w:tcPr>
          <w:p w14:paraId="0E989716" w14:textId="11FDB1E5" w:rsidR="00AF7280" w:rsidRPr="00A01E75" w:rsidRDefault="00AF7280" w:rsidP="001F1B36">
            <w:r>
              <w:t>ATQ</w:t>
            </w:r>
            <w:r w:rsidRPr="00A01E75">
              <w:t>21 - I'm a loser</w:t>
            </w:r>
          </w:p>
        </w:tc>
        <w:tc>
          <w:tcPr>
            <w:tcW w:w="0" w:type="auto"/>
            <w:shd w:val="clear" w:color="auto" w:fill="auto"/>
            <w:vAlign w:val="center"/>
          </w:tcPr>
          <w:p w14:paraId="0EE8E4D0" w14:textId="165D2DFF" w:rsidR="00AF7280" w:rsidRPr="00A01E75" w:rsidRDefault="00AF7280" w:rsidP="001F1B36">
            <w:pPr>
              <w:jc w:val="center"/>
            </w:pPr>
            <w:r>
              <w:rPr>
                <w:b/>
                <w:bCs/>
              </w:rPr>
              <w:t>.771</w:t>
            </w:r>
          </w:p>
        </w:tc>
        <w:tc>
          <w:tcPr>
            <w:tcW w:w="0" w:type="auto"/>
            <w:shd w:val="clear" w:color="auto" w:fill="auto"/>
            <w:vAlign w:val="center"/>
          </w:tcPr>
          <w:p w14:paraId="179EAD6C" w14:textId="7BB572C7" w:rsidR="00AF7280" w:rsidRPr="00A01E75" w:rsidRDefault="00AF7280" w:rsidP="001F1B36">
            <w:pPr>
              <w:jc w:val="center"/>
            </w:pPr>
            <w:r>
              <w:t>-.044</w:t>
            </w:r>
          </w:p>
        </w:tc>
        <w:tc>
          <w:tcPr>
            <w:tcW w:w="0" w:type="auto"/>
            <w:shd w:val="clear" w:color="auto" w:fill="auto"/>
            <w:vAlign w:val="center"/>
          </w:tcPr>
          <w:p w14:paraId="3D6FC201" w14:textId="762AABF5" w:rsidR="00AF7280" w:rsidRPr="00A01E75" w:rsidRDefault="00AF7280" w:rsidP="001F1B36">
            <w:pPr>
              <w:jc w:val="center"/>
            </w:pPr>
            <w:r>
              <w:t>-.029</w:t>
            </w:r>
          </w:p>
        </w:tc>
        <w:tc>
          <w:tcPr>
            <w:tcW w:w="0" w:type="auto"/>
            <w:shd w:val="clear" w:color="auto" w:fill="auto"/>
            <w:vAlign w:val="center"/>
          </w:tcPr>
          <w:p w14:paraId="03727BEE" w14:textId="38361636" w:rsidR="00AF7280" w:rsidRPr="00A01E75" w:rsidRDefault="00AF7280" w:rsidP="001F1B36">
            <w:pPr>
              <w:jc w:val="center"/>
            </w:pPr>
            <w:r>
              <w:t>.109</w:t>
            </w:r>
          </w:p>
        </w:tc>
      </w:tr>
      <w:tr w:rsidR="00AF7280" w:rsidRPr="00A01E75" w14:paraId="2272C8E8" w14:textId="77777777" w:rsidTr="00A27E68">
        <w:trPr>
          <w:cantSplit/>
          <w:trHeight w:hRule="exact" w:val="432"/>
        </w:trPr>
        <w:tc>
          <w:tcPr>
            <w:tcW w:w="0" w:type="auto"/>
            <w:shd w:val="clear" w:color="auto" w:fill="auto"/>
            <w:vAlign w:val="center"/>
          </w:tcPr>
          <w:p w14:paraId="280E6730" w14:textId="72D7C5F6" w:rsidR="00AF7280" w:rsidRPr="00A01E75" w:rsidRDefault="00AF7280" w:rsidP="001F1B36">
            <w:r>
              <w:t>ATQ</w:t>
            </w:r>
            <w:r w:rsidRPr="00A01E75">
              <w:t>22 - My life is a mess</w:t>
            </w:r>
          </w:p>
        </w:tc>
        <w:tc>
          <w:tcPr>
            <w:tcW w:w="0" w:type="auto"/>
            <w:shd w:val="clear" w:color="auto" w:fill="auto"/>
            <w:vAlign w:val="center"/>
          </w:tcPr>
          <w:p w14:paraId="4B997347" w14:textId="06FBDB47" w:rsidR="00AF7280" w:rsidRPr="00A01E75" w:rsidRDefault="00AF7280" w:rsidP="001F1B36">
            <w:pPr>
              <w:jc w:val="center"/>
            </w:pPr>
            <w:r>
              <w:t>.229</w:t>
            </w:r>
          </w:p>
        </w:tc>
        <w:tc>
          <w:tcPr>
            <w:tcW w:w="0" w:type="auto"/>
            <w:shd w:val="clear" w:color="auto" w:fill="auto"/>
            <w:vAlign w:val="center"/>
          </w:tcPr>
          <w:p w14:paraId="58E858A3" w14:textId="3AF9DDE5" w:rsidR="00AF7280" w:rsidRPr="00A01E75" w:rsidRDefault="00AF7280" w:rsidP="001F1B36">
            <w:pPr>
              <w:jc w:val="center"/>
            </w:pPr>
            <w:r>
              <w:t>.06</w:t>
            </w:r>
            <w:r w:rsidR="009148B8">
              <w:t>0</w:t>
            </w:r>
          </w:p>
        </w:tc>
        <w:tc>
          <w:tcPr>
            <w:tcW w:w="0" w:type="auto"/>
            <w:shd w:val="clear" w:color="auto" w:fill="auto"/>
            <w:vAlign w:val="center"/>
          </w:tcPr>
          <w:p w14:paraId="649D49FE" w14:textId="2D351385" w:rsidR="00AF7280" w:rsidRPr="00A01E75" w:rsidRDefault="00AF7280" w:rsidP="001F1B36">
            <w:pPr>
              <w:jc w:val="center"/>
            </w:pPr>
            <w:r>
              <w:rPr>
                <w:b/>
                <w:bCs/>
              </w:rPr>
              <w:t>.432</w:t>
            </w:r>
          </w:p>
        </w:tc>
        <w:tc>
          <w:tcPr>
            <w:tcW w:w="0" w:type="auto"/>
            <w:shd w:val="clear" w:color="auto" w:fill="auto"/>
            <w:vAlign w:val="center"/>
          </w:tcPr>
          <w:p w14:paraId="012C7AE1" w14:textId="2D952C42" w:rsidR="00AF7280" w:rsidRPr="00A01E75" w:rsidRDefault="00AF7280" w:rsidP="001F1B36">
            <w:pPr>
              <w:jc w:val="center"/>
            </w:pPr>
            <w:r>
              <w:t>.243</w:t>
            </w:r>
          </w:p>
        </w:tc>
      </w:tr>
      <w:tr w:rsidR="00AF7280" w:rsidRPr="00A01E75" w14:paraId="5E6D6DE4" w14:textId="77777777" w:rsidTr="00A27E68">
        <w:trPr>
          <w:cantSplit/>
          <w:trHeight w:hRule="exact" w:val="432"/>
        </w:trPr>
        <w:tc>
          <w:tcPr>
            <w:tcW w:w="0" w:type="auto"/>
            <w:shd w:val="clear" w:color="auto" w:fill="auto"/>
            <w:vAlign w:val="center"/>
          </w:tcPr>
          <w:p w14:paraId="2892247B" w14:textId="523F92F2" w:rsidR="00AF7280" w:rsidRPr="00A01E75" w:rsidRDefault="00AF7280" w:rsidP="001F1B36">
            <w:r>
              <w:t>ATQ</w:t>
            </w:r>
            <w:r w:rsidRPr="00A01E75">
              <w:t>23 - I'm a failure</w:t>
            </w:r>
          </w:p>
        </w:tc>
        <w:tc>
          <w:tcPr>
            <w:tcW w:w="0" w:type="auto"/>
            <w:shd w:val="clear" w:color="auto" w:fill="auto"/>
            <w:vAlign w:val="center"/>
          </w:tcPr>
          <w:p w14:paraId="098E4A82" w14:textId="0F43F931" w:rsidR="00AF7280" w:rsidRPr="00A01E75" w:rsidRDefault="00AF7280" w:rsidP="001F1B36">
            <w:pPr>
              <w:jc w:val="center"/>
            </w:pPr>
            <w:r>
              <w:rPr>
                <w:b/>
                <w:bCs/>
              </w:rPr>
              <w:t>.885</w:t>
            </w:r>
          </w:p>
        </w:tc>
        <w:tc>
          <w:tcPr>
            <w:tcW w:w="0" w:type="auto"/>
            <w:shd w:val="clear" w:color="auto" w:fill="auto"/>
            <w:vAlign w:val="center"/>
          </w:tcPr>
          <w:p w14:paraId="32CD0175" w14:textId="5D8B3195" w:rsidR="00AF7280" w:rsidRPr="00A01E75" w:rsidRDefault="00AF7280" w:rsidP="001F1B36">
            <w:pPr>
              <w:jc w:val="center"/>
            </w:pPr>
            <w:r>
              <w:t>.022</w:t>
            </w:r>
          </w:p>
        </w:tc>
        <w:tc>
          <w:tcPr>
            <w:tcW w:w="0" w:type="auto"/>
            <w:shd w:val="clear" w:color="auto" w:fill="auto"/>
            <w:vAlign w:val="center"/>
          </w:tcPr>
          <w:p w14:paraId="7DBDA560" w14:textId="78849B11" w:rsidR="00AF7280" w:rsidRPr="00A01E75" w:rsidRDefault="00AF7280" w:rsidP="001F1B36">
            <w:pPr>
              <w:jc w:val="center"/>
            </w:pPr>
            <w:r>
              <w:t>.014</w:t>
            </w:r>
          </w:p>
        </w:tc>
        <w:tc>
          <w:tcPr>
            <w:tcW w:w="0" w:type="auto"/>
            <w:shd w:val="clear" w:color="auto" w:fill="auto"/>
            <w:vAlign w:val="center"/>
          </w:tcPr>
          <w:p w14:paraId="6F7E6173" w14:textId="6963B200" w:rsidR="00AF7280" w:rsidRPr="00A01E75" w:rsidRDefault="00AF7280" w:rsidP="001F1B36">
            <w:pPr>
              <w:jc w:val="center"/>
            </w:pPr>
            <w:r>
              <w:t>-.017</w:t>
            </w:r>
          </w:p>
        </w:tc>
      </w:tr>
      <w:tr w:rsidR="00AF7280" w:rsidRPr="00A01E75" w14:paraId="559DF4CE" w14:textId="77777777" w:rsidTr="00A27E68">
        <w:trPr>
          <w:cantSplit/>
          <w:trHeight w:hRule="exact" w:val="432"/>
        </w:trPr>
        <w:tc>
          <w:tcPr>
            <w:tcW w:w="0" w:type="auto"/>
            <w:shd w:val="clear" w:color="auto" w:fill="auto"/>
            <w:vAlign w:val="center"/>
          </w:tcPr>
          <w:p w14:paraId="271D9A13" w14:textId="3819BC3E" w:rsidR="00AF7280" w:rsidRPr="00A01E75" w:rsidRDefault="00AF7280" w:rsidP="001F1B36">
            <w:r>
              <w:t>ATQ</w:t>
            </w:r>
            <w:r w:rsidRPr="00A01E75">
              <w:t>24 - I'll never make it</w:t>
            </w:r>
          </w:p>
        </w:tc>
        <w:tc>
          <w:tcPr>
            <w:tcW w:w="0" w:type="auto"/>
            <w:shd w:val="clear" w:color="auto" w:fill="auto"/>
            <w:vAlign w:val="center"/>
          </w:tcPr>
          <w:p w14:paraId="35AC8100" w14:textId="76C1B9C8" w:rsidR="00AF7280" w:rsidRPr="00A01E75" w:rsidRDefault="00AF7280" w:rsidP="001F1B36">
            <w:pPr>
              <w:jc w:val="center"/>
            </w:pPr>
            <w:r>
              <w:rPr>
                <w:b/>
                <w:bCs/>
              </w:rPr>
              <w:t>.550</w:t>
            </w:r>
          </w:p>
        </w:tc>
        <w:tc>
          <w:tcPr>
            <w:tcW w:w="0" w:type="auto"/>
            <w:shd w:val="clear" w:color="auto" w:fill="auto"/>
            <w:vAlign w:val="center"/>
          </w:tcPr>
          <w:p w14:paraId="35DDBC62" w14:textId="6885ECF9" w:rsidR="00AF7280" w:rsidRPr="00A01E75" w:rsidRDefault="00AF7280" w:rsidP="001F1B36">
            <w:pPr>
              <w:jc w:val="center"/>
            </w:pPr>
            <w:r>
              <w:t>-.044</w:t>
            </w:r>
          </w:p>
        </w:tc>
        <w:tc>
          <w:tcPr>
            <w:tcW w:w="0" w:type="auto"/>
            <w:shd w:val="clear" w:color="auto" w:fill="auto"/>
            <w:vAlign w:val="center"/>
          </w:tcPr>
          <w:p w14:paraId="1690DE36" w14:textId="767EFA48" w:rsidR="00AF7280" w:rsidRPr="00A01E75" w:rsidRDefault="00AF7280" w:rsidP="001F1B36">
            <w:pPr>
              <w:jc w:val="center"/>
            </w:pPr>
            <w:r>
              <w:t>.049</w:t>
            </w:r>
          </w:p>
        </w:tc>
        <w:tc>
          <w:tcPr>
            <w:tcW w:w="0" w:type="auto"/>
            <w:shd w:val="clear" w:color="auto" w:fill="auto"/>
            <w:vAlign w:val="center"/>
          </w:tcPr>
          <w:p w14:paraId="4EA97297" w14:textId="48A34B4F" w:rsidR="00AF7280" w:rsidRPr="00A01E75" w:rsidRDefault="00AF7280" w:rsidP="001F1B36">
            <w:pPr>
              <w:jc w:val="center"/>
            </w:pPr>
            <w:r>
              <w:t>.302</w:t>
            </w:r>
          </w:p>
        </w:tc>
      </w:tr>
      <w:tr w:rsidR="00AF7280" w:rsidRPr="00A01E75" w14:paraId="58FC1E94" w14:textId="77777777" w:rsidTr="00A27E68">
        <w:trPr>
          <w:cantSplit/>
          <w:trHeight w:hRule="exact" w:val="432"/>
        </w:trPr>
        <w:tc>
          <w:tcPr>
            <w:tcW w:w="0" w:type="auto"/>
            <w:shd w:val="clear" w:color="auto" w:fill="auto"/>
            <w:vAlign w:val="center"/>
          </w:tcPr>
          <w:p w14:paraId="27C55688" w14:textId="09060DEA" w:rsidR="00AF7280" w:rsidRPr="00A01E75" w:rsidRDefault="00AF7280" w:rsidP="001F1B36">
            <w:r>
              <w:t>ATQ</w:t>
            </w:r>
            <w:r w:rsidRPr="00A01E75">
              <w:t>25 - I feel so hopeless</w:t>
            </w:r>
          </w:p>
        </w:tc>
        <w:tc>
          <w:tcPr>
            <w:tcW w:w="0" w:type="auto"/>
            <w:shd w:val="clear" w:color="auto" w:fill="auto"/>
            <w:vAlign w:val="center"/>
          </w:tcPr>
          <w:p w14:paraId="5895751F" w14:textId="0101308F" w:rsidR="00AF7280" w:rsidRPr="00A01E75" w:rsidRDefault="00AF7280" w:rsidP="001F1B36">
            <w:pPr>
              <w:jc w:val="center"/>
            </w:pPr>
            <w:r>
              <w:rPr>
                <w:b/>
                <w:bCs/>
              </w:rPr>
              <w:t>.470</w:t>
            </w:r>
          </w:p>
        </w:tc>
        <w:tc>
          <w:tcPr>
            <w:tcW w:w="0" w:type="auto"/>
            <w:shd w:val="clear" w:color="auto" w:fill="auto"/>
            <w:vAlign w:val="center"/>
          </w:tcPr>
          <w:p w14:paraId="78BB1EAB" w14:textId="1FB42B8D" w:rsidR="00AF7280" w:rsidRPr="00A01E75" w:rsidRDefault="00AF7280" w:rsidP="001F1B36">
            <w:pPr>
              <w:jc w:val="center"/>
            </w:pPr>
            <w:r>
              <w:t>.095</w:t>
            </w:r>
          </w:p>
        </w:tc>
        <w:tc>
          <w:tcPr>
            <w:tcW w:w="0" w:type="auto"/>
            <w:shd w:val="clear" w:color="auto" w:fill="auto"/>
            <w:vAlign w:val="center"/>
          </w:tcPr>
          <w:p w14:paraId="3D94825A" w14:textId="78E4EE48" w:rsidR="00AF7280" w:rsidRPr="00A01E75" w:rsidRDefault="00AF7280" w:rsidP="001F1B36">
            <w:pPr>
              <w:jc w:val="center"/>
            </w:pPr>
            <w:r>
              <w:t>.036</w:t>
            </w:r>
          </w:p>
        </w:tc>
        <w:tc>
          <w:tcPr>
            <w:tcW w:w="0" w:type="auto"/>
            <w:shd w:val="clear" w:color="auto" w:fill="auto"/>
            <w:vAlign w:val="center"/>
          </w:tcPr>
          <w:p w14:paraId="055996D5" w14:textId="7CF9121D" w:rsidR="00AF7280" w:rsidRPr="00A01E75" w:rsidRDefault="00AF7280" w:rsidP="001F1B36">
            <w:pPr>
              <w:jc w:val="center"/>
            </w:pPr>
            <w:r>
              <w:t>.369</w:t>
            </w:r>
          </w:p>
        </w:tc>
      </w:tr>
      <w:tr w:rsidR="00AF7280" w:rsidRPr="00A01E75" w14:paraId="44880D2F" w14:textId="77777777" w:rsidTr="00A27E68">
        <w:trPr>
          <w:cantSplit/>
          <w:trHeight w:hRule="exact" w:val="432"/>
        </w:trPr>
        <w:tc>
          <w:tcPr>
            <w:tcW w:w="0" w:type="auto"/>
            <w:shd w:val="clear" w:color="auto" w:fill="auto"/>
            <w:vAlign w:val="center"/>
          </w:tcPr>
          <w:p w14:paraId="5B2DEC41" w14:textId="50BD28CF" w:rsidR="00AF7280" w:rsidRPr="00A01E75" w:rsidRDefault="00AF7280" w:rsidP="001F1B36">
            <w:r>
              <w:t>ATQ</w:t>
            </w:r>
            <w:r w:rsidRPr="00A01E75">
              <w:t>26 - Something has to change</w:t>
            </w:r>
          </w:p>
        </w:tc>
        <w:tc>
          <w:tcPr>
            <w:tcW w:w="0" w:type="auto"/>
            <w:shd w:val="clear" w:color="auto" w:fill="auto"/>
            <w:vAlign w:val="center"/>
          </w:tcPr>
          <w:p w14:paraId="0BCD6750" w14:textId="715CC105" w:rsidR="00AF7280" w:rsidRPr="00A01E75" w:rsidRDefault="00AF7280" w:rsidP="001F1B36">
            <w:pPr>
              <w:jc w:val="center"/>
            </w:pPr>
            <w:r>
              <w:t>.092</w:t>
            </w:r>
          </w:p>
        </w:tc>
        <w:tc>
          <w:tcPr>
            <w:tcW w:w="0" w:type="auto"/>
            <w:shd w:val="clear" w:color="auto" w:fill="auto"/>
            <w:vAlign w:val="center"/>
          </w:tcPr>
          <w:p w14:paraId="6201188A" w14:textId="7036D01A" w:rsidR="00AF7280" w:rsidRPr="00A01E75" w:rsidRDefault="00AF7280" w:rsidP="001F1B36">
            <w:pPr>
              <w:jc w:val="center"/>
            </w:pPr>
            <w:r>
              <w:t>.118</w:t>
            </w:r>
          </w:p>
        </w:tc>
        <w:tc>
          <w:tcPr>
            <w:tcW w:w="0" w:type="auto"/>
            <w:shd w:val="clear" w:color="auto" w:fill="auto"/>
            <w:vAlign w:val="center"/>
          </w:tcPr>
          <w:p w14:paraId="5F1753FA" w14:textId="32D22AA5" w:rsidR="00AF7280" w:rsidRPr="00A01E75" w:rsidRDefault="00AF7280" w:rsidP="001F1B36">
            <w:pPr>
              <w:jc w:val="center"/>
            </w:pPr>
            <w:r>
              <w:rPr>
                <w:b/>
                <w:bCs/>
              </w:rPr>
              <w:t>.434</w:t>
            </w:r>
          </w:p>
        </w:tc>
        <w:tc>
          <w:tcPr>
            <w:tcW w:w="0" w:type="auto"/>
            <w:shd w:val="clear" w:color="auto" w:fill="auto"/>
            <w:vAlign w:val="center"/>
          </w:tcPr>
          <w:p w14:paraId="1CFD829A" w14:textId="6F9FF9BD" w:rsidR="00AF7280" w:rsidRPr="00A01E75" w:rsidRDefault="00AF7280" w:rsidP="001F1B36">
            <w:pPr>
              <w:jc w:val="center"/>
            </w:pPr>
            <w:r>
              <w:t>.343</w:t>
            </w:r>
          </w:p>
        </w:tc>
      </w:tr>
      <w:tr w:rsidR="00AF7280" w:rsidRPr="00A01E75" w14:paraId="2718C40B" w14:textId="77777777" w:rsidTr="00A27E68">
        <w:trPr>
          <w:cantSplit/>
          <w:trHeight w:hRule="exact" w:val="432"/>
        </w:trPr>
        <w:tc>
          <w:tcPr>
            <w:tcW w:w="0" w:type="auto"/>
            <w:shd w:val="clear" w:color="auto" w:fill="auto"/>
            <w:vAlign w:val="center"/>
          </w:tcPr>
          <w:p w14:paraId="326EA99A" w14:textId="5F27C7AF" w:rsidR="00AF7280" w:rsidRPr="00A01E75" w:rsidRDefault="00AF7280" w:rsidP="001F1B36">
            <w:r>
              <w:t>ATQ</w:t>
            </w:r>
            <w:r w:rsidRPr="00A01E75">
              <w:t>27 - There must be something wrong with me</w:t>
            </w:r>
          </w:p>
        </w:tc>
        <w:tc>
          <w:tcPr>
            <w:tcW w:w="0" w:type="auto"/>
            <w:shd w:val="clear" w:color="auto" w:fill="auto"/>
            <w:vAlign w:val="center"/>
          </w:tcPr>
          <w:p w14:paraId="5A6D5781" w14:textId="1D2BF051" w:rsidR="00AF7280" w:rsidRPr="00A01E75" w:rsidRDefault="00AF7280" w:rsidP="001F1B36">
            <w:pPr>
              <w:jc w:val="center"/>
            </w:pPr>
            <w:r>
              <w:t>.329</w:t>
            </w:r>
          </w:p>
        </w:tc>
        <w:tc>
          <w:tcPr>
            <w:tcW w:w="0" w:type="auto"/>
            <w:shd w:val="clear" w:color="auto" w:fill="auto"/>
            <w:vAlign w:val="center"/>
          </w:tcPr>
          <w:p w14:paraId="2FC2D28C" w14:textId="0D1E2145" w:rsidR="00AF7280" w:rsidRPr="00A01E75" w:rsidRDefault="00AF7280" w:rsidP="001F1B36">
            <w:pPr>
              <w:jc w:val="center"/>
            </w:pPr>
            <w:r>
              <w:t>.104</w:t>
            </w:r>
          </w:p>
        </w:tc>
        <w:tc>
          <w:tcPr>
            <w:tcW w:w="0" w:type="auto"/>
            <w:shd w:val="clear" w:color="auto" w:fill="auto"/>
            <w:vAlign w:val="center"/>
          </w:tcPr>
          <w:p w14:paraId="601400CD" w14:textId="0AAA7285" w:rsidR="00AF7280" w:rsidRPr="00A01E75" w:rsidRDefault="00AF7280" w:rsidP="001F1B36">
            <w:pPr>
              <w:jc w:val="center"/>
            </w:pPr>
            <w:r>
              <w:t>.166</w:t>
            </w:r>
          </w:p>
        </w:tc>
        <w:tc>
          <w:tcPr>
            <w:tcW w:w="0" w:type="auto"/>
            <w:shd w:val="clear" w:color="auto" w:fill="auto"/>
            <w:vAlign w:val="center"/>
          </w:tcPr>
          <w:p w14:paraId="7A6F9E4C" w14:textId="25B09E04" w:rsidR="00AF7280" w:rsidRPr="00A01E75" w:rsidRDefault="00AF7280" w:rsidP="001F1B36">
            <w:pPr>
              <w:jc w:val="center"/>
            </w:pPr>
            <w:r>
              <w:rPr>
                <w:b/>
                <w:bCs/>
              </w:rPr>
              <w:t>.420</w:t>
            </w:r>
          </w:p>
        </w:tc>
      </w:tr>
      <w:tr w:rsidR="00AF7280" w:rsidRPr="00A01E75" w14:paraId="4C74D7A0" w14:textId="77777777" w:rsidTr="00A27E68">
        <w:trPr>
          <w:cantSplit/>
          <w:trHeight w:hRule="exact" w:val="432"/>
        </w:trPr>
        <w:tc>
          <w:tcPr>
            <w:tcW w:w="0" w:type="auto"/>
            <w:shd w:val="clear" w:color="auto" w:fill="auto"/>
            <w:vAlign w:val="center"/>
          </w:tcPr>
          <w:p w14:paraId="7C25AC57" w14:textId="54D07CF3" w:rsidR="00AF7280" w:rsidRPr="00A01E75" w:rsidRDefault="00AF7280" w:rsidP="001F1B36">
            <w:r>
              <w:t>ATQ</w:t>
            </w:r>
            <w:r w:rsidRPr="00A01E75">
              <w:t>28 - My future is bleak</w:t>
            </w:r>
          </w:p>
        </w:tc>
        <w:tc>
          <w:tcPr>
            <w:tcW w:w="0" w:type="auto"/>
            <w:shd w:val="clear" w:color="auto" w:fill="auto"/>
            <w:vAlign w:val="center"/>
          </w:tcPr>
          <w:p w14:paraId="4C517759" w14:textId="4155F584" w:rsidR="00AF7280" w:rsidRPr="00A01E75" w:rsidRDefault="00AF7280" w:rsidP="001F1B36">
            <w:pPr>
              <w:jc w:val="center"/>
            </w:pPr>
            <w:r>
              <w:t>.293</w:t>
            </w:r>
          </w:p>
        </w:tc>
        <w:tc>
          <w:tcPr>
            <w:tcW w:w="0" w:type="auto"/>
            <w:shd w:val="clear" w:color="auto" w:fill="auto"/>
            <w:vAlign w:val="center"/>
          </w:tcPr>
          <w:p w14:paraId="6C5C60FA" w14:textId="59E5A774" w:rsidR="00AF7280" w:rsidRPr="00A01E75" w:rsidRDefault="00AF7280" w:rsidP="001F1B36">
            <w:pPr>
              <w:jc w:val="center"/>
            </w:pPr>
            <w:r>
              <w:t>.016</w:t>
            </w:r>
          </w:p>
        </w:tc>
        <w:tc>
          <w:tcPr>
            <w:tcW w:w="0" w:type="auto"/>
            <w:shd w:val="clear" w:color="auto" w:fill="auto"/>
            <w:vAlign w:val="center"/>
          </w:tcPr>
          <w:p w14:paraId="2F015A3F" w14:textId="2E51286C" w:rsidR="00AF7280" w:rsidRPr="00A01E75" w:rsidRDefault="00AF7280" w:rsidP="001F1B36">
            <w:pPr>
              <w:jc w:val="center"/>
            </w:pPr>
            <w:r>
              <w:t>-.065</w:t>
            </w:r>
          </w:p>
        </w:tc>
        <w:tc>
          <w:tcPr>
            <w:tcW w:w="0" w:type="auto"/>
            <w:shd w:val="clear" w:color="auto" w:fill="auto"/>
            <w:vAlign w:val="center"/>
          </w:tcPr>
          <w:p w14:paraId="61EFED70" w14:textId="6449568A" w:rsidR="00AF7280" w:rsidRPr="00A01E75" w:rsidRDefault="00AF7280" w:rsidP="001F1B36">
            <w:pPr>
              <w:jc w:val="center"/>
            </w:pPr>
            <w:r>
              <w:rPr>
                <w:b/>
                <w:bCs/>
              </w:rPr>
              <w:t>.572</w:t>
            </w:r>
          </w:p>
        </w:tc>
      </w:tr>
      <w:tr w:rsidR="00AF7280" w:rsidRPr="00A01E75" w14:paraId="481F825A" w14:textId="77777777" w:rsidTr="00A27E68">
        <w:trPr>
          <w:cantSplit/>
          <w:trHeight w:hRule="exact" w:val="432"/>
        </w:trPr>
        <w:tc>
          <w:tcPr>
            <w:tcW w:w="0" w:type="auto"/>
            <w:shd w:val="clear" w:color="auto" w:fill="auto"/>
            <w:vAlign w:val="center"/>
          </w:tcPr>
          <w:p w14:paraId="3980EB38" w14:textId="5762B17F" w:rsidR="00AF7280" w:rsidRPr="00A01E75" w:rsidRDefault="00AF7280" w:rsidP="001F1B36">
            <w:r>
              <w:t>ATQ</w:t>
            </w:r>
            <w:r w:rsidRPr="00A01E75">
              <w:t>29 - It's just not worth it</w:t>
            </w:r>
          </w:p>
        </w:tc>
        <w:tc>
          <w:tcPr>
            <w:tcW w:w="0" w:type="auto"/>
            <w:shd w:val="clear" w:color="auto" w:fill="auto"/>
            <w:vAlign w:val="center"/>
          </w:tcPr>
          <w:p w14:paraId="21CC91DF" w14:textId="7D402A55" w:rsidR="00AF7280" w:rsidRPr="00A01E75" w:rsidRDefault="00AF7280" w:rsidP="001F1B36">
            <w:pPr>
              <w:jc w:val="center"/>
            </w:pPr>
            <w:r>
              <w:t>.049</w:t>
            </w:r>
          </w:p>
        </w:tc>
        <w:tc>
          <w:tcPr>
            <w:tcW w:w="0" w:type="auto"/>
            <w:shd w:val="clear" w:color="auto" w:fill="auto"/>
            <w:vAlign w:val="center"/>
          </w:tcPr>
          <w:p w14:paraId="4004D946" w14:textId="70064109" w:rsidR="00AF7280" w:rsidRPr="00A01E75" w:rsidRDefault="00AF7280" w:rsidP="001F1B36">
            <w:pPr>
              <w:jc w:val="center"/>
            </w:pPr>
            <w:r>
              <w:t>-.01</w:t>
            </w:r>
            <w:r w:rsidR="009148B8">
              <w:t>0</w:t>
            </w:r>
          </w:p>
        </w:tc>
        <w:tc>
          <w:tcPr>
            <w:tcW w:w="0" w:type="auto"/>
            <w:shd w:val="clear" w:color="auto" w:fill="auto"/>
            <w:vAlign w:val="center"/>
          </w:tcPr>
          <w:p w14:paraId="1510344A" w14:textId="7E91E874" w:rsidR="00AF7280" w:rsidRPr="00A01E75" w:rsidRDefault="00AF7280" w:rsidP="001F1B36">
            <w:pPr>
              <w:jc w:val="center"/>
            </w:pPr>
            <w:r>
              <w:t>-.177</w:t>
            </w:r>
          </w:p>
        </w:tc>
        <w:tc>
          <w:tcPr>
            <w:tcW w:w="0" w:type="auto"/>
            <w:shd w:val="clear" w:color="auto" w:fill="auto"/>
            <w:vAlign w:val="center"/>
          </w:tcPr>
          <w:p w14:paraId="29B2B6E7" w14:textId="03AABE8C" w:rsidR="00AF7280" w:rsidRPr="00A01E75" w:rsidRDefault="00AF7280" w:rsidP="001F1B36">
            <w:pPr>
              <w:jc w:val="center"/>
            </w:pPr>
            <w:r>
              <w:rPr>
                <w:b/>
                <w:bCs/>
              </w:rPr>
              <w:t>.880</w:t>
            </w:r>
          </w:p>
        </w:tc>
      </w:tr>
      <w:tr w:rsidR="00AF7280" w:rsidRPr="00A01E75" w14:paraId="46FA8098" w14:textId="77777777" w:rsidTr="00A27E68">
        <w:trPr>
          <w:cantSplit/>
          <w:trHeight w:hRule="exact" w:val="432"/>
        </w:trPr>
        <w:tc>
          <w:tcPr>
            <w:tcW w:w="0" w:type="auto"/>
            <w:shd w:val="clear" w:color="auto" w:fill="auto"/>
            <w:vAlign w:val="center"/>
          </w:tcPr>
          <w:p w14:paraId="7BD886A4" w14:textId="38B045FE" w:rsidR="00AF7280" w:rsidRPr="00A01E75" w:rsidRDefault="00AF7280" w:rsidP="001F1B36">
            <w:r>
              <w:t>ATQ</w:t>
            </w:r>
            <w:r w:rsidRPr="00A01E75">
              <w:t>30 - I can't finish anything</w:t>
            </w:r>
          </w:p>
        </w:tc>
        <w:tc>
          <w:tcPr>
            <w:tcW w:w="0" w:type="auto"/>
            <w:shd w:val="clear" w:color="auto" w:fill="auto"/>
            <w:vAlign w:val="center"/>
          </w:tcPr>
          <w:p w14:paraId="3CB23A83" w14:textId="7FF94195" w:rsidR="00AF7280" w:rsidRPr="00A01E75" w:rsidRDefault="00AF7280" w:rsidP="001F1B36">
            <w:pPr>
              <w:jc w:val="center"/>
            </w:pPr>
            <w:r>
              <w:t>.094</w:t>
            </w:r>
          </w:p>
        </w:tc>
        <w:tc>
          <w:tcPr>
            <w:tcW w:w="0" w:type="auto"/>
            <w:shd w:val="clear" w:color="auto" w:fill="auto"/>
            <w:vAlign w:val="center"/>
          </w:tcPr>
          <w:p w14:paraId="1C7B9406" w14:textId="34C773AA" w:rsidR="00AF7280" w:rsidRPr="00A01E75" w:rsidRDefault="00AF7280" w:rsidP="001F1B36">
            <w:pPr>
              <w:jc w:val="center"/>
            </w:pPr>
            <w:r>
              <w:t>.047</w:t>
            </w:r>
          </w:p>
        </w:tc>
        <w:tc>
          <w:tcPr>
            <w:tcW w:w="0" w:type="auto"/>
            <w:shd w:val="clear" w:color="auto" w:fill="auto"/>
            <w:vAlign w:val="center"/>
          </w:tcPr>
          <w:p w14:paraId="4BEA7B40" w14:textId="22A376A2" w:rsidR="00AF7280" w:rsidRPr="00A01E75" w:rsidRDefault="00AF7280" w:rsidP="001F1B36">
            <w:pPr>
              <w:jc w:val="center"/>
            </w:pPr>
            <w:r>
              <w:t>.146</w:t>
            </w:r>
          </w:p>
        </w:tc>
        <w:tc>
          <w:tcPr>
            <w:tcW w:w="0" w:type="auto"/>
            <w:shd w:val="clear" w:color="auto" w:fill="auto"/>
            <w:vAlign w:val="center"/>
          </w:tcPr>
          <w:p w14:paraId="7D87349E" w14:textId="5F4ABDFD" w:rsidR="00AF7280" w:rsidRPr="00A01E75" w:rsidRDefault="00AF7280" w:rsidP="001F1B36">
            <w:pPr>
              <w:jc w:val="center"/>
            </w:pPr>
            <w:r>
              <w:rPr>
                <w:b/>
                <w:bCs/>
              </w:rPr>
              <w:t>.605</w:t>
            </w:r>
          </w:p>
        </w:tc>
      </w:tr>
    </w:tbl>
    <w:p w14:paraId="43F8E817" w14:textId="749BA695" w:rsidR="00AF7280" w:rsidRPr="00AF7280" w:rsidRDefault="00AF7280" w:rsidP="00AF7280">
      <w:r w:rsidRPr="00AF7280">
        <w:rPr>
          <w:i/>
          <w:iCs/>
        </w:rPr>
        <w:t>Note.</w:t>
      </w:r>
      <w:r w:rsidRPr="00AF7280">
        <w:t xml:space="preserve"> Bold text indicates factor loadings </w:t>
      </w:r>
      <w:r w:rsidRPr="00AF7280">
        <w:rPr>
          <w:color w:val="202124"/>
          <w:shd w:val="clear" w:color="auto" w:fill="FFFFFF"/>
        </w:rPr>
        <w:t>≥ .4</w:t>
      </w:r>
      <w:r>
        <w:rPr>
          <w:color w:val="202124"/>
          <w:shd w:val="clear" w:color="auto" w:fill="FFFFFF"/>
        </w:rPr>
        <w:t>.</w:t>
      </w:r>
    </w:p>
    <w:p w14:paraId="5889BF5A" w14:textId="6FED799B" w:rsidR="00105820" w:rsidRDefault="00105820" w:rsidP="00AA0B7B">
      <w:pPr>
        <w:spacing w:after="160" w:line="259" w:lineRule="auto"/>
      </w:pPr>
    </w:p>
    <w:p w14:paraId="310DC2C5" w14:textId="77777777" w:rsidR="00ED2B25" w:rsidRDefault="00ED2B25">
      <w:pPr>
        <w:spacing w:after="160" w:line="259" w:lineRule="auto"/>
        <w:rPr>
          <w:b/>
          <w:bCs/>
        </w:rPr>
      </w:pPr>
      <w:r>
        <w:rPr>
          <w:b/>
          <w:bCs/>
        </w:rPr>
        <w:br w:type="page"/>
      </w:r>
    </w:p>
    <w:p w14:paraId="529D471D" w14:textId="1E00B04F" w:rsidR="00ED2B25" w:rsidRDefault="00ED2B25" w:rsidP="00ED2B25">
      <w:pPr>
        <w:widowControl w:val="0"/>
        <w:autoSpaceDE w:val="0"/>
        <w:autoSpaceDN w:val="0"/>
        <w:adjustRightInd w:val="0"/>
        <w:spacing w:line="480" w:lineRule="auto"/>
        <w:ind w:left="480" w:hanging="480"/>
        <w:rPr>
          <w:b/>
          <w:bCs/>
        </w:rPr>
      </w:pPr>
      <w:r>
        <w:rPr>
          <w:b/>
          <w:bCs/>
        </w:rPr>
        <w:lastRenderedPageBreak/>
        <w:t>Table 3</w:t>
      </w:r>
    </w:p>
    <w:p w14:paraId="76BDF641" w14:textId="10EED039" w:rsidR="00ED2B25" w:rsidRDefault="00ED2B25" w:rsidP="00ED2B25">
      <w:pPr>
        <w:widowControl w:val="0"/>
        <w:autoSpaceDE w:val="0"/>
        <w:autoSpaceDN w:val="0"/>
        <w:adjustRightInd w:val="0"/>
        <w:spacing w:line="480" w:lineRule="auto"/>
        <w:ind w:left="480" w:hanging="480"/>
        <w:rPr>
          <w:i/>
          <w:iCs/>
        </w:rPr>
      </w:pPr>
      <w:r>
        <w:rPr>
          <w:i/>
          <w:iCs/>
        </w:rPr>
        <w:t>Longitudinal Linear Regressions</w:t>
      </w:r>
    </w:p>
    <w:tbl>
      <w:tblPr>
        <w:tblW w:w="9969"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326"/>
        <w:gridCol w:w="1835"/>
        <w:gridCol w:w="2571"/>
        <w:gridCol w:w="2573"/>
        <w:gridCol w:w="1487"/>
        <w:gridCol w:w="36"/>
        <w:gridCol w:w="6"/>
        <w:gridCol w:w="6"/>
        <w:gridCol w:w="93"/>
        <w:gridCol w:w="6"/>
        <w:gridCol w:w="6"/>
        <w:gridCol w:w="6"/>
        <w:gridCol w:w="6"/>
        <w:gridCol w:w="6"/>
        <w:gridCol w:w="6"/>
      </w:tblGrid>
      <w:tr w:rsidR="00A74B53" w:rsidRPr="00A01E75" w14:paraId="22589F85" w14:textId="77777777" w:rsidTr="0059730C">
        <w:trPr>
          <w:cantSplit/>
          <w:trHeight w:val="558"/>
        </w:trPr>
        <w:tc>
          <w:tcPr>
            <w:tcW w:w="1326" w:type="dxa"/>
            <w:tcBorders>
              <w:top w:val="single" w:sz="4" w:space="0" w:color="auto"/>
              <w:bottom w:val="nil"/>
            </w:tcBorders>
          </w:tcPr>
          <w:p w14:paraId="2E7D530C" w14:textId="77777777" w:rsidR="00A74B53" w:rsidRDefault="00A74B53" w:rsidP="00ED2B25">
            <w:pPr>
              <w:rPr>
                <w:u w:val="single"/>
              </w:rPr>
            </w:pPr>
          </w:p>
        </w:tc>
        <w:tc>
          <w:tcPr>
            <w:tcW w:w="8633" w:type="dxa"/>
            <w:gridSpan w:val="12"/>
            <w:tcBorders>
              <w:top w:val="single" w:sz="4" w:space="0" w:color="auto"/>
              <w:bottom w:val="nil"/>
            </w:tcBorders>
            <w:shd w:val="clear" w:color="auto" w:fill="auto"/>
            <w:vAlign w:val="center"/>
          </w:tcPr>
          <w:p w14:paraId="32A74B29" w14:textId="44DB2D58" w:rsidR="00A74B53" w:rsidRPr="00A01E75" w:rsidRDefault="00A74B53" w:rsidP="00DA6897">
            <w:r>
              <w:rPr>
                <w:u w:val="single"/>
              </w:rPr>
              <w:t xml:space="preserve">Predicting CCAPS-34 </w:t>
            </w:r>
            <w:r w:rsidR="00E03AAE">
              <w:rPr>
                <w:u w:val="single"/>
              </w:rPr>
              <w:t>Distress</w:t>
            </w:r>
            <w:r>
              <w:rPr>
                <w:u w:val="single"/>
              </w:rPr>
              <w:t xml:space="preserve"> at Follow-up</w:t>
            </w:r>
          </w:p>
        </w:tc>
        <w:tc>
          <w:tcPr>
            <w:tcW w:w="0" w:type="auto"/>
            <w:tcBorders>
              <w:top w:val="single" w:sz="4" w:space="0" w:color="auto"/>
              <w:bottom w:val="single" w:sz="4" w:space="0" w:color="auto"/>
            </w:tcBorders>
          </w:tcPr>
          <w:p w14:paraId="56FB27C7" w14:textId="77777777" w:rsidR="00A74B53" w:rsidRPr="00A01E75" w:rsidRDefault="00A74B53" w:rsidP="00397B47">
            <w:pPr>
              <w:jc w:val="center"/>
            </w:pPr>
          </w:p>
        </w:tc>
        <w:tc>
          <w:tcPr>
            <w:tcW w:w="0" w:type="auto"/>
            <w:tcBorders>
              <w:top w:val="single" w:sz="4" w:space="0" w:color="auto"/>
              <w:bottom w:val="single" w:sz="4" w:space="0" w:color="auto"/>
            </w:tcBorders>
          </w:tcPr>
          <w:p w14:paraId="7C31ECDC" w14:textId="77777777" w:rsidR="00A74B53" w:rsidRPr="00A01E75" w:rsidRDefault="00A74B53" w:rsidP="00397B47">
            <w:pPr>
              <w:jc w:val="center"/>
            </w:pPr>
          </w:p>
        </w:tc>
      </w:tr>
      <w:tr w:rsidR="00DA5CEC" w:rsidRPr="00A01E75" w14:paraId="33243239" w14:textId="77777777" w:rsidTr="0059730C">
        <w:trPr>
          <w:gridAfter w:val="2"/>
          <w:cantSplit/>
          <w:trHeight w:val="558"/>
        </w:trPr>
        <w:tc>
          <w:tcPr>
            <w:tcW w:w="3161" w:type="dxa"/>
            <w:gridSpan w:val="2"/>
            <w:tcBorders>
              <w:top w:val="nil"/>
              <w:bottom w:val="single" w:sz="4" w:space="0" w:color="auto"/>
            </w:tcBorders>
            <w:shd w:val="clear" w:color="auto" w:fill="auto"/>
            <w:vAlign w:val="center"/>
          </w:tcPr>
          <w:p w14:paraId="3CEC84DD" w14:textId="48F893E2" w:rsidR="00DA5CEC" w:rsidRPr="007567AF" w:rsidRDefault="00DA5CEC" w:rsidP="00397B47">
            <w:pPr>
              <w:jc w:val="center"/>
              <w:rPr>
                <w:u w:val="single"/>
              </w:rPr>
            </w:pPr>
          </w:p>
        </w:tc>
        <w:tc>
          <w:tcPr>
            <w:tcW w:w="2572" w:type="dxa"/>
            <w:tcBorders>
              <w:top w:val="nil"/>
              <w:bottom w:val="single" w:sz="4" w:space="0" w:color="auto"/>
            </w:tcBorders>
            <w:shd w:val="clear" w:color="auto" w:fill="auto"/>
            <w:vAlign w:val="center"/>
          </w:tcPr>
          <w:p w14:paraId="58B1DA11" w14:textId="638F5890" w:rsidR="00DA5CEC" w:rsidRPr="005A71E8" w:rsidRDefault="00DA5CEC" w:rsidP="00397B47">
            <w:pPr>
              <w:jc w:val="center"/>
              <w:rPr>
                <w:i/>
                <w:iCs/>
              </w:rPr>
            </w:pPr>
            <w:r>
              <w:rPr>
                <w:i/>
                <w:iCs/>
              </w:rPr>
              <w:t>b</w:t>
            </w:r>
          </w:p>
        </w:tc>
        <w:tc>
          <w:tcPr>
            <w:tcW w:w="2574" w:type="dxa"/>
            <w:tcBorders>
              <w:top w:val="nil"/>
              <w:bottom w:val="single" w:sz="4" w:space="0" w:color="auto"/>
            </w:tcBorders>
            <w:shd w:val="clear" w:color="auto" w:fill="auto"/>
            <w:vAlign w:val="center"/>
          </w:tcPr>
          <w:p w14:paraId="3A079877" w14:textId="3F26E165" w:rsidR="00DA5CEC" w:rsidRDefault="00DA5CEC" w:rsidP="00397B47">
            <w:pPr>
              <w:jc w:val="center"/>
            </w:pPr>
            <w:r>
              <w:t>SE</w:t>
            </w:r>
          </w:p>
        </w:tc>
        <w:tc>
          <w:tcPr>
            <w:tcW w:w="1639" w:type="dxa"/>
            <w:gridSpan w:val="7"/>
            <w:tcBorders>
              <w:top w:val="nil"/>
              <w:bottom w:val="single" w:sz="4" w:space="0" w:color="auto"/>
            </w:tcBorders>
            <w:shd w:val="clear" w:color="auto" w:fill="auto"/>
            <w:vAlign w:val="center"/>
          </w:tcPr>
          <w:p w14:paraId="5070E259" w14:textId="18E7AFAE" w:rsidR="00DA5CEC" w:rsidRPr="005A71E8" w:rsidRDefault="00DA5CEC" w:rsidP="00397B47">
            <w:pPr>
              <w:jc w:val="center"/>
              <w:rPr>
                <w:i/>
                <w:iCs/>
              </w:rPr>
            </w:pPr>
            <w:r>
              <w:rPr>
                <w:i/>
                <w:iCs/>
              </w:rPr>
              <w:t>p</w:t>
            </w:r>
          </w:p>
        </w:tc>
        <w:tc>
          <w:tcPr>
            <w:tcW w:w="0" w:type="auto"/>
            <w:tcBorders>
              <w:top w:val="nil"/>
              <w:bottom w:val="single" w:sz="4" w:space="0" w:color="auto"/>
            </w:tcBorders>
          </w:tcPr>
          <w:p w14:paraId="762C34E4" w14:textId="77777777" w:rsidR="00DA5CEC" w:rsidRPr="00A01E75" w:rsidRDefault="00DA5CEC" w:rsidP="00397B47">
            <w:pPr>
              <w:jc w:val="center"/>
            </w:pPr>
          </w:p>
        </w:tc>
        <w:tc>
          <w:tcPr>
            <w:tcW w:w="0" w:type="auto"/>
            <w:tcBorders>
              <w:top w:val="nil"/>
              <w:bottom w:val="single" w:sz="4" w:space="0" w:color="auto"/>
            </w:tcBorders>
          </w:tcPr>
          <w:p w14:paraId="18F6122E" w14:textId="77777777" w:rsidR="00DA5CEC" w:rsidRPr="00A01E75" w:rsidRDefault="00DA5CEC" w:rsidP="00397B47">
            <w:pPr>
              <w:jc w:val="center"/>
            </w:pPr>
          </w:p>
        </w:tc>
      </w:tr>
      <w:tr w:rsidR="00E03AAE" w:rsidRPr="00A01E75" w14:paraId="24F4DD80" w14:textId="77777777" w:rsidTr="0059730C">
        <w:trPr>
          <w:gridAfter w:val="2"/>
          <w:cantSplit/>
          <w:trHeight w:val="558"/>
        </w:trPr>
        <w:tc>
          <w:tcPr>
            <w:tcW w:w="3161" w:type="dxa"/>
            <w:gridSpan w:val="2"/>
            <w:tcBorders>
              <w:top w:val="single" w:sz="4" w:space="0" w:color="auto"/>
            </w:tcBorders>
            <w:shd w:val="clear" w:color="auto" w:fill="auto"/>
            <w:vAlign w:val="center"/>
          </w:tcPr>
          <w:p w14:paraId="0EA78170" w14:textId="25E85755" w:rsidR="00E03AAE" w:rsidRPr="00A01E75" w:rsidRDefault="00E03AAE" w:rsidP="00E03AAE">
            <w:r>
              <w:t>CFQ</w:t>
            </w:r>
          </w:p>
        </w:tc>
        <w:tc>
          <w:tcPr>
            <w:tcW w:w="2572" w:type="dxa"/>
            <w:tcBorders>
              <w:top w:val="single" w:sz="4" w:space="0" w:color="auto"/>
            </w:tcBorders>
            <w:shd w:val="clear" w:color="auto" w:fill="auto"/>
            <w:vAlign w:val="center"/>
          </w:tcPr>
          <w:p w14:paraId="4B1D592A" w14:textId="38556829" w:rsidR="00E03AAE" w:rsidRPr="00A01E75" w:rsidRDefault="00E03AAE" w:rsidP="00E03AAE">
            <w:pPr>
              <w:jc w:val="center"/>
            </w:pPr>
            <w:r>
              <w:t>0.009</w:t>
            </w:r>
          </w:p>
        </w:tc>
        <w:tc>
          <w:tcPr>
            <w:tcW w:w="2574" w:type="dxa"/>
            <w:tcBorders>
              <w:top w:val="single" w:sz="4" w:space="0" w:color="auto"/>
            </w:tcBorders>
            <w:shd w:val="clear" w:color="auto" w:fill="auto"/>
            <w:vAlign w:val="center"/>
          </w:tcPr>
          <w:p w14:paraId="3FF271EE" w14:textId="22329C23" w:rsidR="00E03AAE" w:rsidRPr="00A01E75" w:rsidRDefault="00E03AAE" w:rsidP="00E03AAE">
            <w:pPr>
              <w:jc w:val="center"/>
            </w:pPr>
            <w:r>
              <w:t>0.004</w:t>
            </w:r>
          </w:p>
        </w:tc>
        <w:tc>
          <w:tcPr>
            <w:tcW w:w="1639" w:type="dxa"/>
            <w:gridSpan w:val="7"/>
            <w:tcBorders>
              <w:top w:val="single" w:sz="4" w:space="0" w:color="auto"/>
            </w:tcBorders>
            <w:shd w:val="clear" w:color="auto" w:fill="auto"/>
            <w:vAlign w:val="center"/>
          </w:tcPr>
          <w:p w14:paraId="530990D9" w14:textId="07BC0910" w:rsidR="00E03AAE" w:rsidRPr="00A01E75" w:rsidRDefault="00E03AAE" w:rsidP="00E03AAE">
            <w:pPr>
              <w:jc w:val="center"/>
            </w:pPr>
            <w:r>
              <w:t>.01</w:t>
            </w:r>
          </w:p>
        </w:tc>
        <w:tc>
          <w:tcPr>
            <w:tcW w:w="0" w:type="auto"/>
            <w:tcBorders>
              <w:top w:val="single" w:sz="4" w:space="0" w:color="auto"/>
            </w:tcBorders>
          </w:tcPr>
          <w:p w14:paraId="6C69FFFC" w14:textId="77777777" w:rsidR="00E03AAE" w:rsidRDefault="00E03AAE" w:rsidP="00E03AAE">
            <w:pPr>
              <w:jc w:val="center"/>
            </w:pPr>
          </w:p>
        </w:tc>
        <w:tc>
          <w:tcPr>
            <w:tcW w:w="0" w:type="auto"/>
            <w:tcBorders>
              <w:top w:val="single" w:sz="4" w:space="0" w:color="auto"/>
            </w:tcBorders>
          </w:tcPr>
          <w:p w14:paraId="398E58E3" w14:textId="77777777" w:rsidR="00E03AAE" w:rsidRDefault="00E03AAE" w:rsidP="00E03AAE">
            <w:pPr>
              <w:jc w:val="center"/>
            </w:pPr>
          </w:p>
        </w:tc>
      </w:tr>
      <w:tr w:rsidR="00E03AAE" w:rsidRPr="00A01E75" w14:paraId="56CE67F1" w14:textId="77777777" w:rsidTr="0059730C">
        <w:trPr>
          <w:gridAfter w:val="2"/>
          <w:cantSplit/>
          <w:trHeight w:val="558"/>
        </w:trPr>
        <w:tc>
          <w:tcPr>
            <w:tcW w:w="3161" w:type="dxa"/>
            <w:gridSpan w:val="2"/>
            <w:shd w:val="clear" w:color="auto" w:fill="auto"/>
            <w:vAlign w:val="center"/>
          </w:tcPr>
          <w:p w14:paraId="60E23397" w14:textId="484A5D4C" w:rsidR="00E03AAE" w:rsidRPr="00A01E75" w:rsidRDefault="00E03AAE" w:rsidP="00E03AAE">
            <w:r>
              <w:t>ATQ</w:t>
            </w:r>
          </w:p>
        </w:tc>
        <w:tc>
          <w:tcPr>
            <w:tcW w:w="2572" w:type="dxa"/>
            <w:shd w:val="clear" w:color="auto" w:fill="auto"/>
            <w:vAlign w:val="center"/>
          </w:tcPr>
          <w:p w14:paraId="60E21B9E" w14:textId="7325270B" w:rsidR="00E03AAE" w:rsidRPr="00A01E75" w:rsidRDefault="00E03AAE" w:rsidP="00E03AAE">
            <w:pPr>
              <w:jc w:val="center"/>
            </w:pPr>
            <w:r>
              <w:t>0.004</w:t>
            </w:r>
          </w:p>
        </w:tc>
        <w:tc>
          <w:tcPr>
            <w:tcW w:w="2574" w:type="dxa"/>
            <w:shd w:val="clear" w:color="auto" w:fill="auto"/>
            <w:vAlign w:val="center"/>
          </w:tcPr>
          <w:p w14:paraId="5D4A6E96" w14:textId="0A40CBDE" w:rsidR="00E03AAE" w:rsidRPr="00A01E75" w:rsidRDefault="00E03AAE" w:rsidP="00E03AAE">
            <w:pPr>
              <w:jc w:val="center"/>
            </w:pPr>
            <w:r>
              <w:t>0.002</w:t>
            </w:r>
          </w:p>
        </w:tc>
        <w:tc>
          <w:tcPr>
            <w:tcW w:w="1639" w:type="dxa"/>
            <w:gridSpan w:val="7"/>
            <w:shd w:val="clear" w:color="auto" w:fill="auto"/>
            <w:vAlign w:val="center"/>
          </w:tcPr>
          <w:p w14:paraId="0B8169CE" w14:textId="26670BE2" w:rsidR="00E03AAE" w:rsidRPr="00A01E75" w:rsidRDefault="00E03AAE" w:rsidP="00E03AAE">
            <w:pPr>
              <w:jc w:val="center"/>
            </w:pPr>
            <w:r>
              <w:t>.009</w:t>
            </w:r>
          </w:p>
        </w:tc>
        <w:tc>
          <w:tcPr>
            <w:tcW w:w="0" w:type="auto"/>
          </w:tcPr>
          <w:p w14:paraId="5C2964B0" w14:textId="77777777" w:rsidR="00E03AAE" w:rsidRDefault="00E03AAE" w:rsidP="00E03AAE">
            <w:pPr>
              <w:jc w:val="center"/>
            </w:pPr>
          </w:p>
        </w:tc>
        <w:tc>
          <w:tcPr>
            <w:tcW w:w="0" w:type="auto"/>
          </w:tcPr>
          <w:p w14:paraId="3B08AC7F" w14:textId="77777777" w:rsidR="00E03AAE" w:rsidRDefault="00E03AAE" w:rsidP="00E03AAE">
            <w:pPr>
              <w:jc w:val="center"/>
            </w:pPr>
          </w:p>
        </w:tc>
      </w:tr>
      <w:tr w:rsidR="00E03AAE" w:rsidRPr="00A01E75" w14:paraId="3F4C31C3" w14:textId="77777777" w:rsidTr="0059730C">
        <w:trPr>
          <w:gridAfter w:val="2"/>
          <w:cantSplit/>
          <w:trHeight w:val="558"/>
        </w:trPr>
        <w:tc>
          <w:tcPr>
            <w:tcW w:w="3161" w:type="dxa"/>
            <w:gridSpan w:val="2"/>
            <w:tcBorders>
              <w:bottom w:val="single" w:sz="4" w:space="0" w:color="auto"/>
            </w:tcBorders>
            <w:shd w:val="clear" w:color="auto" w:fill="auto"/>
            <w:vAlign w:val="center"/>
          </w:tcPr>
          <w:p w14:paraId="4776604B" w14:textId="499E4707" w:rsidR="00E03AAE" w:rsidRPr="00A01E75" w:rsidRDefault="00E03AAE" w:rsidP="00E03AAE">
            <w:r>
              <w:t>Baseline CCAPS-34 Distress</w:t>
            </w:r>
          </w:p>
        </w:tc>
        <w:tc>
          <w:tcPr>
            <w:tcW w:w="2572" w:type="dxa"/>
            <w:tcBorders>
              <w:bottom w:val="single" w:sz="4" w:space="0" w:color="auto"/>
            </w:tcBorders>
            <w:shd w:val="clear" w:color="auto" w:fill="auto"/>
            <w:vAlign w:val="center"/>
          </w:tcPr>
          <w:p w14:paraId="2358EBA0" w14:textId="5BFC7176" w:rsidR="00E03AAE" w:rsidRPr="00A01E75" w:rsidRDefault="00E03AAE" w:rsidP="00E03AAE">
            <w:pPr>
              <w:jc w:val="center"/>
            </w:pPr>
            <w:r>
              <w:t>0.50</w:t>
            </w:r>
          </w:p>
        </w:tc>
        <w:tc>
          <w:tcPr>
            <w:tcW w:w="2574" w:type="dxa"/>
            <w:tcBorders>
              <w:bottom w:val="single" w:sz="4" w:space="0" w:color="auto"/>
            </w:tcBorders>
            <w:shd w:val="clear" w:color="auto" w:fill="auto"/>
            <w:vAlign w:val="center"/>
          </w:tcPr>
          <w:p w14:paraId="25540C74" w14:textId="6613C6C9" w:rsidR="00E03AAE" w:rsidRPr="00A01E75" w:rsidRDefault="00E03AAE" w:rsidP="00E03AAE">
            <w:pPr>
              <w:jc w:val="center"/>
            </w:pPr>
            <w:r>
              <w:t>0.06</w:t>
            </w:r>
          </w:p>
        </w:tc>
        <w:tc>
          <w:tcPr>
            <w:tcW w:w="1639" w:type="dxa"/>
            <w:gridSpan w:val="7"/>
            <w:tcBorders>
              <w:bottom w:val="single" w:sz="4" w:space="0" w:color="auto"/>
            </w:tcBorders>
            <w:shd w:val="clear" w:color="auto" w:fill="auto"/>
            <w:vAlign w:val="center"/>
          </w:tcPr>
          <w:p w14:paraId="246E81E1" w14:textId="5525C262" w:rsidR="00E03AAE" w:rsidRPr="00A01E75" w:rsidRDefault="00E03AAE" w:rsidP="00E03AAE">
            <w:pPr>
              <w:jc w:val="center"/>
            </w:pPr>
            <w:r>
              <w:t>&lt; .001</w:t>
            </w:r>
          </w:p>
        </w:tc>
        <w:tc>
          <w:tcPr>
            <w:tcW w:w="0" w:type="auto"/>
          </w:tcPr>
          <w:p w14:paraId="4EFF2A34" w14:textId="77777777" w:rsidR="00E03AAE" w:rsidRDefault="00E03AAE" w:rsidP="00E03AAE">
            <w:pPr>
              <w:jc w:val="center"/>
            </w:pPr>
          </w:p>
        </w:tc>
        <w:tc>
          <w:tcPr>
            <w:tcW w:w="0" w:type="auto"/>
          </w:tcPr>
          <w:p w14:paraId="2E02DFB0" w14:textId="77777777" w:rsidR="00E03AAE" w:rsidRDefault="00E03AAE" w:rsidP="00E03AAE">
            <w:pPr>
              <w:jc w:val="center"/>
            </w:pPr>
          </w:p>
        </w:tc>
      </w:tr>
      <w:tr w:rsidR="00A74B53" w:rsidRPr="00A01E75" w14:paraId="3F43C07E" w14:textId="77777777" w:rsidTr="0059730C">
        <w:trPr>
          <w:cantSplit/>
          <w:trHeight w:val="558"/>
        </w:trPr>
        <w:tc>
          <w:tcPr>
            <w:tcW w:w="1326" w:type="dxa"/>
            <w:tcBorders>
              <w:top w:val="single" w:sz="4" w:space="0" w:color="auto"/>
              <w:bottom w:val="single" w:sz="4" w:space="0" w:color="auto"/>
            </w:tcBorders>
          </w:tcPr>
          <w:p w14:paraId="5B4C1B44" w14:textId="77777777" w:rsidR="00A74B53" w:rsidRDefault="00A74B53" w:rsidP="00ED2B25">
            <w:pPr>
              <w:rPr>
                <w:u w:val="single"/>
              </w:rPr>
            </w:pPr>
          </w:p>
        </w:tc>
        <w:tc>
          <w:tcPr>
            <w:tcW w:w="8633" w:type="dxa"/>
            <w:gridSpan w:val="12"/>
            <w:tcBorders>
              <w:top w:val="single" w:sz="4" w:space="0" w:color="auto"/>
              <w:bottom w:val="single" w:sz="4" w:space="0" w:color="auto"/>
            </w:tcBorders>
            <w:shd w:val="clear" w:color="auto" w:fill="auto"/>
            <w:vAlign w:val="center"/>
          </w:tcPr>
          <w:p w14:paraId="0C755D3C" w14:textId="31B72D28" w:rsidR="00A74B53" w:rsidRDefault="00A74B53" w:rsidP="00DA6897">
            <w:r>
              <w:rPr>
                <w:u w:val="single"/>
              </w:rPr>
              <w:t>Predicting CCAPS-34 Anxiety at Follow-up</w:t>
            </w:r>
          </w:p>
        </w:tc>
        <w:tc>
          <w:tcPr>
            <w:tcW w:w="0" w:type="auto"/>
          </w:tcPr>
          <w:p w14:paraId="0D8679D4" w14:textId="77777777" w:rsidR="00A74B53" w:rsidRDefault="00A74B53" w:rsidP="00ED2B25">
            <w:pPr>
              <w:jc w:val="center"/>
            </w:pPr>
          </w:p>
        </w:tc>
        <w:tc>
          <w:tcPr>
            <w:tcW w:w="0" w:type="auto"/>
          </w:tcPr>
          <w:p w14:paraId="7AFC61E0" w14:textId="77777777" w:rsidR="00A74B53" w:rsidRDefault="00A74B53" w:rsidP="00ED2B25">
            <w:pPr>
              <w:jc w:val="center"/>
            </w:pPr>
          </w:p>
        </w:tc>
      </w:tr>
      <w:tr w:rsidR="00DA5CEC" w:rsidRPr="00A01E75" w14:paraId="12477A70" w14:textId="77777777" w:rsidTr="0059730C">
        <w:trPr>
          <w:gridAfter w:val="4"/>
          <w:wAfter w:w="24" w:type="dxa"/>
          <w:cantSplit/>
          <w:trHeight w:val="558"/>
        </w:trPr>
        <w:tc>
          <w:tcPr>
            <w:tcW w:w="3161" w:type="dxa"/>
            <w:gridSpan w:val="2"/>
            <w:tcBorders>
              <w:top w:val="single" w:sz="4" w:space="0" w:color="auto"/>
            </w:tcBorders>
            <w:shd w:val="clear" w:color="auto" w:fill="auto"/>
            <w:vAlign w:val="center"/>
          </w:tcPr>
          <w:p w14:paraId="253C6DD4" w14:textId="77777777" w:rsidR="00DA5CEC" w:rsidRDefault="00DA5CEC" w:rsidP="00ED2B25"/>
        </w:tc>
        <w:tc>
          <w:tcPr>
            <w:tcW w:w="2572" w:type="dxa"/>
            <w:tcBorders>
              <w:top w:val="single" w:sz="4" w:space="0" w:color="auto"/>
            </w:tcBorders>
            <w:shd w:val="clear" w:color="auto" w:fill="auto"/>
            <w:vAlign w:val="center"/>
          </w:tcPr>
          <w:p w14:paraId="1A4E1F81" w14:textId="1FA4E486" w:rsidR="00DA5CEC" w:rsidRDefault="00DA5CEC" w:rsidP="00ED2B25">
            <w:pPr>
              <w:jc w:val="center"/>
            </w:pPr>
            <w:r>
              <w:rPr>
                <w:i/>
                <w:iCs/>
              </w:rPr>
              <w:t>b</w:t>
            </w:r>
          </w:p>
        </w:tc>
        <w:tc>
          <w:tcPr>
            <w:tcW w:w="2574" w:type="dxa"/>
            <w:tcBorders>
              <w:top w:val="single" w:sz="4" w:space="0" w:color="auto"/>
            </w:tcBorders>
            <w:shd w:val="clear" w:color="auto" w:fill="auto"/>
            <w:vAlign w:val="center"/>
          </w:tcPr>
          <w:p w14:paraId="421B6843" w14:textId="13DF993C" w:rsidR="00DA5CEC" w:rsidRDefault="00DA5CEC" w:rsidP="00ED2B25">
            <w:pPr>
              <w:jc w:val="center"/>
            </w:pPr>
            <w:r>
              <w:t>SE</w:t>
            </w:r>
          </w:p>
        </w:tc>
        <w:tc>
          <w:tcPr>
            <w:tcW w:w="1535" w:type="dxa"/>
            <w:gridSpan w:val="4"/>
            <w:tcBorders>
              <w:top w:val="single" w:sz="4" w:space="0" w:color="auto"/>
            </w:tcBorders>
            <w:shd w:val="clear" w:color="auto" w:fill="auto"/>
            <w:vAlign w:val="center"/>
          </w:tcPr>
          <w:p w14:paraId="307BA85C" w14:textId="11BEE156" w:rsidR="00DA5CEC" w:rsidRDefault="00DA5CEC" w:rsidP="00ED2B25">
            <w:pPr>
              <w:jc w:val="center"/>
            </w:pPr>
            <w:r>
              <w:rPr>
                <w:i/>
                <w:iCs/>
              </w:rPr>
              <w:t>p</w:t>
            </w:r>
          </w:p>
        </w:tc>
        <w:tc>
          <w:tcPr>
            <w:tcW w:w="93" w:type="dxa"/>
            <w:tcBorders>
              <w:top w:val="single" w:sz="4" w:space="0" w:color="auto"/>
            </w:tcBorders>
            <w:shd w:val="clear" w:color="auto" w:fill="auto"/>
            <w:vAlign w:val="center"/>
          </w:tcPr>
          <w:p w14:paraId="12F698FB" w14:textId="1399548A" w:rsidR="00DA5CEC" w:rsidRDefault="00DA5CEC" w:rsidP="00ED2B25">
            <w:pPr>
              <w:jc w:val="center"/>
            </w:pPr>
          </w:p>
        </w:tc>
        <w:tc>
          <w:tcPr>
            <w:tcW w:w="0" w:type="auto"/>
          </w:tcPr>
          <w:p w14:paraId="19579A92" w14:textId="77777777" w:rsidR="00DA5CEC" w:rsidRDefault="00DA5CEC" w:rsidP="00ED2B25">
            <w:pPr>
              <w:jc w:val="center"/>
            </w:pPr>
          </w:p>
        </w:tc>
        <w:tc>
          <w:tcPr>
            <w:tcW w:w="0" w:type="auto"/>
          </w:tcPr>
          <w:p w14:paraId="50D18E28" w14:textId="77777777" w:rsidR="00DA5CEC" w:rsidRDefault="00DA5CEC" w:rsidP="00ED2B25">
            <w:pPr>
              <w:jc w:val="center"/>
            </w:pPr>
          </w:p>
        </w:tc>
      </w:tr>
      <w:tr w:rsidR="00DA5CEC" w:rsidRPr="00A01E75" w14:paraId="6B681AF6" w14:textId="77777777" w:rsidTr="0059730C">
        <w:trPr>
          <w:gridAfter w:val="4"/>
          <w:wAfter w:w="24" w:type="dxa"/>
          <w:cantSplit/>
          <w:trHeight w:val="558"/>
        </w:trPr>
        <w:tc>
          <w:tcPr>
            <w:tcW w:w="3161" w:type="dxa"/>
            <w:gridSpan w:val="2"/>
            <w:shd w:val="clear" w:color="auto" w:fill="auto"/>
            <w:vAlign w:val="center"/>
          </w:tcPr>
          <w:p w14:paraId="2771B028" w14:textId="7FE25078" w:rsidR="00DA5CEC" w:rsidRDefault="00DA5CEC" w:rsidP="00ED2B25">
            <w:r>
              <w:t>CFQ</w:t>
            </w:r>
          </w:p>
        </w:tc>
        <w:tc>
          <w:tcPr>
            <w:tcW w:w="2572" w:type="dxa"/>
            <w:shd w:val="clear" w:color="auto" w:fill="auto"/>
            <w:vAlign w:val="center"/>
          </w:tcPr>
          <w:p w14:paraId="4F7FC8F8" w14:textId="49035893" w:rsidR="00DA5CEC" w:rsidRDefault="00DA5CEC" w:rsidP="00ED2B25">
            <w:pPr>
              <w:jc w:val="center"/>
            </w:pPr>
            <w:r>
              <w:t>0.01</w:t>
            </w:r>
          </w:p>
        </w:tc>
        <w:tc>
          <w:tcPr>
            <w:tcW w:w="2574" w:type="dxa"/>
            <w:shd w:val="clear" w:color="auto" w:fill="auto"/>
            <w:vAlign w:val="center"/>
          </w:tcPr>
          <w:p w14:paraId="744DB525" w14:textId="7C1FBA0E" w:rsidR="00DA5CEC" w:rsidRDefault="00DA5CEC" w:rsidP="00ED2B25">
            <w:pPr>
              <w:jc w:val="center"/>
            </w:pPr>
            <w:r>
              <w:t>0.00</w:t>
            </w:r>
            <w:r w:rsidR="00A00ED8">
              <w:t>5</w:t>
            </w:r>
          </w:p>
        </w:tc>
        <w:tc>
          <w:tcPr>
            <w:tcW w:w="1535" w:type="dxa"/>
            <w:gridSpan w:val="4"/>
            <w:shd w:val="clear" w:color="auto" w:fill="auto"/>
            <w:vAlign w:val="center"/>
          </w:tcPr>
          <w:p w14:paraId="642B5196" w14:textId="55511E85" w:rsidR="00DA5CEC" w:rsidRDefault="00DA5CEC" w:rsidP="00ED2B25">
            <w:pPr>
              <w:jc w:val="center"/>
            </w:pPr>
            <w:r>
              <w:t>.00</w:t>
            </w:r>
            <w:r w:rsidR="00A00ED8">
              <w:t>5</w:t>
            </w:r>
          </w:p>
        </w:tc>
        <w:tc>
          <w:tcPr>
            <w:tcW w:w="93" w:type="dxa"/>
            <w:shd w:val="clear" w:color="auto" w:fill="auto"/>
            <w:vAlign w:val="center"/>
          </w:tcPr>
          <w:p w14:paraId="6CE5DF26" w14:textId="30643D11" w:rsidR="00DA5CEC" w:rsidRDefault="00DA5CEC" w:rsidP="00ED2B25">
            <w:pPr>
              <w:jc w:val="center"/>
            </w:pPr>
          </w:p>
        </w:tc>
        <w:tc>
          <w:tcPr>
            <w:tcW w:w="0" w:type="auto"/>
          </w:tcPr>
          <w:p w14:paraId="49AEB814" w14:textId="77777777" w:rsidR="00DA5CEC" w:rsidRDefault="00DA5CEC" w:rsidP="00ED2B25">
            <w:pPr>
              <w:jc w:val="center"/>
            </w:pPr>
          </w:p>
        </w:tc>
        <w:tc>
          <w:tcPr>
            <w:tcW w:w="0" w:type="auto"/>
          </w:tcPr>
          <w:p w14:paraId="4ED8BA18" w14:textId="77777777" w:rsidR="00DA5CEC" w:rsidRDefault="00DA5CEC" w:rsidP="00ED2B25">
            <w:pPr>
              <w:jc w:val="center"/>
            </w:pPr>
          </w:p>
        </w:tc>
      </w:tr>
      <w:tr w:rsidR="00DA5CEC" w:rsidRPr="00A01E75" w14:paraId="530B6C7F" w14:textId="77777777" w:rsidTr="0059730C">
        <w:trPr>
          <w:gridAfter w:val="4"/>
          <w:wAfter w:w="24" w:type="dxa"/>
          <w:cantSplit/>
          <w:trHeight w:val="558"/>
        </w:trPr>
        <w:tc>
          <w:tcPr>
            <w:tcW w:w="3161" w:type="dxa"/>
            <w:gridSpan w:val="2"/>
            <w:shd w:val="clear" w:color="auto" w:fill="auto"/>
            <w:vAlign w:val="center"/>
          </w:tcPr>
          <w:p w14:paraId="13DF2CF5" w14:textId="052EB778" w:rsidR="00DA5CEC" w:rsidRDefault="00DA5CEC" w:rsidP="00ED2B25">
            <w:r>
              <w:t>ATQ</w:t>
            </w:r>
          </w:p>
        </w:tc>
        <w:tc>
          <w:tcPr>
            <w:tcW w:w="2572" w:type="dxa"/>
            <w:shd w:val="clear" w:color="auto" w:fill="auto"/>
            <w:vAlign w:val="center"/>
          </w:tcPr>
          <w:p w14:paraId="73CC6188" w14:textId="3DD50DD6" w:rsidR="00DA5CEC" w:rsidRDefault="00DA5CEC" w:rsidP="00ED2B25">
            <w:pPr>
              <w:jc w:val="center"/>
            </w:pPr>
            <w:r>
              <w:t>0.001</w:t>
            </w:r>
          </w:p>
        </w:tc>
        <w:tc>
          <w:tcPr>
            <w:tcW w:w="2574" w:type="dxa"/>
            <w:shd w:val="clear" w:color="auto" w:fill="auto"/>
            <w:vAlign w:val="center"/>
          </w:tcPr>
          <w:p w14:paraId="02C696E5" w14:textId="56B95A4B" w:rsidR="00DA5CEC" w:rsidRDefault="00DA5CEC" w:rsidP="00ED2B25">
            <w:pPr>
              <w:jc w:val="center"/>
            </w:pPr>
            <w:r>
              <w:t>0.002</w:t>
            </w:r>
          </w:p>
        </w:tc>
        <w:tc>
          <w:tcPr>
            <w:tcW w:w="1535" w:type="dxa"/>
            <w:gridSpan w:val="4"/>
            <w:shd w:val="clear" w:color="auto" w:fill="auto"/>
            <w:vAlign w:val="center"/>
          </w:tcPr>
          <w:p w14:paraId="179785AB" w14:textId="19AC763A" w:rsidR="00DA5CEC" w:rsidRDefault="00DA5CEC" w:rsidP="00ED2B25">
            <w:pPr>
              <w:jc w:val="center"/>
            </w:pPr>
            <w:r>
              <w:t>.</w:t>
            </w:r>
            <w:r w:rsidR="00A00ED8">
              <w:t>6</w:t>
            </w:r>
            <w:r>
              <w:t>6</w:t>
            </w:r>
          </w:p>
        </w:tc>
        <w:tc>
          <w:tcPr>
            <w:tcW w:w="93" w:type="dxa"/>
            <w:shd w:val="clear" w:color="auto" w:fill="auto"/>
            <w:vAlign w:val="center"/>
          </w:tcPr>
          <w:p w14:paraId="2AEFA6A0" w14:textId="10877026" w:rsidR="00DA5CEC" w:rsidRDefault="00DA5CEC" w:rsidP="00ED2B25">
            <w:pPr>
              <w:jc w:val="center"/>
            </w:pPr>
          </w:p>
        </w:tc>
        <w:tc>
          <w:tcPr>
            <w:tcW w:w="0" w:type="auto"/>
          </w:tcPr>
          <w:p w14:paraId="46D806C4" w14:textId="77777777" w:rsidR="00DA5CEC" w:rsidRDefault="00DA5CEC" w:rsidP="00ED2B25">
            <w:pPr>
              <w:jc w:val="center"/>
            </w:pPr>
          </w:p>
        </w:tc>
        <w:tc>
          <w:tcPr>
            <w:tcW w:w="0" w:type="auto"/>
          </w:tcPr>
          <w:p w14:paraId="68886158" w14:textId="77777777" w:rsidR="00DA5CEC" w:rsidRDefault="00DA5CEC" w:rsidP="00ED2B25">
            <w:pPr>
              <w:jc w:val="center"/>
            </w:pPr>
          </w:p>
        </w:tc>
      </w:tr>
      <w:tr w:rsidR="00DA5CEC" w:rsidRPr="00A01E75" w14:paraId="4D1BF14C" w14:textId="77777777" w:rsidTr="0059730C">
        <w:trPr>
          <w:gridAfter w:val="4"/>
          <w:wAfter w:w="24" w:type="dxa"/>
          <w:cantSplit/>
          <w:trHeight w:val="558"/>
        </w:trPr>
        <w:tc>
          <w:tcPr>
            <w:tcW w:w="3161" w:type="dxa"/>
            <w:gridSpan w:val="2"/>
            <w:tcBorders>
              <w:bottom w:val="single" w:sz="4" w:space="0" w:color="auto"/>
            </w:tcBorders>
            <w:shd w:val="clear" w:color="auto" w:fill="auto"/>
            <w:vAlign w:val="center"/>
          </w:tcPr>
          <w:p w14:paraId="691DE2F9" w14:textId="2A1CF1E4" w:rsidR="00DA5CEC" w:rsidRPr="00A01E75" w:rsidRDefault="00DA5CEC" w:rsidP="00ED2B25">
            <w:r>
              <w:t>Baseline CCAPS-34 Anxiety</w:t>
            </w:r>
          </w:p>
        </w:tc>
        <w:tc>
          <w:tcPr>
            <w:tcW w:w="2572" w:type="dxa"/>
            <w:tcBorders>
              <w:bottom w:val="single" w:sz="4" w:space="0" w:color="auto"/>
            </w:tcBorders>
            <w:shd w:val="clear" w:color="auto" w:fill="auto"/>
            <w:vAlign w:val="center"/>
          </w:tcPr>
          <w:p w14:paraId="3A996231" w14:textId="250C1D9C" w:rsidR="00DA5CEC" w:rsidRPr="00A01E75" w:rsidRDefault="00DA5CEC" w:rsidP="00ED2B25">
            <w:pPr>
              <w:jc w:val="center"/>
            </w:pPr>
            <w:r>
              <w:t>0.5</w:t>
            </w:r>
            <w:r w:rsidR="00A00ED8">
              <w:t>8</w:t>
            </w:r>
          </w:p>
        </w:tc>
        <w:tc>
          <w:tcPr>
            <w:tcW w:w="2574" w:type="dxa"/>
            <w:tcBorders>
              <w:bottom w:val="single" w:sz="4" w:space="0" w:color="auto"/>
            </w:tcBorders>
            <w:shd w:val="clear" w:color="auto" w:fill="auto"/>
            <w:vAlign w:val="center"/>
          </w:tcPr>
          <w:p w14:paraId="2958D5AF" w14:textId="1A75642E" w:rsidR="00DA5CEC" w:rsidRPr="00A01E75" w:rsidRDefault="00DA5CEC" w:rsidP="00ED2B25">
            <w:pPr>
              <w:jc w:val="center"/>
            </w:pPr>
            <w:r>
              <w:t>0.05</w:t>
            </w:r>
          </w:p>
        </w:tc>
        <w:tc>
          <w:tcPr>
            <w:tcW w:w="1535" w:type="dxa"/>
            <w:gridSpan w:val="4"/>
            <w:tcBorders>
              <w:bottom w:val="single" w:sz="4" w:space="0" w:color="auto"/>
            </w:tcBorders>
            <w:shd w:val="clear" w:color="auto" w:fill="auto"/>
            <w:vAlign w:val="center"/>
          </w:tcPr>
          <w:p w14:paraId="500A52EB" w14:textId="41DF26C1" w:rsidR="00DA5CEC" w:rsidRPr="00A01E75" w:rsidRDefault="00DA5CEC" w:rsidP="00ED2B25">
            <w:pPr>
              <w:jc w:val="center"/>
            </w:pPr>
            <w:r>
              <w:t>&lt;.001</w:t>
            </w:r>
          </w:p>
        </w:tc>
        <w:tc>
          <w:tcPr>
            <w:tcW w:w="93" w:type="dxa"/>
            <w:tcBorders>
              <w:bottom w:val="single" w:sz="4" w:space="0" w:color="auto"/>
            </w:tcBorders>
            <w:shd w:val="clear" w:color="auto" w:fill="auto"/>
            <w:vAlign w:val="center"/>
          </w:tcPr>
          <w:p w14:paraId="371BF1FD" w14:textId="50416F00" w:rsidR="00DA5CEC" w:rsidRPr="00A01E75" w:rsidRDefault="00DA5CEC" w:rsidP="00ED2B25">
            <w:pPr>
              <w:jc w:val="center"/>
            </w:pPr>
          </w:p>
        </w:tc>
        <w:tc>
          <w:tcPr>
            <w:tcW w:w="0" w:type="auto"/>
          </w:tcPr>
          <w:p w14:paraId="461F50F9" w14:textId="77777777" w:rsidR="00DA5CEC" w:rsidRDefault="00DA5CEC" w:rsidP="00ED2B25">
            <w:pPr>
              <w:jc w:val="center"/>
            </w:pPr>
          </w:p>
        </w:tc>
        <w:tc>
          <w:tcPr>
            <w:tcW w:w="0" w:type="auto"/>
          </w:tcPr>
          <w:p w14:paraId="3A724709" w14:textId="77777777" w:rsidR="00DA5CEC" w:rsidRDefault="00DA5CEC" w:rsidP="00ED2B25">
            <w:pPr>
              <w:jc w:val="center"/>
            </w:pPr>
          </w:p>
        </w:tc>
      </w:tr>
      <w:tr w:rsidR="00A74B53" w:rsidRPr="00A01E75" w14:paraId="0A433A83" w14:textId="77777777" w:rsidTr="0059730C">
        <w:trPr>
          <w:cantSplit/>
          <w:trHeight w:val="558"/>
        </w:trPr>
        <w:tc>
          <w:tcPr>
            <w:tcW w:w="1326" w:type="dxa"/>
            <w:tcBorders>
              <w:top w:val="single" w:sz="4" w:space="0" w:color="auto"/>
              <w:bottom w:val="single" w:sz="4" w:space="0" w:color="auto"/>
            </w:tcBorders>
          </w:tcPr>
          <w:p w14:paraId="359DFE5C" w14:textId="77777777" w:rsidR="00A74B53" w:rsidRDefault="00A74B53" w:rsidP="00ED2B25">
            <w:pPr>
              <w:rPr>
                <w:u w:val="single"/>
              </w:rPr>
            </w:pPr>
          </w:p>
        </w:tc>
        <w:tc>
          <w:tcPr>
            <w:tcW w:w="8633" w:type="dxa"/>
            <w:gridSpan w:val="12"/>
            <w:tcBorders>
              <w:top w:val="single" w:sz="4" w:space="0" w:color="auto"/>
              <w:bottom w:val="single" w:sz="4" w:space="0" w:color="auto"/>
            </w:tcBorders>
            <w:shd w:val="clear" w:color="auto" w:fill="auto"/>
            <w:vAlign w:val="center"/>
          </w:tcPr>
          <w:p w14:paraId="6A6A33DE" w14:textId="68D6FF3A" w:rsidR="00A74B53" w:rsidRDefault="00A74B53" w:rsidP="00DA6897">
            <w:r>
              <w:rPr>
                <w:u w:val="single"/>
              </w:rPr>
              <w:t xml:space="preserve">Predicting CCAPS-34 </w:t>
            </w:r>
            <w:r w:rsidR="00E03AAE">
              <w:rPr>
                <w:u w:val="single"/>
              </w:rPr>
              <w:t>Depression</w:t>
            </w:r>
            <w:r>
              <w:rPr>
                <w:u w:val="single"/>
              </w:rPr>
              <w:t xml:space="preserve"> at Follow-up</w:t>
            </w:r>
          </w:p>
        </w:tc>
        <w:tc>
          <w:tcPr>
            <w:tcW w:w="0" w:type="auto"/>
          </w:tcPr>
          <w:p w14:paraId="0754B0CE" w14:textId="77777777" w:rsidR="00A74B53" w:rsidRDefault="00A74B53" w:rsidP="00ED2B25">
            <w:pPr>
              <w:jc w:val="center"/>
            </w:pPr>
          </w:p>
        </w:tc>
        <w:tc>
          <w:tcPr>
            <w:tcW w:w="0" w:type="auto"/>
          </w:tcPr>
          <w:p w14:paraId="570F8A8D" w14:textId="77777777" w:rsidR="00A74B53" w:rsidRDefault="00A74B53" w:rsidP="00ED2B25">
            <w:pPr>
              <w:jc w:val="center"/>
            </w:pPr>
          </w:p>
        </w:tc>
      </w:tr>
      <w:tr w:rsidR="00DA5CEC" w:rsidRPr="00A01E75" w14:paraId="73F25208" w14:textId="77777777" w:rsidTr="0059730C">
        <w:trPr>
          <w:gridAfter w:val="7"/>
          <w:wAfter w:w="129" w:type="dxa"/>
          <w:cantSplit/>
          <w:trHeight w:val="558"/>
        </w:trPr>
        <w:tc>
          <w:tcPr>
            <w:tcW w:w="3161" w:type="dxa"/>
            <w:gridSpan w:val="2"/>
            <w:tcBorders>
              <w:top w:val="single" w:sz="4" w:space="0" w:color="auto"/>
            </w:tcBorders>
            <w:shd w:val="clear" w:color="auto" w:fill="auto"/>
            <w:vAlign w:val="center"/>
          </w:tcPr>
          <w:p w14:paraId="50286DA9" w14:textId="77777777" w:rsidR="00DA5CEC" w:rsidRDefault="00DA5CEC" w:rsidP="00ED2B25"/>
        </w:tc>
        <w:tc>
          <w:tcPr>
            <w:tcW w:w="2572" w:type="dxa"/>
            <w:tcBorders>
              <w:top w:val="single" w:sz="4" w:space="0" w:color="auto"/>
            </w:tcBorders>
            <w:shd w:val="clear" w:color="auto" w:fill="auto"/>
            <w:vAlign w:val="center"/>
          </w:tcPr>
          <w:p w14:paraId="3A03BD78" w14:textId="6CEBC0EF" w:rsidR="00DA5CEC" w:rsidRDefault="00DA5CEC" w:rsidP="00ED2B25">
            <w:pPr>
              <w:jc w:val="center"/>
            </w:pPr>
            <w:r>
              <w:rPr>
                <w:i/>
                <w:iCs/>
              </w:rPr>
              <w:t>b</w:t>
            </w:r>
          </w:p>
        </w:tc>
        <w:tc>
          <w:tcPr>
            <w:tcW w:w="2574" w:type="dxa"/>
            <w:tcBorders>
              <w:top w:val="single" w:sz="4" w:space="0" w:color="auto"/>
            </w:tcBorders>
            <w:shd w:val="clear" w:color="auto" w:fill="auto"/>
            <w:vAlign w:val="center"/>
          </w:tcPr>
          <w:p w14:paraId="3C886C9A" w14:textId="2B5584BD" w:rsidR="00DA5CEC" w:rsidRDefault="00DA5CEC" w:rsidP="00ED2B25">
            <w:pPr>
              <w:jc w:val="center"/>
            </w:pPr>
            <w:r>
              <w:t>SE</w:t>
            </w:r>
          </w:p>
        </w:tc>
        <w:tc>
          <w:tcPr>
            <w:tcW w:w="1487" w:type="dxa"/>
            <w:tcBorders>
              <w:top w:val="single" w:sz="4" w:space="0" w:color="auto"/>
            </w:tcBorders>
            <w:shd w:val="clear" w:color="auto" w:fill="auto"/>
            <w:vAlign w:val="center"/>
          </w:tcPr>
          <w:p w14:paraId="58BB18C6" w14:textId="0933E179" w:rsidR="00DA5CEC" w:rsidRDefault="00DA5CEC" w:rsidP="00ED2B25">
            <w:pPr>
              <w:jc w:val="center"/>
            </w:pPr>
            <w:r>
              <w:rPr>
                <w:i/>
                <w:iCs/>
              </w:rPr>
              <w:t>p</w:t>
            </w:r>
          </w:p>
        </w:tc>
        <w:tc>
          <w:tcPr>
            <w:tcW w:w="36" w:type="dxa"/>
            <w:tcBorders>
              <w:top w:val="single" w:sz="4" w:space="0" w:color="auto"/>
            </w:tcBorders>
            <w:shd w:val="clear" w:color="auto" w:fill="auto"/>
            <w:vAlign w:val="center"/>
          </w:tcPr>
          <w:p w14:paraId="1CB2530D" w14:textId="36E61368" w:rsidR="00DA5CEC" w:rsidRDefault="00DA5CEC" w:rsidP="00ED2B25">
            <w:pPr>
              <w:jc w:val="center"/>
            </w:pPr>
          </w:p>
        </w:tc>
        <w:tc>
          <w:tcPr>
            <w:tcW w:w="0" w:type="auto"/>
          </w:tcPr>
          <w:p w14:paraId="0028DB84" w14:textId="77777777" w:rsidR="00DA5CEC" w:rsidRDefault="00DA5CEC" w:rsidP="00ED2B25">
            <w:pPr>
              <w:jc w:val="center"/>
            </w:pPr>
          </w:p>
        </w:tc>
        <w:tc>
          <w:tcPr>
            <w:tcW w:w="0" w:type="auto"/>
          </w:tcPr>
          <w:p w14:paraId="3A79F680" w14:textId="77777777" w:rsidR="00DA5CEC" w:rsidRDefault="00DA5CEC" w:rsidP="00ED2B25">
            <w:pPr>
              <w:jc w:val="center"/>
            </w:pPr>
          </w:p>
        </w:tc>
      </w:tr>
      <w:tr w:rsidR="00E03AAE" w:rsidRPr="00A01E75" w14:paraId="4F3D962F" w14:textId="77777777" w:rsidTr="0059730C">
        <w:trPr>
          <w:gridAfter w:val="7"/>
          <w:wAfter w:w="129" w:type="dxa"/>
          <w:cantSplit/>
          <w:trHeight w:val="558"/>
        </w:trPr>
        <w:tc>
          <w:tcPr>
            <w:tcW w:w="3161" w:type="dxa"/>
            <w:gridSpan w:val="2"/>
            <w:shd w:val="clear" w:color="auto" w:fill="auto"/>
            <w:vAlign w:val="center"/>
          </w:tcPr>
          <w:p w14:paraId="6D7E50A7" w14:textId="21ADED1B" w:rsidR="00E03AAE" w:rsidRDefault="00E03AAE" w:rsidP="00E03AAE">
            <w:r>
              <w:t>CFQ</w:t>
            </w:r>
          </w:p>
        </w:tc>
        <w:tc>
          <w:tcPr>
            <w:tcW w:w="2572" w:type="dxa"/>
            <w:shd w:val="clear" w:color="auto" w:fill="auto"/>
            <w:vAlign w:val="center"/>
          </w:tcPr>
          <w:p w14:paraId="21E906FD" w14:textId="1E2B1F5A" w:rsidR="00E03AAE" w:rsidRDefault="00E03AAE" w:rsidP="00E03AAE">
            <w:pPr>
              <w:jc w:val="center"/>
            </w:pPr>
            <w:r>
              <w:t>0.005</w:t>
            </w:r>
          </w:p>
        </w:tc>
        <w:tc>
          <w:tcPr>
            <w:tcW w:w="2574" w:type="dxa"/>
            <w:shd w:val="clear" w:color="auto" w:fill="auto"/>
            <w:vAlign w:val="center"/>
          </w:tcPr>
          <w:p w14:paraId="03BDD62E" w14:textId="7E190948" w:rsidR="00E03AAE" w:rsidRDefault="00E03AAE" w:rsidP="00E03AAE">
            <w:pPr>
              <w:jc w:val="center"/>
            </w:pPr>
            <w:r>
              <w:t>0.003</w:t>
            </w:r>
          </w:p>
        </w:tc>
        <w:tc>
          <w:tcPr>
            <w:tcW w:w="1487" w:type="dxa"/>
            <w:shd w:val="clear" w:color="auto" w:fill="auto"/>
            <w:vAlign w:val="center"/>
          </w:tcPr>
          <w:p w14:paraId="24CE5404" w14:textId="2E4496F7" w:rsidR="00E03AAE" w:rsidRDefault="00E03AAE" w:rsidP="00E03AAE">
            <w:pPr>
              <w:jc w:val="center"/>
            </w:pPr>
            <w:r>
              <w:t>.06</w:t>
            </w:r>
          </w:p>
        </w:tc>
        <w:tc>
          <w:tcPr>
            <w:tcW w:w="36" w:type="dxa"/>
            <w:shd w:val="clear" w:color="auto" w:fill="auto"/>
            <w:vAlign w:val="center"/>
          </w:tcPr>
          <w:p w14:paraId="1A79E4DD" w14:textId="52091323" w:rsidR="00E03AAE" w:rsidRDefault="00E03AAE" w:rsidP="00E03AAE">
            <w:pPr>
              <w:jc w:val="center"/>
            </w:pPr>
          </w:p>
        </w:tc>
        <w:tc>
          <w:tcPr>
            <w:tcW w:w="0" w:type="auto"/>
          </w:tcPr>
          <w:p w14:paraId="514DA9BB" w14:textId="77777777" w:rsidR="00E03AAE" w:rsidRDefault="00E03AAE" w:rsidP="00E03AAE">
            <w:pPr>
              <w:jc w:val="center"/>
            </w:pPr>
          </w:p>
        </w:tc>
        <w:tc>
          <w:tcPr>
            <w:tcW w:w="0" w:type="auto"/>
          </w:tcPr>
          <w:p w14:paraId="2B7554A9" w14:textId="77777777" w:rsidR="00E03AAE" w:rsidRDefault="00E03AAE" w:rsidP="00E03AAE">
            <w:pPr>
              <w:jc w:val="center"/>
            </w:pPr>
          </w:p>
        </w:tc>
      </w:tr>
      <w:tr w:rsidR="00E03AAE" w:rsidRPr="00A01E75" w14:paraId="00BBB49C" w14:textId="77777777" w:rsidTr="0059730C">
        <w:trPr>
          <w:gridAfter w:val="7"/>
          <w:wAfter w:w="129" w:type="dxa"/>
          <w:cantSplit/>
          <w:trHeight w:val="558"/>
        </w:trPr>
        <w:tc>
          <w:tcPr>
            <w:tcW w:w="3161" w:type="dxa"/>
            <w:gridSpan w:val="2"/>
            <w:shd w:val="clear" w:color="auto" w:fill="auto"/>
            <w:vAlign w:val="center"/>
          </w:tcPr>
          <w:p w14:paraId="4404BFF5" w14:textId="40A08480" w:rsidR="00E03AAE" w:rsidRPr="00A01E75" w:rsidRDefault="00E03AAE" w:rsidP="00E03AAE">
            <w:r>
              <w:t>ATQ</w:t>
            </w:r>
          </w:p>
        </w:tc>
        <w:tc>
          <w:tcPr>
            <w:tcW w:w="2572" w:type="dxa"/>
            <w:shd w:val="clear" w:color="auto" w:fill="auto"/>
            <w:vAlign w:val="center"/>
          </w:tcPr>
          <w:p w14:paraId="0545018F" w14:textId="71BECEE8" w:rsidR="00E03AAE" w:rsidRPr="00A01E75" w:rsidRDefault="00E03AAE" w:rsidP="00E03AAE">
            <w:pPr>
              <w:jc w:val="center"/>
            </w:pPr>
            <w:r>
              <w:t>0.004</w:t>
            </w:r>
          </w:p>
        </w:tc>
        <w:tc>
          <w:tcPr>
            <w:tcW w:w="2574" w:type="dxa"/>
            <w:shd w:val="clear" w:color="auto" w:fill="auto"/>
            <w:vAlign w:val="center"/>
          </w:tcPr>
          <w:p w14:paraId="43597F79" w14:textId="6D97A57C" w:rsidR="00E03AAE" w:rsidRPr="00A01E75" w:rsidRDefault="00E03AAE" w:rsidP="00E03AAE">
            <w:pPr>
              <w:jc w:val="center"/>
            </w:pPr>
            <w:r>
              <w:t>0.001</w:t>
            </w:r>
          </w:p>
        </w:tc>
        <w:tc>
          <w:tcPr>
            <w:tcW w:w="1487" w:type="dxa"/>
            <w:shd w:val="clear" w:color="auto" w:fill="auto"/>
            <w:vAlign w:val="center"/>
          </w:tcPr>
          <w:p w14:paraId="5B7C2B75" w14:textId="3E2DDE00" w:rsidR="00E03AAE" w:rsidRPr="00A01E75" w:rsidRDefault="00E03AAE" w:rsidP="00E03AAE">
            <w:pPr>
              <w:jc w:val="center"/>
            </w:pPr>
            <w:r>
              <w:t>.001</w:t>
            </w:r>
          </w:p>
        </w:tc>
        <w:tc>
          <w:tcPr>
            <w:tcW w:w="36" w:type="dxa"/>
            <w:shd w:val="clear" w:color="auto" w:fill="auto"/>
            <w:vAlign w:val="center"/>
          </w:tcPr>
          <w:p w14:paraId="459C13ED" w14:textId="413010F0" w:rsidR="00E03AAE" w:rsidRPr="00A01E75" w:rsidRDefault="00E03AAE" w:rsidP="00E03AAE">
            <w:pPr>
              <w:jc w:val="center"/>
            </w:pPr>
          </w:p>
        </w:tc>
        <w:tc>
          <w:tcPr>
            <w:tcW w:w="0" w:type="auto"/>
          </w:tcPr>
          <w:p w14:paraId="0FB53E92" w14:textId="77777777" w:rsidR="00E03AAE" w:rsidRDefault="00E03AAE" w:rsidP="00E03AAE">
            <w:pPr>
              <w:jc w:val="center"/>
            </w:pPr>
          </w:p>
        </w:tc>
        <w:tc>
          <w:tcPr>
            <w:tcW w:w="0" w:type="auto"/>
          </w:tcPr>
          <w:p w14:paraId="372E27DA" w14:textId="77777777" w:rsidR="00E03AAE" w:rsidRDefault="00E03AAE" w:rsidP="00E03AAE">
            <w:pPr>
              <w:jc w:val="center"/>
            </w:pPr>
          </w:p>
        </w:tc>
      </w:tr>
      <w:tr w:rsidR="00E03AAE" w:rsidRPr="00A01E75" w14:paraId="3F7BFD66" w14:textId="77777777" w:rsidTr="0059730C">
        <w:trPr>
          <w:gridAfter w:val="7"/>
          <w:wAfter w:w="129" w:type="dxa"/>
          <w:cantSplit/>
          <w:trHeight w:val="558"/>
        </w:trPr>
        <w:tc>
          <w:tcPr>
            <w:tcW w:w="3161" w:type="dxa"/>
            <w:gridSpan w:val="2"/>
            <w:shd w:val="clear" w:color="auto" w:fill="auto"/>
            <w:vAlign w:val="center"/>
          </w:tcPr>
          <w:p w14:paraId="28CAB722" w14:textId="647B792D" w:rsidR="00E03AAE" w:rsidRDefault="00E03AAE" w:rsidP="00E03AAE">
            <w:r>
              <w:t>Baseline CCAPS-34 Depression</w:t>
            </w:r>
          </w:p>
        </w:tc>
        <w:tc>
          <w:tcPr>
            <w:tcW w:w="2572" w:type="dxa"/>
            <w:shd w:val="clear" w:color="auto" w:fill="auto"/>
            <w:vAlign w:val="center"/>
          </w:tcPr>
          <w:p w14:paraId="03E06AF2" w14:textId="3088CF4C" w:rsidR="00E03AAE" w:rsidRDefault="00E03AAE" w:rsidP="00E03AAE">
            <w:pPr>
              <w:jc w:val="center"/>
            </w:pPr>
            <w:r>
              <w:t>0.47</w:t>
            </w:r>
          </w:p>
        </w:tc>
        <w:tc>
          <w:tcPr>
            <w:tcW w:w="2574" w:type="dxa"/>
            <w:shd w:val="clear" w:color="auto" w:fill="auto"/>
            <w:vAlign w:val="center"/>
          </w:tcPr>
          <w:p w14:paraId="5373865A" w14:textId="1937BD74" w:rsidR="00E03AAE" w:rsidRDefault="00E03AAE" w:rsidP="00E03AAE">
            <w:pPr>
              <w:jc w:val="center"/>
            </w:pPr>
            <w:r>
              <w:t>0.05</w:t>
            </w:r>
          </w:p>
        </w:tc>
        <w:tc>
          <w:tcPr>
            <w:tcW w:w="1487" w:type="dxa"/>
            <w:shd w:val="clear" w:color="auto" w:fill="auto"/>
            <w:vAlign w:val="center"/>
          </w:tcPr>
          <w:p w14:paraId="11F60CA1" w14:textId="626B45D8" w:rsidR="00E03AAE" w:rsidRDefault="00E03AAE" w:rsidP="00E03AAE">
            <w:pPr>
              <w:jc w:val="center"/>
            </w:pPr>
            <w:r>
              <w:t>&lt;.001</w:t>
            </w:r>
          </w:p>
        </w:tc>
        <w:tc>
          <w:tcPr>
            <w:tcW w:w="36" w:type="dxa"/>
            <w:shd w:val="clear" w:color="auto" w:fill="auto"/>
            <w:vAlign w:val="center"/>
          </w:tcPr>
          <w:p w14:paraId="274F3F7A" w14:textId="77777777" w:rsidR="00E03AAE" w:rsidRDefault="00E03AAE" w:rsidP="00E03AAE">
            <w:pPr>
              <w:jc w:val="center"/>
            </w:pPr>
          </w:p>
        </w:tc>
        <w:tc>
          <w:tcPr>
            <w:tcW w:w="0" w:type="auto"/>
          </w:tcPr>
          <w:p w14:paraId="2642EDA2" w14:textId="77777777" w:rsidR="00E03AAE" w:rsidRDefault="00E03AAE" w:rsidP="00E03AAE">
            <w:pPr>
              <w:jc w:val="center"/>
            </w:pPr>
          </w:p>
        </w:tc>
        <w:tc>
          <w:tcPr>
            <w:tcW w:w="0" w:type="auto"/>
          </w:tcPr>
          <w:p w14:paraId="70A3302C" w14:textId="77777777" w:rsidR="00E03AAE" w:rsidRDefault="00E03AAE" w:rsidP="00E03AAE">
            <w:pPr>
              <w:jc w:val="center"/>
            </w:pPr>
          </w:p>
        </w:tc>
      </w:tr>
    </w:tbl>
    <w:p w14:paraId="3C0C730E" w14:textId="77777777" w:rsidR="00ED2B25" w:rsidRPr="005A71E8" w:rsidRDefault="00ED2B25" w:rsidP="00ED2B25">
      <w:pPr>
        <w:widowControl w:val="0"/>
        <w:autoSpaceDE w:val="0"/>
        <w:autoSpaceDN w:val="0"/>
        <w:adjustRightInd w:val="0"/>
        <w:spacing w:line="480" w:lineRule="auto"/>
        <w:ind w:left="480" w:hanging="480"/>
        <w:rPr>
          <w:i/>
          <w:iCs/>
        </w:rPr>
      </w:pPr>
    </w:p>
    <w:p w14:paraId="045F2F11" w14:textId="5C7EA084" w:rsidR="00ED2B25" w:rsidRPr="00DA6897" w:rsidRDefault="00ED2B25" w:rsidP="00AA0B7B">
      <w:pPr>
        <w:spacing w:after="160" w:line="259" w:lineRule="auto"/>
        <w:rPr>
          <w:b/>
          <w:bCs/>
        </w:rPr>
      </w:pPr>
    </w:p>
    <w:sectPr w:rsidR="00ED2B25" w:rsidRPr="00DA6897" w:rsidSect="00AF2A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D695" w14:textId="77777777" w:rsidR="009628B0" w:rsidRDefault="009628B0" w:rsidP="00C57E76">
      <w:r>
        <w:separator/>
      </w:r>
    </w:p>
  </w:endnote>
  <w:endnote w:type="continuationSeparator" w:id="0">
    <w:p w14:paraId="63250087" w14:textId="77777777" w:rsidR="009628B0" w:rsidRDefault="009628B0" w:rsidP="00C5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B52CB" w14:textId="77777777" w:rsidR="009628B0" w:rsidRDefault="009628B0" w:rsidP="00C57E76">
      <w:r>
        <w:separator/>
      </w:r>
    </w:p>
  </w:footnote>
  <w:footnote w:type="continuationSeparator" w:id="0">
    <w:p w14:paraId="47EBFE46" w14:textId="77777777" w:rsidR="009628B0" w:rsidRDefault="009628B0" w:rsidP="00C5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D494" w14:textId="3813EF05" w:rsidR="00397B47" w:rsidRPr="004A375A" w:rsidRDefault="00397B47" w:rsidP="00C57E76">
    <w:pPr>
      <w:pStyle w:val="Header"/>
      <w:rPr>
        <w:rFonts w:ascii="Times New Roman" w:hAnsi="Times New Roman" w:cs="Times New Roman"/>
        <w:sz w:val="24"/>
        <w:szCs w:val="24"/>
      </w:rPr>
    </w:pPr>
    <w:r>
      <w:rPr>
        <w:rFonts w:ascii="Times New Roman" w:hAnsi="Times New Roman" w:cs="Times New Roman"/>
        <w:sz w:val="24"/>
        <w:szCs w:val="24"/>
      </w:rPr>
      <w:t>DISCRIMINANT VALIDITY OF THE COGNITIVE FUSION QUESTIONNAIRE</w:t>
    </w:r>
    <w:r w:rsidRPr="004A375A">
      <w:rPr>
        <w:rFonts w:ascii="Times New Roman" w:hAnsi="Times New Roman" w:cs="Times New Roman"/>
        <w:sz w:val="24"/>
        <w:szCs w:val="24"/>
      </w:rPr>
      <w:tab/>
    </w:r>
    <w:sdt>
      <w:sdtPr>
        <w:rPr>
          <w:rFonts w:ascii="Times New Roman" w:hAnsi="Times New Roman" w:cs="Times New Roman"/>
          <w:sz w:val="24"/>
          <w:szCs w:val="24"/>
        </w:rPr>
        <w:id w:val="1113478020"/>
        <w:docPartObj>
          <w:docPartGallery w:val="Page Numbers (Top of Page)"/>
          <w:docPartUnique/>
        </w:docPartObj>
      </w:sdtPr>
      <w:sdtEndPr>
        <w:rPr>
          <w:noProof/>
        </w:rPr>
      </w:sdtEndPr>
      <w:sdtContent>
        <w:r w:rsidRPr="004A375A">
          <w:rPr>
            <w:rFonts w:ascii="Times New Roman" w:hAnsi="Times New Roman" w:cs="Times New Roman"/>
            <w:sz w:val="24"/>
            <w:szCs w:val="24"/>
          </w:rPr>
          <w:fldChar w:fldCharType="begin"/>
        </w:r>
        <w:r w:rsidRPr="004A375A">
          <w:rPr>
            <w:rFonts w:ascii="Times New Roman" w:hAnsi="Times New Roman" w:cs="Times New Roman"/>
            <w:sz w:val="24"/>
            <w:szCs w:val="24"/>
          </w:rPr>
          <w:instrText xml:space="preserve"> PAGE   \* MERGEFORMAT </w:instrText>
        </w:r>
        <w:r w:rsidRPr="004A375A">
          <w:rPr>
            <w:rFonts w:ascii="Times New Roman" w:hAnsi="Times New Roman" w:cs="Times New Roman"/>
            <w:sz w:val="24"/>
            <w:szCs w:val="24"/>
          </w:rPr>
          <w:fldChar w:fldCharType="separate"/>
        </w:r>
        <w:r w:rsidRPr="004A375A">
          <w:rPr>
            <w:rFonts w:ascii="Times New Roman" w:hAnsi="Times New Roman" w:cs="Times New Roman"/>
            <w:noProof/>
            <w:sz w:val="24"/>
            <w:szCs w:val="24"/>
          </w:rPr>
          <w:t>30</w:t>
        </w:r>
        <w:r w:rsidRPr="004A375A">
          <w:rPr>
            <w:rFonts w:ascii="Times New Roman" w:hAnsi="Times New Roman" w:cs="Times New Roman"/>
            <w:noProof/>
            <w:sz w:val="24"/>
            <w:szCs w:val="24"/>
          </w:rPr>
          <w:fldChar w:fldCharType="end"/>
        </w:r>
      </w:sdtContent>
    </w:sdt>
  </w:p>
  <w:p w14:paraId="7ED1644F" w14:textId="33CA56EF" w:rsidR="00397B47" w:rsidRDefault="00397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78C5"/>
    <w:multiLevelType w:val="hybridMultilevel"/>
    <w:tmpl w:val="DCBC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CA"/>
    <w:rsid w:val="000001A5"/>
    <w:rsid w:val="00000EBA"/>
    <w:rsid w:val="00006A67"/>
    <w:rsid w:val="00007028"/>
    <w:rsid w:val="00012D1D"/>
    <w:rsid w:val="00014C45"/>
    <w:rsid w:val="00014CF9"/>
    <w:rsid w:val="00015825"/>
    <w:rsid w:val="000173C0"/>
    <w:rsid w:val="00026D2A"/>
    <w:rsid w:val="00030B34"/>
    <w:rsid w:val="00032DBA"/>
    <w:rsid w:val="000457ED"/>
    <w:rsid w:val="000475C7"/>
    <w:rsid w:val="00047A0C"/>
    <w:rsid w:val="00047C21"/>
    <w:rsid w:val="00050613"/>
    <w:rsid w:val="00053AEB"/>
    <w:rsid w:val="00060A68"/>
    <w:rsid w:val="00061F1C"/>
    <w:rsid w:val="000624E8"/>
    <w:rsid w:val="00063254"/>
    <w:rsid w:val="000653CC"/>
    <w:rsid w:val="00066E4A"/>
    <w:rsid w:val="00072968"/>
    <w:rsid w:val="00074F29"/>
    <w:rsid w:val="000801B1"/>
    <w:rsid w:val="000810D8"/>
    <w:rsid w:val="00082DF2"/>
    <w:rsid w:val="00083728"/>
    <w:rsid w:val="00083B6D"/>
    <w:rsid w:val="00086EB2"/>
    <w:rsid w:val="00096737"/>
    <w:rsid w:val="000A4416"/>
    <w:rsid w:val="000A7E11"/>
    <w:rsid w:val="000B028F"/>
    <w:rsid w:val="000B3162"/>
    <w:rsid w:val="000B5053"/>
    <w:rsid w:val="000D408A"/>
    <w:rsid w:val="000D4E05"/>
    <w:rsid w:val="000E22EF"/>
    <w:rsid w:val="000E4824"/>
    <w:rsid w:val="000E7B44"/>
    <w:rsid w:val="000F02BE"/>
    <w:rsid w:val="000F0E61"/>
    <w:rsid w:val="000F1C7D"/>
    <w:rsid w:val="000F6C6F"/>
    <w:rsid w:val="000F7A70"/>
    <w:rsid w:val="00100ADE"/>
    <w:rsid w:val="00105820"/>
    <w:rsid w:val="00105B2F"/>
    <w:rsid w:val="001066F6"/>
    <w:rsid w:val="001144BF"/>
    <w:rsid w:val="001218D7"/>
    <w:rsid w:val="00125E01"/>
    <w:rsid w:val="00131C46"/>
    <w:rsid w:val="001331D4"/>
    <w:rsid w:val="00137376"/>
    <w:rsid w:val="001415C9"/>
    <w:rsid w:val="001422FC"/>
    <w:rsid w:val="001426B0"/>
    <w:rsid w:val="00143C40"/>
    <w:rsid w:val="0015411E"/>
    <w:rsid w:val="00160508"/>
    <w:rsid w:val="00161B00"/>
    <w:rsid w:val="00162E29"/>
    <w:rsid w:val="00163847"/>
    <w:rsid w:val="001670AD"/>
    <w:rsid w:val="001671E2"/>
    <w:rsid w:val="00173221"/>
    <w:rsid w:val="0017392B"/>
    <w:rsid w:val="001800C9"/>
    <w:rsid w:val="00180929"/>
    <w:rsid w:val="00180C08"/>
    <w:rsid w:val="0018141C"/>
    <w:rsid w:val="001826EE"/>
    <w:rsid w:val="001850C4"/>
    <w:rsid w:val="001859CB"/>
    <w:rsid w:val="001912AE"/>
    <w:rsid w:val="00194953"/>
    <w:rsid w:val="001956F1"/>
    <w:rsid w:val="001A13B0"/>
    <w:rsid w:val="001A4A1A"/>
    <w:rsid w:val="001A4AB4"/>
    <w:rsid w:val="001B313F"/>
    <w:rsid w:val="001B3817"/>
    <w:rsid w:val="001C4A5E"/>
    <w:rsid w:val="001D0A94"/>
    <w:rsid w:val="001D1B17"/>
    <w:rsid w:val="001D5437"/>
    <w:rsid w:val="001D61A4"/>
    <w:rsid w:val="001E6B08"/>
    <w:rsid w:val="001F0645"/>
    <w:rsid w:val="001F1B36"/>
    <w:rsid w:val="001F53C4"/>
    <w:rsid w:val="001F6122"/>
    <w:rsid w:val="001F7755"/>
    <w:rsid w:val="00202D8C"/>
    <w:rsid w:val="00205F0C"/>
    <w:rsid w:val="00206B65"/>
    <w:rsid w:val="002165A4"/>
    <w:rsid w:val="00223E6E"/>
    <w:rsid w:val="00227EC2"/>
    <w:rsid w:val="0023718E"/>
    <w:rsid w:val="00242505"/>
    <w:rsid w:val="0024420C"/>
    <w:rsid w:val="0024447A"/>
    <w:rsid w:val="002459A3"/>
    <w:rsid w:val="002527D1"/>
    <w:rsid w:val="00252F34"/>
    <w:rsid w:val="002753A5"/>
    <w:rsid w:val="002767FA"/>
    <w:rsid w:val="00276D6B"/>
    <w:rsid w:val="00287929"/>
    <w:rsid w:val="00297196"/>
    <w:rsid w:val="002B1A60"/>
    <w:rsid w:val="002B2B66"/>
    <w:rsid w:val="002B4A28"/>
    <w:rsid w:val="002C3A73"/>
    <w:rsid w:val="002D0DC8"/>
    <w:rsid w:val="002D2026"/>
    <w:rsid w:val="002D25AD"/>
    <w:rsid w:val="002D6691"/>
    <w:rsid w:val="002D6845"/>
    <w:rsid w:val="002E08C6"/>
    <w:rsid w:val="002E0FB7"/>
    <w:rsid w:val="002E3F24"/>
    <w:rsid w:val="002F0AD9"/>
    <w:rsid w:val="002F20C0"/>
    <w:rsid w:val="002F3C61"/>
    <w:rsid w:val="002F61F6"/>
    <w:rsid w:val="002F6633"/>
    <w:rsid w:val="002F67C2"/>
    <w:rsid w:val="00300001"/>
    <w:rsid w:val="0030294B"/>
    <w:rsid w:val="00304EA2"/>
    <w:rsid w:val="00305417"/>
    <w:rsid w:val="003101F3"/>
    <w:rsid w:val="003201ED"/>
    <w:rsid w:val="0032040E"/>
    <w:rsid w:val="00323D06"/>
    <w:rsid w:val="003249AE"/>
    <w:rsid w:val="00325F2E"/>
    <w:rsid w:val="00330FFD"/>
    <w:rsid w:val="00333DE1"/>
    <w:rsid w:val="003367D1"/>
    <w:rsid w:val="00342CF3"/>
    <w:rsid w:val="00343727"/>
    <w:rsid w:val="00344119"/>
    <w:rsid w:val="00345A33"/>
    <w:rsid w:val="0034751F"/>
    <w:rsid w:val="003511C3"/>
    <w:rsid w:val="003512E5"/>
    <w:rsid w:val="003556A7"/>
    <w:rsid w:val="0036220D"/>
    <w:rsid w:val="0036397D"/>
    <w:rsid w:val="00364BFE"/>
    <w:rsid w:val="00373A40"/>
    <w:rsid w:val="00383A05"/>
    <w:rsid w:val="00385A97"/>
    <w:rsid w:val="00392266"/>
    <w:rsid w:val="00393545"/>
    <w:rsid w:val="00397B47"/>
    <w:rsid w:val="003A067B"/>
    <w:rsid w:val="003A7EBC"/>
    <w:rsid w:val="003B0361"/>
    <w:rsid w:val="003B2953"/>
    <w:rsid w:val="003B35DA"/>
    <w:rsid w:val="003B5265"/>
    <w:rsid w:val="003B57BE"/>
    <w:rsid w:val="003B58D2"/>
    <w:rsid w:val="003B78C1"/>
    <w:rsid w:val="003C0929"/>
    <w:rsid w:val="003C18FC"/>
    <w:rsid w:val="003C3002"/>
    <w:rsid w:val="003C7182"/>
    <w:rsid w:val="003C7BDD"/>
    <w:rsid w:val="003D062C"/>
    <w:rsid w:val="003D2614"/>
    <w:rsid w:val="003D4AF5"/>
    <w:rsid w:val="003D53C3"/>
    <w:rsid w:val="003E6262"/>
    <w:rsid w:val="003E71D9"/>
    <w:rsid w:val="003F0D1F"/>
    <w:rsid w:val="003F1B5A"/>
    <w:rsid w:val="003F4CF4"/>
    <w:rsid w:val="003F5E96"/>
    <w:rsid w:val="00402E6D"/>
    <w:rsid w:val="00404469"/>
    <w:rsid w:val="004069E3"/>
    <w:rsid w:val="004076BF"/>
    <w:rsid w:val="00412AB5"/>
    <w:rsid w:val="0041340C"/>
    <w:rsid w:val="004152D2"/>
    <w:rsid w:val="00417B9D"/>
    <w:rsid w:val="00430E71"/>
    <w:rsid w:val="00433D14"/>
    <w:rsid w:val="00434953"/>
    <w:rsid w:val="004355FB"/>
    <w:rsid w:val="00443DF3"/>
    <w:rsid w:val="00444E21"/>
    <w:rsid w:val="00446F6B"/>
    <w:rsid w:val="00453E50"/>
    <w:rsid w:val="004556A5"/>
    <w:rsid w:val="00456270"/>
    <w:rsid w:val="00456C39"/>
    <w:rsid w:val="00462A25"/>
    <w:rsid w:val="004668EB"/>
    <w:rsid w:val="004810B3"/>
    <w:rsid w:val="0048197C"/>
    <w:rsid w:val="004821A6"/>
    <w:rsid w:val="00486AC1"/>
    <w:rsid w:val="00486CE7"/>
    <w:rsid w:val="00487837"/>
    <w:rsid w:val="00490E0D"/>
    <w:rsid w:val="004A11BE"/>
    <w:rsid w:val="004A2101"/>
    <w:rsid w:val="004A375A"/>
    <w:rsid w:val="004A6ABD"/>
    <w:rsid w:val="004B0F4B"/>
    <w:rsid w:val="004B1AF9"/>
    <w:rsid w:val="004B3AAB"/>
    <w:rsid w:val="004B509B"/>
    <w:rsid w:val="004B6E79"/>
    <w:rsid w:val="004C453E"/>
    <w:rsid w:val="004C47CD"/>
    <w:rsid w:val="004C52AF"/>
    <w:rsid w:val="004C5EE8"/>
    <w:rsid w:val="004C6933"/>
    <w:rsid w:val="004C6F13"/>
    <w:rsid w:val="004D2949"/>
    <w:rsid w:val="004D6669"/>
    <w:rsid w:val="004D7846"/>
    <w:rsid w:val="004E1272"/>
    <w:rsid w:val="004E243E"/>
    <w:rsid w:val="004E5513"/>
    <w:rsid w:val="004E72F9"/>
    <w:rsid w:val="004E734D"/>
    <w:rsid w:val="004F2016"/>
    <w:rsid w:val="004F4324"/>
    <w:rsid w:val="004F4536"/>
    <w:rsid w:val="00500087"/>
    <w:rsid w:val="00500D47"/>
    <w:rsid w:val="0050118F"/>
    <w:rsid w:val="00502D72"/>
    <w:rsid w:val="0050711B"/>
    <w:rsid w:val="00507962"/>
    <w:rsid w:val="0051017B"/>
    <w:rsid w:val="00511F38"/>
    <w:rsid w:val="005120BC"/>
    <w:rsid w:val="00512314"/>
    <w:rsid w:val="0051274C"/>
    <w:rsid w:val="005127F4"/>
    <w:rsid w:val="00517C8D"/>
    <w:rsid w:val="00521D84"/>
    <w:rsid w:val="00523C30"/>
    <w:rsid w:val="00523ECA"/>
    <w:rsid w:val="00531917"/>
    <w:rsid w:val="0053504F"/>
    <w:rsid w:val="005363CA"/>
    <w:rsid w:val="005365EB"/>
    <w:rsid w:val="0054136F"/>
    <w:rsid w:val="005427A1"/>
    <w:rsid w:val="00545014"/>
    <w:rsid w:val="00545C11"/>
    <w:rsid w:val="00553475"/>
    <w:rsid w:val="00553621"/>
    <w:rsid w:val="00554996"/>
    <w:rsid w:val="005566D9"/>
    <w:rsid w:val="00557BF2"/>
    <w:rsid w:val="00561A2C"/>
    <w:rsid w:val="00564A80"/>
    <w:rsid w:val="005834BB"/>
    <w:rsid w:val="00586ABE"/>
    <w:rsid w:val="00586FB5"/>
    <w:rsid w:val="0059730C"/>
    <w:rsid w:val="005A1C60"/>
    <w:rsid w:val="005A382F"/>
    <w:rsid w:val="005B1332"/>
    <w:rsid w:val="005B4687"/>
    <w:rsid w:val="005B5D6B"/>
    <w:rsid w:val="005B7527"/>
    <w:rsid w:val="005B7BC3"/>
    <w:rsid w:val="005B7CD8"/>
    <w:rsid w:val="005C25C1"/>
    <w:rsid w:val="005D0762"/>
    <w:rsid w:val="005D2D65"/>
    <w:rsid w:val="005D446A"/>
    <w:rsid w:val="005D626D"/>
    <w:rsid w:val="005D6F9C"/>
    <w:rsid w:val="005E69A8"/>
    <w:rsid w:val="005E72E5"/>
    <w:rsid w:val="005F1439"/>
    <w:rsid w:val="005F6896"/>
    <w:rsid w:val="005F6936"/>
    <w:rsid w:val="005F79F5"/>
    <w:rsid w:val="00605F02"/>
    <w:rsid w:val="00606EF8"/>
    <w:rsid w:val="0061356E"/>
    <w:rsid w:val="00615EA5"/>
    <w:rsid w:val="00617E9D"/>
    <w:rsid w:val="00620062"/>
    <w:rsid w:val="0062391C"/>
    <w:rsid w:val="00625C70"/>
    <w:rsid w:val="00632B56"/>
    <w:rsid w:val="00635BD8"/>
    <w:rsid w:val="0063699F"/>
    <w:rsid w:val="006473C9"/>
    <w:rsid w:val="00650A9A"/>
    <w:rsid w:val="00652C9E"/>
    <w:rsid w:val="00654282"/>
    <w:rsid w:val="006569A2"/>
    <w:rsid w:val="00656D16"/>
    <w:rsid w:val="006634E5"/>
    <w:rsid w:val="0066664F"/>
    <w:rsid w:val="00672287"/>
    <w:rsid w:val="0067739E"/>
    <w:rsid w:val="00680A2D"/>
    <w:rsid w:val="006818A9"/>
    <w:rsid w:val="00683E8D"/>
    <w:rsid w:val="00685305"/>
    <w:rsid w:val="00691F34"/>
    <w:rsid w:val="006940E0"/>
    <w:rsid w:val="006978F8"/>
    <w:rsid w:val="006A3AD8"/>
    <w:rsid w:val="006A5EA2"/>
    <w:rsid w:val="006B0A0F"/>
    <w:rsid w:val="006B2B48"/>
    <w:rsid w:val="006C06DB"/>
    <w:rsid w:val="006C1129"/>
    <w:rsid w:val="006C2EC1"/>
    <w:rsid w:val="006C397E"/>
    <w:rsid w:val="006C3F3B"/>
    <w:rsid w:val="006C3F82"/>
    <w:rsid w:val="006C4418"/>
    <w:rsid w:val="006C6C3A"/>
    <w:rsid w:val="006C7449"/>
    <w:rsid w:val="006D2B06"/>
    <w:rsid w:val="006D3873"/>
    <w:rsid w:val="006D74BA"/>
    <w:rsid w:val="006E053E"/>
    <w:rsid w:val="006E0EFB"/>
    <w:rsid w:val="006E2577"/>
    <w:rsid w:val="006F0D18"/>
    <w:rsid w:val="006F6EAB"/>
    <w:rsid w:val="0071257A"/>
    <w:rsid w:val="007134AC"/>
    <w:rsid w:val="00714802"/>
    <w:rsid w:val="00717F8A"/>
    <w:rsid w:val="00732332"/>
    <w:rsid w:val="00733B79"/>
    <w:rsid w:val="00743B21"/>
    <w:rsid w:val="007446D7"/>
    <w:rsid w:val="007505F9"/>
    <w:rsid w:val="00752CC5"/>
    <w:rsid w:val="00752CFC"/>
    <w:rsid w:val="00753E97"/>
    <w:rsid w:val="0075458E"/>
    <w:rsid w:val="007567AF"/>
    <w:rsid w:val="00765264"/>
    <w:rsid w:val="007668AA"/>
    <w:rsid w:val="00766FCA"/>
    <w:rsid w:val="00780197"/>
    <w:rsid w:val="00781342"/>
    <w:rsid w:val="0078142C"/>
    <w:rsid w:val="00786D03"/>
    <w:rsid w:val="007906DC"/>
    <w:rsid w:val="007916EE"/>
    <w:rsid w:val="007A22A4"/>
    <w:rsid w:val="007A549D"/>
    <w:rsid w:val="007A74C3"/>
    <w:rsid w:val="007A75CB"/>
    <w:rsid w:val="007B26E7"/>
    <w:rsid w:val="007C15E3"/>
    <w:rsid w:val="007C3882"/>
    <w:rsid w:val="007C4447"/>
    <w:rsid w:val="007C7352"/>
    <w:rsid w:val="007D1F26"/>
    <w:rsid w:val="007D336C"/>
    <w:rsid w:val="007D36D2"/>
    <w:rsid w:val="007D3EF0"/>
    <w:rsid w:val="007D7FA1"/>
    <w:rsid w:val="007F083D"/>
    <w:rsid w:val="007F587B"/>
    <w:rsid w:val="00801C14"/>
    <w:rsid w:val="00804F60"/>
    <w:rsid w:val="00810CEB"/>
    <w:rsid w:val="00811D41"/>
    <w:rsid w:val="00813C08"/>
    <w:rsid w:val="00824CBE"/>
    <w:rsid w:val="008250FF"/>
    <w:rsid w:val="008314B4"/>
    <w:rsid w:val="00832645"/>
    <w:rsid w:val="0083266C"/>
    <w:rsid w:val="00833589"/>
    <w:rsid w:val="0083438B"/>
    <w:rsid w:val="008352DA"/>
    <w:rsid w:val="00840B0F"/>
    <w:rsid w:val="008423B0"/>
    <w:rsid w:val="008424EF"/>
    <w:rsid w:val="00846003"/>
    <w:rsid w:val="00846714"/>
    <w:rsid w:val="008518E0"/>
    <w:rsid w:val="00852621"/>
    <w:rsid w:val="00852F34"/>
    <w:rsid w:val="00853701"/>
    <w:rsid w:val="00866385"/>
    <w:rsid w:val="008668D1"/>
    <w:rsid w:val="00871A97"/>
    <w:rsid w:val="00871EAF"/>
    <w:rsid w:val="00873D42"/>
    <w:rsid w:val="008741F8"/>
    <w:rsid w:val="0087440A"/>
    <w:rsid w:val="00875C16"/>
    <w:rsid w:val="008766B1"/>
    <w:rsid w:val="0087726E"/>
    <w:rsid w:val="00880608"/>
    <w:rsid w:val="0088767D"/>
    <w:rsid w:val="00891052"/>
    <w:rsid w:val="00892BF7"/>
    <w:rsid w:val="008943F7"/>
    <w:rsid w:val="0089564F"/>
    <w:rsid w:val="008974E3"/>
    <w:rsid w:val="008A2869"/>
    <w:rsid w:val="008A2D4C"/>
    <w:rsid w:val="008A6384"/>
    <w:rsid w:val="008B6778"/>
    <w:rsid w:val="008C076D"/>
    <w:rsid w:val="008C1659"/>
    <w:rsid w:val="008C2772"/>
    <w:rsid w:val="008C2EB9"/>
    <w:rsid w:val="008D0D12"/>
    <w:rsid w:val="008D2492"/>
    <w:rsid w:val="008D32D3"/>
    <w:rsid w:val="008D4655"/>
    <w:rsid w:val="008E7668"/>
    <w:rsid w:val="008F0292"/>
    <w:rsid w:val="008F0AA9"/>
    <w:rsid w:val="008F2E7F"/>
    <w:rsid w:val="008F3531"/>
    <w:rsid w:val="008F70F3"/>
    <w:rsid w:val="0090220F"/>
    <w:rsid w:val="009148B8"/>
    <w:rsid w:val="009157F8"/>
    <w:rsid w:val="00920EE0"/>
    <w:rsid w:val="00921CDE"/>
    <w:rsid w:val="00926242"/>
    <w:rsid w:val="00926FF8"/>
    <w:rsid w:val="00932E32"/>
    <w:rsid w:val="00942E30"/>
    <w:rsid w:val="00944111"/>
    <w:rsid w:val="009451B8"/>
    <w:rsid w:val="00946505"/>
    <w:rsid w:val="009506DB"/>
    <w:rsid w:val="009535CC"/>
    <w:rsid w:val="00956607"/>
    <w:rsid w:val="00956C47"/>
    <w:rsid w:val="00957E5E"/>
    <w:rsid w:val="00961B04"/>
    <w:rsid w:val="009628B0"/>
    <w:rsid w:val="00966355"/>
    <w:rsid w:val="00966B44"/>
    <w:rsid w:val="00971AA7"/>
    <w:rsid w:val="00971E81"/>
    <w:rsid w:val="009800B8"/>
    <w:rsid w:val="00981379"/>
    <w:rsid w:val="00981D7B"/>
    <w:rsid w:val="009865DF"/>
    <w:rsid w:val="00986708"/>
    <w:rsid w:val="00990289"/>
    <w:rsid w:val="00991075"/>
    <w:rsid w:val="00996C26"/>
    <w:rsid w:val="009A461F"/>
    <w:rsid w:val="009A4C77"/>
    <w:rsid w:val="009A65E6"/>
    <w:rsid w:val="009B1CBD"/>
    <w:rsid w:val="009B3013"/>
    <w:rsid w:val="009B31A0"/>
    <w:rsid w:val="009B33BC"/>
    <w:rsid w:val="009B407B"/>
    <w:rsid w:val="009B4636"/>
    <w:rsid w:val="009B5682"/>
    <w:rsid w:val="009B5732"/>
    <w:rsid w:val="009B59E8"/>
    <w:rsid w:val="009C055E"/>
    <w:rsid w:val="009C1589"/>
    <w:rsid w:val="009D3006"/>
    <w:rsid w:val="009D45F3"/>
    <w:rsid w:val="009D73E6"/>
    <w:rsid w:val="009E4730"/>
    <w:rsid w:val="009E6A07"/>
    <w:rsid w:val="009E7856"/>
    <w:rsid w:val="009F2895"/>
    <w:rsid w:val="009F52AF"/>
    <w:rsid w:val="009F6449"/>
    <w:rsid w:val="009F6A4E"/>
    <w:rsid w:val="00A00ED8"/>
    <w:rsid w:val="00A01E75"/>
    <w:rsid w:val="00A0590C"/>
    <w:rsid w:val="00A07810"/>
    <w:rsid w:val="00A07FE7"/>
    <w:rsid w:val="00A1105F"/>
    <w:rsid w:val="00A1282F"/>
    <w:rsid w:val="00A146C5"/>
    <w:rsid w:val="00A14F2B"/>
    <w:rsid w:val="00A20B5E"/>
    <w:rsid w:val="00A239EA"/>
    <w:rsid w:val="00A24253"/>
    <w:rsid w:val="00A25E84"/>
    <w:rsid w:val="00A2773F"/>
    <w:rsid w:val="00A27A4F"/>
    <w:rsid w:val="00A27E68"/>
    <w:rsid w:val="00A45857"/>
    <w:rsid w:val="00A45EF4"/>
    <w:rsid w:val="00A5266B"/>
    <w:rsid w:val="00A533F1"/>
    <w:rsid w:val="00A5435B"/>
    <w:rsid w:val="00A554C7"/>
    <w:rsid w:val="00A5631F"/>
    <w:rsid w:val="00A576DD"/>
    <w:rsid w:val="00A5790E"/>
    <w:rsid w:val="00A72B96"/>
    <w:rsid w:val="00A74A33"/>
    <w:rsid w:val="00A74B53"/>
    <w:rsid w:val="00A82848"/>
    <w:rsid w:val="00A829B3"/>
    <w:rsid w:val="00A84747"/>
    <w:rsid w:val="00A86E89"/>
    <w:rsid w:val="00AA0B7B"/>
    <w:rsid w:val="00AA17E0"/>
    <w:rsid w:val="00AA7386"/>
    <w:rsid w:val="00AA7B3C"/>
    <w:rsid w:val="00AB4DC2"/>
    <w:rsid w:val="00AB5AB8"/>
    <w:rsid w:val="00AC0AA0"/>
    <w:rsid w:val="00AC23DD"/>
    <w:rsid w:val="00AC24C4"/>
    <w:rsid w:val="00AC676B"/>
    <w:rsid w:val="00AC6F45"/>
    <w:rsid w:val="00AD17C6"/>
    <w:rsid w:val="00AD195D"/>
    <w:rsid w:val="00AD430E"/>
    <w:rsid w:val="00AD6C49"/>
    <w:rsid w:val="00AE0947"/>
    <w:rsid w:val="00AE1419"/>
    <w:rsid w:val="00AE3020"/>
    <w:rsid w:val="00AF2A94"/>
    <w:rsid w:val="00AF7280"/>
    <w:rsid w:val="00B128FF"/>
    <w:rsid w:val="00B1477B"/>
    <w:rsid w:val="00B1672B"/>
    <w:rsid w:val="00B17665"/>
    <w:rsid w:val="00B2269A"/>
    <w:rsid w:val="00B2308F"/>
    <w:rsid w:val="00B32A79"/>
    <w:rsid w:val="00B40864"/>
    <w:rsid w:val="00B433AC"/>
    <w:rsid w:val="00B4640A"/>
    <w:rsid w:val="00B51618"/>
    <w:rsid w:val="00B5669B"/>
    <w:rsid w:val="00B65F28"/>
    <w:rsid w:val="00B678D9"/>
    <w:rsid w:val="00B7050C"/>
    <w:rsid w:val="00B7166B"/>
    <w:rsid w:val="00B72D51"/>
    <w:rsid w:val="00B8445A"/>
    <w:rsid w:val="00B8523A"/>
    <w:rsid w:val="00B873DF"/>
    <w:rsid w:val="00B94C16"/>
    <w:rsid w:val="00BA3FB6"/>
    <w:rsid w:val="00BA6BF4"/>
    <w:rsid w:val="00BB4F55"/>
    <w:rsid w:val="00BB53A5"/>
    <w:rsid w:val="00BB7096"/>
    <w:rsid w:val="00BC3B09"/>
    <w:rsid w:val="00BC4546"/>
    <w:rsid w:val="00BD0B69"/>
    <w:rsid w:val="00BD4473"/>
    <w:rsid w:val="00BD48E1"/>
    <w:rsid w:val="00BD4BC4"/>
    <w:rsid w:val="00BD4FEB"/>
    <w:rsid w:val="00BE26C8"/>
    <w:rsid w:val="00BE43D9"/>
    <w:rsid w:val="00BF1B19"/>
    <w:rsid w:val="00BF28B5"/>
    <w:rsid w:val="00BF520E"/>
    <w:rsid w:val="00C05009"/>
    <w:rsid w:val="00C05E76"/>
    <w:rsid w:val="00C05F71"/>
    <w:rsid w:val="00C07C20"/>
    <w:rsid w:val="00C162CD"/>
    <w:rsid w:val="00C21FB9"/>
    <w:rsid w:val="00C22347"/>
    <w:rsid w:val="00C22642"/>
    <w:rsid w:val="00C23CC9"/>
    <w:rsid w:val="00C23DDB"/>
    <w:rsid w:val="00C248A2"/>
    <w:rsid w:val="00C301F4"/>
    <w:rsid w:val="00C32039"/>
    <w:rsid w:val="00C32152"/>
    <w:rsid w:val="00C42314"/>
    <w:rsid w:val="00C42D9E"/>
    <w:rsid w:val="00C4369C"/>
    <w:rsid w:val="00C43B8E"/>
    <w:rsid w:val="00C44EE7"/>
    <w:rsid w:val="00C45CCC"/>
    <w:rsid w:val="00C50505"/>
    <w:rsid w:val="00C53AF4"/>
    <w:rsid w:val="00C53D64"/>
    <w:rsid w:val="00C54AA6"/>
    <w:rsid w:val="00C57E76"/>
    <w:rsid w:val="00C640F3"/>
    <w:rsid w:val="00C64464"/>
    <w:rsid w:val="00C6519F"/>
    <w:rsid w:val="00C75FF7"/>
    <w:rsid w:val="00C76D0B"/>
    <w:rsid w:val="00C7712E"/>
    <w:rsid w:val="00C77811"/>
    <w:rsid w:val="00C7799D"/>
    <w:rsid w:val="00C80A19"/>
    <w:rsid w:val="00C8107B"/>
    <w:rsid w:val="00C8127D"/>
    <w:rsid w:val="00C846F7"/>
    <w:rsid w:val="00C910D6"/>
    <w:rsid w:val="00C92574"/>
    <w:rsid w:val="00C92B8D"/>
    <w:rsid w:val="00C92D7F"/>
    <w:rsid w:val="00C94BC5"/>
    <w:rsid w:val="00C961EC"/>
    <w:rsid w:val="00CA28B1"/>
    <w:rsid w:val="00CA2BAF"/>
    <w:rsid w:val="00CB4782"/>
    <w:rsid w:val="00CB4C4B"/>
    <w:rsid w:val="00CB61D9"/>
    <w:rsid w:val="00CB68A0"/>
    <w:rsid w:val="00CB6E36"/>
    <w:rsid w:val="00CC2980"/>
    <w:rsid w:val="00CC537A"/>
    <w:rsid w:val="00CD5F9C"/>
    <w:rsid w:val="00CD6039"/>
    <w:rsid w:val="00CD65B2"/>
    <w:rsid w:val="00CE0832"/>
    <w:rsid w:val="00CE72FF"/>
    <w:rsid w:val="00CF2BD4"/>
    <w:rsid w:val="00CF3AA3"/>
    <w:rsid w:val="00CF48DF"/>
    <w:rsid w:val="00CF4BF5"/>
    <w:rsid w:val="00CF5C8C"/>
    <w:rsid w:val="00CF6A74"/>
    <w:rsid w:val="00D00CA9"/>
    <w:rsid w:val="00D0567B"/>
    <w:rsid w:val="00D06979"/>
    <w:rsid w:val="00D079B8"/>
    <w:rsid w:val="00D07E00"/>
    <w:rsid w:val="00D107A7"/>
    <w:rsid w:val="00D11281"/>
    <w:rsid w:val="00D13A90"/>
    <w:rsid w:val="00D15B7C"/>
    <w:rsid w:val="00D15EAE"/>
    <w:rsid w:val="00D1638C"/>
    <w:rsid w:val="00D1760E"/>
    <w:rsid w:val="00D244ED"/>
    <w:rsid w:val="00D25AAC"/>
    <w:rsid w:val="00D27D0D"/>
    <w:rsid w:val="00D31837"/>
    <w:rsid w:val="00D32010"/>
    <w:rsid w:val="00D32C4C"/>
    <w:rsid w:val="00D41A75"/>
    <w:rsid w:val="00D44942"/>
    <w:rsid w:val="00D44BE7"/>
    <w:rsid w:val="00D45751"/>
    <w:rsid w:val="00D46105"/>
    <w:rsid w:val="00D463AA"/>
    <w:rsid w:val="00D478D5"/>
    <w:rsid w:val="00D515D4"/>
    <w:rsid w:val="00D5324F"/>
    <w:rsid w:val="00D5388A"/>
    <w:rsid w:val="00D53A35"/>
    <w:rsid w:val="00D57E57"/>
    <w:rsid w:val="00D63A19"/>
    <w:rsid w:val="00D668AF"/>
    <w:rsid w:val="00D67AA8"/>
    <w:rsid w:val="00D70870"/>
    <w:rsid w:val="00D72146"/>
    <w:rsid w:val="00D7264B"/>
    <w:rsid w:val="00D76025"/>
    <w:rsid w:val="00D8329A"/>
    <w:rsid w:val="00D85F34"/>
    <w:rsid w:val="00D86454"/>
    <w:rsid w:val="00D86DC0"/>
    <w:rsid w:val="00D87122"/>
    <w:rsid w:val="00D87513"/>
    <w:rsid w:val="00D93E5A"/>
    <w:rsid w:val="00D94DE5"/>
    <w:rsid w:val="00D9680C"/>
    <w:rsid w:val="00DA5A62"/>
    <w:rsid w:val="00DA5CEC"/>
    <w:rsid w:val="00DA6897"/>
    <w:rsid w:val="00DB0E57"/>
    <w:rsid w:val="00DB180A"/>
    <w:rsid w:val="00DB33C1"/>
    <w:rsid w:val="00DB471F"/>
    <w:rsid w:val="00DB7652"/>
    <w:rsid w:val="00DB7AE2"/>
    <w:rsid w:val="00DC4E00"/>
    <w:rsid w:val="00DC5AEA"/>
    <w:rsid w:val="00DD0E30"/>
    <w:rsid w:val="00DD323B"/>
    <w:rsid w:val="00DD49D1"/>
    <w:rsid w:val="00DD5127"/>
    <w:rsid w:val="00DD66FC"/>
    <w:rsid w:val="00DE0F48"/>
    <w:rsid w:val="00DE2561"/>
    <w:rsid w:val="00DE2C2A"/>
    <w:rsid w:val="00DE3C6B"/>
    <w:rsid w:val="00DE6EFB"/>
    <w:rsid w:val="00DF055B"/>
    <w:rsid w:val="00DF6577"/>
    <w:rsid w:val="00DF7E2B"/>
    <w:rsid w:val="00E03AAE"/>
    <w:rsid w:val="00E05AA0"/>
    <w:rsid w:val="00E10EF1"/>
    <w:rsid w:val="00E139FE"/>
    <w:rsid w:val="00E15287"/>
    <w:rsid w:val="00E152DD"/>
    <w:rsid w:val="00E20498"/>
    <w:rsid w:val="00E207FE"/>
    <w:rsid w:val="00E225D7"/>
    <w:rsid w:val="00E26110"/>
    <w:rsid w:val="00E31A4C"/>
    <w:rsid w:val="00E3601F"/>
    <w:rsid w:val="00E46796"/>
    <w:rsid w:val="00E50077"/>
    <w:rsid w:val="00E538A0"/>
    <w:rsid w:val="00E54DF0"/>
    <w:rsid w:val="00E56099"/>
    <w:rsid w:val="00E56A5D"/>
    <w:rsid w:val="00E6022D"/>
    <w:rsid w:val="00E6634D"/>
    <w:rsid w:val="00E72FCB"/>
    <w:rsid w:val="00E73B8B"/>
    <w:rsid w:val="00E85725"/>
    <w:rsid w:val="00E87CDB"/>
    <w:rsid w:val="00E93074"/>
    <w:rsid w:val="00E93BB3"/>
    <w:rsid w:val="00E948B7"/>
    <w:rsid w:val="00EA20DD"/>
    <w:rsid w:val="00EB3E00"/>
    <w:rsid w:val="00EB3E8E"/>
    <w:rsid w:val="00EB54D9"/>
    <w:rsid w:val="00EB72FA"/>
    <w:rsid w:val="00EC27BC"/>
    <w:rsid w:val="00EC2FBB"/>
    <w:rsid w:val="00EC4412"/>
    <w:rsid w:val="00EC50B5"/>
    <w:rsid w:val="00ED2B25"/>
    <w:rsid w:val="00ED2DDE"/>
    <w:rsid w:val="00ED6279"/>
    <w:rsid w:val="00ED62B2"/>
    <w:rsid w:val="00ED6701"/>
    <w:rsid w:val="00ED6A9C"/>
    <w:rsid w:val="00ED6F8E"/>
    <w:rsid w:val="00EE2DB0"/>
    <w:rsid w:val="00EE47A8"/>
    <w:rsid w:val="00EE58D6"/>
    <w:rsid w:val="00EF5A51"/>
    <w:rsid w:val="00EF60BE"/>
    <w:rsid w:val="00EF689A"/>
    <w:rsid w:val="00EF6AD9"/>
    <w:rsid w:val="00F011F4"/>
    <w:rsid w:val="00F037D2"/>
    <w:rsid w:val="00F06651"/>
    <w:rsid w:val="00F07BDF"/>
    <w:rsid w:val="00F13F74"/>
    <w:rsid w:val="00F20DE7"/>
    <w:rsid w:val="00F21F0B"/>
    <w:rsid w:val="00F221BA"/>
    <w:rsid w:val="00F24396"/>
    <w:rsid w:val="00F26102"/>
    <w:rsid w:val="00F32616"/>
    <w:rsid w:val="00F32ECF"/>
    <w:rsid w:val="00F33E59"/>
    <w:rsid w:val="00F3440C"/>
    <w:rsid w:val="00F35750"/>
    <w:rsid w:val="00F44762"/>
    <w:rsid w:val="00F474AB"/>
    <w:rsid w:val="00F53B69"/>
    <w:rsid w:val="00F54586"/>
    <w:rsid w:val="00F54C6A"/>
    <w:rsid w:val="00F57097"/>
    <w:rsid w:val="00F6317F"/>
    <w:rsid w:val="00F674F9"/>
    <w:rsid w:val="00F67E5C"/>
    <w:rsid w:val="00F7188E"/>
    <w:rsid w:val="00F7226C"/>
    <w:rsid w:val="00F74E99"/>
    <w:rsid w:val="00F75080"/>
    <w:rsid w:val="00F75CAC"/>
    <w:rsid w:val="00F75E95"/>
    <w:rsid w:val="00F8020E"/>
    <w:rsid w:val="00F824D0"/>
    <w:rsid w:val="00F82565"/>
    <w:rsid w:val="00F84361"/>
    <w:rsid w:val="00F856D1"/>
    <w:rsid w:val="00F86249"/>
    <w:rsid w:val="00F86BE9"/>
    <w:rsid w:val="00F86EF1"/>
    <w:rsid w:val="00F87C42"/>
    <w:rsid w:val="00F95606"/>
    <w:rsid w:val="00F961C6"/>
    <w:rsid w:val="00F96698"/>
    <w:rsid w:val="00F97B3D"/>
    <w:rsid w:val="00FA5897"/>
    <w:rsid w:val="00FA7587"/>
    <w:rsid w:val="00FB016D"/>
    <w:rsid w:val="00FB12DF"/>
    <w:rsid w:val="00FB7051"/>
    <w:rsid w:val="00FB7478"/>
    <w:rsid w:val="00FC313A"/>
    <w:rsid w:val="00FC3CE0"/>
    <w:rsid w:val="00FC79CA"/>
    <w:rsid w:val="00FD0845"/>
    <w:rsid w:val="00FD21C3"/>
    <w:rsid w:val="00FD338B"/>
    <w:rsid w:val="00FD447A"/>
    <w:rsid w:val="00FE4011"/>
    <w:rsid w:val="00FF341E"/>
    <w:rsid w:val="00FF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33F83"/>
  <w15:chartTrackingRefBased/>
  <w15:docId w15:val="{7B2FC6B0-3562-4491-B14A-5D937269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E"/>
    <w:pPr>
      <w:spacing w:after="0" w:line="240" w:lineRule="auto"/>
    </w:pPr>
    <w:rPr>
      <w:rFonts w:ascii="Times New Roman" w:eastAsia="Times New Roman" w:hAnsi="Times New Roman" w:cs="Times New Roman"/>
      <w:sz w:val="24"/>
      <w:szCs w:val="24"/>
      <w:lang w:eastAsia="ja-JP"/>
    </w:rPr>
  </w:style>
  <w:style w:type="paragraph" w:styleId="Heading3">
    <w:name w:val="heading 3"/>
    <w:basedOn w:val="Normal"/>
    <w:link w:val="Heading3Char"/>
    <w:uiPriority w:val="9"/>
    <w:qFormat/>
    <w:rsid w:val="00487837"/>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EF0"/>
    <w:rPr>
      <w:sz w:val="16"/>
      <w:szCs w:val="16"/>
    </w:rPr>
  </w:style>
  <w:style w:type="paragraph" w:styleId="CommentText">
    <w:name w:val="annotation text"/>
    <w:basedOn w:val="Normal"/>
    <w:link w:val="CommentTextChar"/>
    <w:uiPriority w:val="99"/>
    <w:unhideWhenUsed/>
    <w:rsid w:val="007D3EF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3EF0"/>
    <w:rPr>
      <w:sz w:val="20"/>
      <w:szCs w:val="20"/>
    </w:rPr>
  </w:style>
  <w:style w:type="paragraph" w:styleId="CommentSubject">
    <w:name w:val="annotation subject"/>
    <w:basedOn w:val="CommentText"/>
    <w:next w:val="CommentText"/>
    <w:link w:val="CommentSubjectChar"/>
    <w:uiPriority w:val="99"/>
    <w:semiHidden/>
    <w:unhideWhenUsed/>
    <w:rsid w:val="007D3EF0"/>
    <w:rPr>
      <w:b/>
      <w:bCs/>
    </w:rPr>
  </w:style>
  <w:style w:type="character" w:customStyle="1" w:styleId="CommentSubjectChar">
    <w:name w:val="Comment Subject Char"/>
    <w:basedOn w:val="CommentTextChar"/>
    <w:link w:val="CommentSubject"/>
    <w:uiPriority w:val="99"/>
    <w:semiHidden/>
    <w:rsid w:val="007D3EF0"/>
    <w:rPr>
      <w:b/>
      <w:bCs/>
      <w:sz w:val="20"/>
      <w:szCs w:val="20"/>
    </w:rPr>
  </w:style>
  <w:style w:type="paragraph" w:styleId="BalloonText">
    <w:name w:val="Balloon Text"/>
    <w:basedOn w:val="Normal"/>
    <w:link w:val="BalloonTextChar"/>
    <w:uiPriority w:val="99"/>
    <w:semiHidden/>
    <w:unhideWhenUsed/>
    <w:rsid w:val="007D3EF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D3EF0"/>
    <w:rPr>
      <w:rFonts w:ascii="Segoe UI" w:hAnsi="Segoe UI" w:cs="Segoe UI"/>
      <w:sz w:val="18"/>
      <w:szCs w:val="18"/>
    </w:rPr>
  </w:style>
  <w:style w:type="paragraph" w:customStyle="1" w:styleId="EndNoteBibliography">
    <w:name w:val="EndNote Bibliography"/>
    <w:basedOn w:val="Normal"/>
    <w:link w:val="EndNoteBibliographyChar"/>
    <w:rsid w:val="00ED6F8E"/>
    <w:pPr>
      <w:spacing w:after="160"/>
    </w:pPr>
    <w:rPr>
      <w:rFonts w:ascii="Calibri" w:eastAsiaTheme="minorHAnsi" w:hAnsi="Calibri" w:cs="Calibri"/>
      <w:noProof/>
      <w:sz w:val="22"/>
      <w:szCs w:val="22"/>
      <w:lang w:eastAsia="en-US"/>
    </w:rPr>
  </w:style>
  <w:style w:type="character" w:customStyle="1" w:styleId="EndNoteBibliographyChar">
    <w:name w:val="EndNote Bibliography Char"/>
    <w:basedOn w:val="DefaultParagraphFont"/>
    <w:link w:val="EndNoteBibliography"/>
    <w:rsid w:val="00ED6F8E"/>
    <w:rPr>
      <w:rFonts w:ascii="Calibri" w:hAnsi="Calibri" w:cs="Calibri"/>
      <w:noProof/>
    </w:rPr>
  </w:style>
  <w:style w:type="paragraph" w:styleId="Header">
    <w:name w:val="header"/>
    <w:basedOn w:val="Normal"/>
    <w:link w:val="HeaderChar"/>
    <w:uiPriority w:val="99"/>
    <w:unhideWhenUsed/>
    <w:rsid w:val="00C57E7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7E76"/>
  </w:style>
  <w:style w:type="paragraph" w:styleId="Footer">
    <w:name w:val="footer"/>
    <w:basedOn w:val="Normal"/>
    <w:link w:val="FooterChar"/>
    <w:uiPriority w:val="99"/>
    <w:unhideWhenUsed/>
    <w:rsid w:val="00C57E7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57E76"/>
  </w:style>
  <w:style w:type="paragraph" w:styleId="NormalWeb">
    <w:name w:val="Normal (Web)"/>
    <w:basedOn w:val="Normal"/>
    <w:uiPriority w:val="99"/>
    <w:unhideWhenUsed/>
    <w:rsid w:val="003511C3"/>
    <w:pPr>
      <w:spacing w:before="100" w:beforeAutospacing="1" w:after="100" w:afterAutospacing="1"/>
    </w:pPr>
  </w:style>
  <w:style w:type="paragraph" w:styleId="Revision">
    <w:name w:val="Revision"/>
    <w:hidden/>
    <w:uiPriority w:val="99"/>
    <w:semiHidden/>
    <w:rsid w:val="00654282"/>
    <w:pPr>
      <w:spacing w:after="0" w:line="240" w:lineRule="auto"/>
    </w:pPr>
  </w:style>
  <w:style w:type="character" w:styleId="Hyperlink">
    <w:name w:val="Hyperlink"/>
    <w:basedOn w:val="DefaultParagraphFont"/>
    <w:uiPriority w:val="99"/>
    <w:unhideWhenUsed/>
    <w:rsid w:val="00EF689A"/>
    <w:rPr>
      <w:color w:val="0563C1" w:themeColor="hyperlink"/>
      <w:u w:val="single"/>
    </w:rPr>
  </w:style>
  <w:style w:type="character" w:customStyle="1" w:styleId="Heading3Char">
    <w:name w:val="Heading 3 Char"/>
    <w:basedOn w:val="DefaultParagraphFont"/>
    <w:link w:val="Heading3"/>
    <w:uiPriority w:val="9"/>
    <w:rsid w:val="00487837"/>
    <w:rPr>
      <w:rFonts w:ascii="Times New Roman" w:eastAsia="Times New Roman" w:hAnsi="Times New Roman" w:cs="Times New Roman"/>
      <w:b/>
      <w:bCs/>
      <w:sz w:val="27"/>
      <w:szCs w:val="27"/>
    </w:rPr>
  </w:style>
  <w:style w:type="paragraph" w:styleId="ListParagraph">
    <w:name w:val="List Paragraph"/>
    <w:basedOn w:val="Normal"/>
    <w:uiPriority w:val="34"/>
    <w:qFormat/>
    <w:rsid w:val="008C1659"/>
    <w:pPr>
      <w:ind w:left="720"/>
      <w:contextualSpacing/>
    </w:pPr>
  </w:style>
  <w:style w:type="character" w:styleId="Strong">
    <w:name w:val="Strong"/>
    <w:basedOn w:val="DefaultParagraphFont"/>
    <w:uiPriority w:val="22"/>
    <w:qFormat/>
    <w:rsid w:val="007D36D2"/>
    <w:rPr>
      <w:b/>
      <w:bCs/>
    </w:rPr>
  </w:style>
  <w:style w:type="paragraph" w:styleId="PlainText">
    <w:name w:val="Plain Text"/>
    <w:basedOn w:val="Normal"/>
    <w:link w:val="PlainTextChar"/>
    <w:uiPriority w:val="99"/>
    <w:unhideWhenUsed/>
    <w:rsid w:val="00C23DD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23DDB"/>
    <w:rPr>
      <w:rFonts w:ascii="Calibri" w:hAnsi="Calibri"/>
      <w:szCs w:val="21"/>
    </w:rPr>
  </w:style>
  <w:style w:type="character" w:styleId="UnresolvedMention">
    <w:name w:val="Unresolved Mention"/>
    <w:basedOn w:val="DefaultParagraphFont"/>
    <w:uiPriority w:val="99"/>
    <w:semiHidden/>
    <w:unhideWhenUsed/>
    <w:rsid w:val="00D31837"/>
    <w:rPr>
      <w:color w:val="605E5C"/>
      <w:shd w:val="clear" w:color="auto" w:fill="E1DFDD"/>
    </w:rPr>
  </w:style>
  <w:style w:type="character" w:styleId="LineNumber">
    <w:name w:val="line number"/>
    <w:basedOn w:val="DefaultParagraphFont"/>
    <w:uiPriority w:val="99"/>
    <w:semiHidden/>
    <w:unhideWhenUsed/>
    <w:rsid w:val="00D93E5A"/>
  </w:style>
  <w:style w:type="paragraph" w:styleId="HTMLPreformatted">
    <w:name w:val="HTML Preformatted"/>
    <w:basedOn w:val="Normal"/>
    <w:link w:val="HTMLPreformattedChar"/>
    <w:uiPriority w:val="99"/>
    <w:semiHidden/>
    <w:unhideWhenUsed/>
    <w:rsid w:val="00AA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17E0"/>
    <w:rPr>
      <w:rFonts w:ascii="Courier New" w:eastAsia="Times New Roman"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4469">
      <w:bodyDiv w:val="1"/>
      <w:marLeft w:val="0"/>
      <w:marRight w:val="0"/>
      <w:marTop w:val="0"/>
      <w:marBottom w:val="0"/>
      <w:divBdr>
        <w:top w:val="none" w:sz="0" w:space="0" w:color="auto"/>
        <w:left w:val="none" w:sz="0" w:space="0" w:color="auto"/>
        <w:bottom w:val="none" w:sz="0" w:space="0" w:color="auto"/>
        <w:right w:val="none" w:sz="0" w:space="0" w:color="auto"/>
      </w:divBdr>
    </w:div>
    <w:div w:id="57825603">
      <w:bodyDiv w:val="1"/>
      <w:marLeft w:val="0"/>
      <w:marRight w:val="0"/>
      <w:marTop w:val="0"/>
      <w:marBottom w:val="0"/>
      <w:divBdr>
        <w:top w:val="none" w:sz="0" w:space="0" w:color="auto"/>
        <w:left w:val="none" w:sz="0" w:space="0" w:color="auto"/>
        <w:bottom w:val="none" w:sz="0" w:space="0" w:color="auto"/>
        <w:right w:val="none" w:sz="0" w:space="0" w:color="auto"/>
      </w:divBdr>
    </w:div>
    <w:div w:id="183903412">
      <w:bodyDiv w:val="1"/>
      <w:marLeft w:val="0"/>
      <w:marRight w:val="0"/>
      <w:marTop w:val="0"/>
      <w:marBottom w:val="0"/>
      <w:divBdr>
        <w:top w:val="none" w:sz="0" w:space="0" w:color="auto"/>
        <w:left w:val="none" w:sz="0" w:space="0" w:color="auto"/>
        <w:bottom w:val="none" w:sz="0" w:space="0" w:color="auto"/>
        <w:right w:val="none" w:sz="0" w:space="0" w:color="auto"/>
      </w:divBdr>
    </w:div>
    <w:div w:id="216891155">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9">
          <w:marLeft w:val="0"/>
          <w:marRight w:val="0"/>
          <w:marTop w:val="0"/>
          <w:marBottom w:val="0"/>
          <w:divBdr>
            <w:top w:val="none" w:sz="0" w:space="0" w:color="auto"/>
            <w:left w:val="none" w:sz="0" w:space="0" w:color="auto"/>
            <w:bottom w:val="none" w:sz="0" w:space="0" w:color="auto"/>
            <w:right w:val="none" w:sz="0" w:space="0" w:color="auto"/>
          </w:divBdr>
        </w:div>
        <w:div w:id="869149589">
          <w:marLeft w:val="0"/>
          <w:marRight w:val="0"/>
          <w:marTop w:val="0"/>
          <w:marBottom w:val="0"/>
          <w:divBdr>
            <w:top w:val="none" w:sz="0" w:space="0" w:color="auto"/>
            <w:left w:val="none" w:sz="0" w:space="0" w:color="auto"/>
            <w:bottom w:val="none" w:sz="0" w:space="0" w:color="auto"/>
            <w:right w:val="none" w:sz="0" w:space="0" w:color="auto"/>
          </w:divBdr>
        </w:div>
        <w:div w:id="368989748">
          <w:marLeft w:val="0"/>
          <w:marRight w:val="0"/>
          <w:marTop w:val="0"/>
          <w:marBottom w:val="0"/>
          <w:divBdr>
            <w:top w:val="none" w:sz="0" w:space="0" w:color="auto"/>
            <w:left w:val="none" w:sz="0" w:space="0" w:color="auto"/>
            <w:bottom w:val="none" w:sz="0" w:space="0" w:color="auto"/>
            <w:right w:val="none" w:sz="0" w:space="0" w:color="auto"/>
          </w:divBdr>
        </w:div>
        <w:div w:id="878276742">
          <w:marLeft w:val="0"/>
          <w:marRight w:val="0"/>
          <w:marTop w:val="0"/>
          <w:marBottom w:val="0"/>
          <w:divBdr>
            <w:top w:val="none" w:sz="0" w:space="0" w:color="auto"/>
            <w:left w:val="none" w:sz="0" w:space="0" w:color="auto"/>
            <w:bottom w:val="none" w:sz="0" w:space="0" w:color="auto"/>
            <w:right w:val="none" w:sz="0" w:space="0" w:color="auto"/>
          </w:divBdr>
        </w:div>
        <w:div w:id="1742100321">
          <w:marLeft w:val="0"/>
          <w:marRight w:val="0"/>
          <w:marTop w:val="0"/>
          <w:marBottom w:val="0"/>
          <w:divBdr>
            <w:top w:val="none" w:sz="0" w:space="0" w:color="auto"/>
            <w:left w:val="none" w:sz="0" w:space="0" w:color="auto"/>
            <w:bottom w:val="none" w:sz="0" w:space="0" w:color="auto"/>
            <w:right w:val="none" w:sz="0" w:space="0" w:color="auto"/>
          </w:divBdr>
        </w:div>
        <w:div w:id="1101758127">
          <w:marLeft w:val="0"/>
          <w:marRight w:val="0"/>
          <w:marTop w:val="0"/>
          <w:marBottom w:val="0"/>
          <w:divBdr>
            <w:top w:val="none" w:sz="0" w:space="0" w:color="auto"/>
            <w:left w:val="none" w:sz="0" w:space="0" w:color="auto"/>
            <w:bottom w:val="none" w:sz="0" w:space="0" w:color="auto"/>
            <w:right w:val="none" w:sz="0" w:space="0" w:color="auto"/>
          </w:divBdr>
        </w:div>
        <w:div w:id="848254815">
          <w:marLeft w:val="0"/>
          <w:marRight w:val="0"/>
          <w:marTop w:val="0"/>
          <w:marBottom w:val="0"/>
          <w:divBdr>
            <w:top w:val="none" w:sz="0" w:space="0" w:color="auto"/>
            <w:left w:val="none" w:sz="0" w:space="0" w:color="auto"/>
            <w:bottom w:val="none" w:sz="0" w:space="0" w:color="auto"/>
            <w:right w:val="none" w:sz="0" w:space="0" w:color="auto"/>
          </w:divBdr>
        </w:div>
        <w:div w:id="50468600">
          <w:marLeft w:val="0"/>
          <w:marRight w:val="0"/>
          <w:marTop w:val="0"/>
          <w:marBottom w:val="0"/>
          <w:divBdr>
            <w:top w:val="none" w:sz="0" w:space="0" w:color="auto"/>
            <w:left w:val="none" w:sz="0" w:space="0" w:color="auto"/>
            <w:bottom w:val="none" w:sz="0" w:space="0" w:color="auto"/>
            <w:right w:val="none" w:sz="0" w:space="0" w:color="auto"/>
          </w:divBdr>
        </w:div>
        <w:div w:id="617570285">
          <w:marLeft w:val="0"/>
          <w:marRight w:val="0"/>
          <w:marTop w:val="0"/>
          <w:marBottom w:val="0"/>
          <w:divBdr>
            <w:top w:val="none" w:sz="0" w:space="0" w:color="auto"/>
            <w:left w:val="none" w:sz="0" w:space="0" w:color="auto"/>
            <w:bottom w:val="none" w:sz="0" w:space="0" w:color="auto"/>
            <w:right w:val="none" w:sz="0" w:space="0" w:color="auto"/>
          </w:divBdr>
        </w:div>
        <w:div w:id="1018460899">
          <w:marLeft w:val="0"/>
          <w:marRight w:val="0"/>
          <w:marTop w:val="0"/>
          <w:marBottom w:val="0"/>
          <w:divBdr>
            <w:top w:val="none" w:sz="0" w:space="0" w:color="auto"/>
            <w:left w:val="none" w:sz="0" w:space="0" w:color="auto"/>
            <w:bottom w:val="none" w:sz="0" w:space="0" w:color="auto"/>
            <w:right w:val="none" w:sz="0" w:space="0" w:color="auto"/>
          </w:divBdr>
        </w:div>
        <w:div w:id="308439201">
          <w:marLeft w:val="0"/>
          <w:marRight w:val="0"/>
          <w:marTop w:val="0"/>
          <w:marBottom w:val="0"/>
          <w:divBdr>
            <w:top w:val="none" w:sz="0" w:space="0" w:color="auto"/>
            <w:left w:val="none" w:sz="0" w:space="0" w:color="auto"/>
            <w:bottom w:val="none" w:sz="0" w:space="0" w:color="auto"/>
            <w:right w:val="none" w:sz="0" w:space="0" w:color="auto"/>
          </w:divBdr>
        </w:div>
        <w:div w:id="503280861">
          <w:marLeft w:val="0"/>
          <w:marRight w:val="0"/>
          <w:marTop w:val="0"/>
          <w:marBottom w:val="0"/>
          <w:divBdr>
            <w:top w:val="none" w:sz="0" w:space="0" w:color="auto"/>
            <w:left w:val="none" w:sz="0" w:space="0" w:color="auto"/>
            <w:bottom w:val="none" w:sz="0" w:space="0" w:color="auto"/>
            <w:right w:val="none" w:sz="0" w:space="0" w:color="auto"/>
          </w:divBdr>
        </w:div>
        <w:div w:id="1420365582">
          <w:marLeft w:val="0"/>
          <w:marRight w:val="0"/>
          <w:marTop w:val="0"/>
          <w:marBottom w:val="0"/>
          <w:divBdr>
            <w:top w:val="none" w:sz="0" w:space="0" w:color="auto"/>
            <w:left w:val="none" w:sz="0" w:space="0" w:color="auto"/>
            <w:bottom w:val="none" w:sz="0" w:space="0" w:color="auto"/>
            <w:right w:val="none" w:sz="0" w:space="0" w:color="auto"/>
          </w:divBdr>
          <w:divsChild>
            <w:div w:id="13140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300">
      <w:bodyDiv w:val="1"/>
      <w:marLeft w:val="0"/>
      <w:marRight w:val="0"/>
      <w:marTop w:val="0"/>
      <w:marBottom w:val="0"/>
      <w:divBdr>
        <w:top w:val="none" w:sz="0" w:space="0" w:color="auto"/>
        <w:left w:val="none" w:sz="0" w:space="0" w:color="auto"/>
        <w:bottom w:val="none" w:sz="0" w:space="0" w:color="auto"/>
        <w:right w:val="none" w:sz="0" w:space="0" w:color="auto"/>
      </w:divBdr>
    </w:div>
    <w:div w:id="284120917">
      <w:bodyDiv w:val="1"/>
      <w:marLeft w:val="0"/>
      <w:marRight w:val="0"/>
      <w:marTop w:val="0"/>
      <w:marBottom w:val="0"/>
      <w:divBdr>
        <w:top w:val="none" w:sz="0" w:space="0" w:color="auto"/>
        <w:left w:val="none" w:sz="0" w:space="0" w:color="auto"/>
        <w:bottom w:val="none" w:sz="0" w:space="0" w:color="auto"/>
        <w:right w:val="none" w:sz="0" w:space="0" w:color="auto"/>
      </w:divBdr>
    </w:div>
    <w:div w:id="399326398">
      <w:bodyDiv w:val="1"/>
      <w:marLeft w:val="0"/>
      <w:marRight w:val="0"/>
      <w:marTop w:val="0"/>
      <w:marBottom w:val="0"/>
      <w:divBdr>
        <w:top w:val="none" w:sz="0" w:space="0" w:color="auto"/>
        <w:left w:val="none" w:sz="0" w:space="0" w:color="auto"/>
        <w:bottom w:val="none" w:sz="0" w:space="0" w:color="auto"/>
        <w:right w:val="none" w:sz="0" w:space="0" w:color="auto"/>
      </w:divBdr>
    </w:div>
    <w:div w:id="449129332">
      <w:bodyDiv w:val="1"/>
      <w:marLeft w:val="0"/>
      <w:marRight w:val="0"/>
      <w:marTop w:val="0"/>
      <w:marBottom w:val="0"/>
      <w:divBdr>
        <w:top w:val="none" w:sz="0" w:space="0" w:color="auto"/>
        <w:left w:val="none" w:sz="0" w:space="0" w:color="auto"/>
        <w:bottom w:val="none" w:sz="0" w:space="0" w:color="auto"/>
        <w:right w:val="none" w:sz="0" w:space="0" w:color="auto"/>
      </w:divBdr>
    </w:div>
    <w:div w:id="748817316">
      <w:bodyDiv w:val="1"/>
      <w:marLeft w:val="0"/>
      <w:marRight w:val="0"/>
      <w:marTop w:val="0"/>
      <w:marBottom w:val="0"/>
      <w:divBdr>
        <w:top w:val="none" w:sz="0" w:space="0" w:color="auto"/>
        <w:left w:val="none" w:sz="0" w:space="0" w:color="auto"/>
        <w:bottom w:val="none" w:sz="0" w:space="0" w:color="auto"/>
        <w:right w:val="none" w:sz="0" w:space="0" w:color="auto"/>
      </w:divBdr>
    </w:div>
    <w:div w:id="771322880">
      <w:bodyDiv w:val="1"/>
      <w:marLeft w:val="0"/>
      <w:marRight w:val="0"/>
      <w:marTop w:val="0"/>
      <w:marBottom w:val="0"/>
      <w:divBdr>
        <w:top w:val="none" w:sz="0" w:space="0" w:color="auto"/>
        <w:left w:val="none" w:sz="0" w:space="0" w:color="auto"/>
        <w:bottom w:val="none" w:sz="0" w:space="0" w:color="auto"/>
        <w:right w:val="none" w:sz="0" w:space="0" w:color="auto"/>
      </w:divBdr>
    </w:div>
    <w:div w:id="833644957">
      <w:bodyDiv w:val="1"/>
      <w:marLeft w:val="0"/>
      <w:marRight w:val="0"/>
      <w:marTop w:val="0"/>
      <w:marBottom w:val="0"/>
      <w:divBdr>
        <w:top w:val="none" w:sz="0" w:space="0" w:color="auto"/>
        <w:left w:val="none" w:sz="0" w:space="0" w:color="auto"/>
        <w:bottom w:val="none" w:sz="0" w:space="0" w:color="auto"/>
        <w:right w:val="none" w:sz="0" w:space="0" w:color="auto"/>
      </w:divBdr>
    </w:div>
    <w:div w:id="958217108">
      <w:bodyDiv w:val="1"/>
      <w:marLeft w:val="0"/>
      <w:marRight w:val="0"/>
      <w:marTop w:val="0"/>
      <w:marBottom w:val="0"/>
      <w:divBdr>
        <w:top w:val="none" w:sz="0" w:space="0" w:color="auto"/>
        <w:left w:val="none" w:sz="0" w:space="0" w:color="auto"/>
        <w:bottom w:val="none" w:sz="0" w:space="0" w:color="auto"/>
        <w:right w:val="none" w:sz="0" w:space="0" w:color="auto"/>
      </w:divBdr>
    </w:div>
    <w:div w:id="991254128">
      <w:bodyDiv w:val="1"/>
      <w:marLeft w:val="0"/>
      <w:marRight w:val="0"/>
      <w:marTop w:val="0"/>
      <w:marBottom w:val="0"/>
      <w:divBdr>
        <w:top w:val="none" w:sz="0" w:space="0" w:color="auto"/>
        <w:left w:val="none" w:sz="0" w:space="0" w:color="auto"/>
        <w:bottom w:val="none" w:sz="0" w:space="0" w:color="auto"/>
        <w:right w:val="none" w:sz="0" w:space="0" w:color="auto"/>
      </w:divBdr>
    </w:div>
    <w:div w:id="1025593891">
      <w:bodyDiv w:val="1"/>
      <w:marLeft w:val="0"/>
      <w:marRight w:val="0"/>
      <w:marTop w:val="0"/>
      <w:marBottom w:val="0"/>
      <w:divBdr>
        <w:top w:val="none" w:sz="0" w:space="0" w:color="auto"/>
        <w:left w:val="none" w:sz="0" w:space="0" w:color="auto"/>
        <w:bottom w:val="none" w:sz="0" w:space="0" w:color="auto"/>
        <w:right w:val="none" w:sz="0" w:space="0" w:color="auto"/>
      </w:divBdr>
    </w:div>
    <w:div w:id="1100830165">
      <w:bodyDiv w:val="1"/>
      <w:marLeft w:val="0"/>
      <w:marRight w:val="0"/>
      <w:marTop w:val="0"/>
      <w:marBottom w:val="0"/>
      <w:divBdr>
        <w:top w:val="none" w:sz="0" w:space="0" w:color="auto"/>
        <w:left w:val="none" w:sz="0" w:space="0" w:color="auto"/>
        <w:bottom w:val="none" w:sz="0" w:space="0" w:color="auto"/>
        <w:right w:val="none" w:sz="0" w:space="0" w:color="auto"/>
      </w:divBdr>
    </w:div>
    <w:div w:id="1165434932">
      <w:bodyDiv w:val="1"/>
      <w:marLeft w:val="0"/>
      <w:marRight w:val="0"/>
      <w:marTop w:val="0"/>
      <w:marBottom w:val="0"/>
      <w:divBdr>
        <w:top w:val="none" w:sz="0" w:space="0" w:color="auto"/>
        <w:left w:val="none" w:sz="0" w:space="0" w:color="auto"/>
        <w:bottom w:val="none" w:sz="0" w:space="0" w:color="auto"/>
        <w:right w:val="none" w:sz="0" w:space="0" w:color="auto"/>
      </w:divBdr>
    </w:div>
    <w:div w:id="1244215425">
      <w:bodyDiv w:val="1"/>
      <w:marLeft w:val="0"/>
      <w:marRight w:val="0"/>
      <w:marTop w:val="0"/>
      <w:marBottom w:val="0"/>
      <w:divBdr>
        <w:top w:val="none" w:sz="0" w:space="0" w:color="auto"/>
        <w:left w:val="none" w:sz="0" w:space="0" w:color="auto"/>
        <w:bottom w:val="none" w:sz="0" w:space="0" w:color="auto"/>
        <w:right w:val="none" w:sz="0" w:space="0" w:color="auto"/>
      </w:divBdr>
    </w:div>
    <w:div w:id="1260988052">
      <w:bodyDiv w:val="1"/>
      <w:marLeft w:val="0"/>
      <w:marRight w:val="0"/>
      <w:marTop w:val="0"/>
      <w:marBottom w:val="0"/>
      <w:divBdr>
        <w:top w:val="none" w:sz="0" w:space="0" w:color="auto"/>
        <w:left w:val="none" w:sz="0" w:space="0" w:color="auto"/>
        <w:bottom w:val="none" w:sz="0" w:space="0" w:color="auto"/>
        <w:right w:val="none" w:sz="0" w:space="0" w:color="auto"/>
      </w:divBdr>
    </w:div>
    <w:div w:id="1334449829">
      <w:bodyDiv w:val="1"/>
      <w:marLeft w:val="0"/>
      <w:marRight w:val="0"/>
      <w:marTop w:val="0"/>
      <w:marBottom w:val="0"/>
      <w:divBdr>
        <w:top w:val="none" w:sz="0" w:space="0" w:color="auto"/>
        <w:left w:val="none" w:sz="0" w:space="0" w:color="auto"/>
        <w:bottom w:val="none" w:sz="0" w:space="0" w:color="auto"/>
        <w:right w:val="none" w:sz="0" w:space="0" w:color="auto"/>
      </w:divBdr>
    </w:div>
    <w:div w:id="1445072854">
      <w:bodyDiv w:val="1"/>
      <w:marLeft w:val="0"/>
      <w:marRight w:val="0"/>
      <w:marTop w:val="0"/>
      <w:marBottom w:val="0"/>
      <w:divBdr>
        <w:top w:val="none" w:sz="0" w:space="0" w:color="auto"/>
        <w:left w:val="none" w:sz="0" w:space="0" w:color="auto"/>
        <w:bottom w:val="none" w:sz="0" w:space="0" w:color="auto"/>
        <w:right w:val="none" w:sz="0" w:space="0" w:color="auto"/>
      </w:divBdr>
    </w:div>
    <w:div w:id="1695499514">
      <w:bodyDiv w:val="1"/>
      <w:marLeft w:val="0"/>
      <w:marRight w:val="0"/>
      <w:marTop w:val="0"/>
      <w:marBottom w:val="0"/>
      <w:divBdr>
        <w:top w:val="none" w:sz="0" w:space="0" w:color="auto"/>
        <w:left w:val="none" w:sz="0" w:space="0" w:color="auto"/>
        <w:bottom w:val="none" w:sz="0" w:space="0" w:color="auto"/>
        <w:right w:val="none" w:sz="0" w:space="0" w:color="auto"/>
      </w:divBdr>
    </w:div>
    <w:div w:id="1735011459">
      <w:bodyDiv w:val="1"/>
      <w:marLeft w:val="0"/>
      <w:marRight w:val="0"/>
      <w:marTop w:val="0"/>
      <w:marBottom w:val="0"/>
      <w:divBdr>
        <w:top w:val="none" w:sz="0" w:space="0" w:color="auto"/>
        <w:left w:val="none" w:sz="0" w:space="0" w:color="auto"/>
        <w:bottom w:val="none" w:sz="0" w:space="0" w:color="auto"/>
        <w:right w:val="none" w:sz="0" w:space="0" w:color="auto"/>
      </w:divBdr>
    </w:div>
    <w:div w:id="1740517876">
      <w:bodyDiv w:val="1"/>
      <w:marLeft w:val="0"/>
      <w:marRight w:val="0"/>
      <w:marTop w:val="0"/>
      <w:marBottom w:val="0"/>
      <w:divBdr>
        <w:top w:val="none" w:sz="0" w:space="0" w:color="auto"/>
        <w:left w:val="none" w:sz="0" w:space="0" w:color="auto"/>
        <w:bottom w:val="none" w:sz="0" w:space="0" w:color="auto"/>
        <w:right w:val="none" w:sz="0" w:space="0" w:color="auto"/>
      </w:divBdr>
    </w:div>
    <w:div w:id="1816533473">
      <w:bodyDiv w:val="1"/>
      <w:marLeft w:val="0"/>
      <w:marRight w:val="0"/>
      <w:marTop w:val="0"/>
      <w:marBottom w:val="0"/>
      <w:divBdr>
        <w:top w:val="none" w:sz="0" w:space="0" w:color="auto"/>
        <w:left w:val="none" w:sz="0" w:space="0" w:color="auto"/>
        <w:bottom w:val="none" w:sz="0" w:space="0" w:color="auto"/>
        <w:right w:val="none" w:sz="0" w:space="0" w:color="auto"/>
      </w:divBdr>
    </w:div>
    <w:div w:id="1833831473">
      <w:bodyDiv w:val="1"/>
      <w:marLeft w:val="0"/>
      <w:marRight w:val="0"/>
      <w:marTop w:val="0"/>
      <w:marBottom w:val="0"/>
      <w:divBdr>
        <w:top w:val="none" w:sz="0" w:space="0" w:color="auto"/>
        <w:left w:val="none" w:sz="0" w:space="0" w:color="auto"/>
        <w:bottom w:val="none" w:sz="0" w:space="0" w:color="auto"/>
        <w:right w:val="none" w:sz="0" w:space="0" w:color="auto"/>
      </w:divBdr>
    </w:div>
    <w:div w:id="1931504735">
      <w:bodyDiv w:val="1"/>
      <w:marLeft w:val="0"/>
      <w:marRight w:val="0"/>
      <w:marTop w:val="0"/>
      <w:marBottom w:val="0"/>
      <w:divBdr>
        <w:top w:val="none" w:sz="0" w:space="0" w:color="auto"/>
        <w:left w:val="none" w:sz="0" w:space="0" w:color="auto"/>
        <w:bottom w:val="none" w:sz="0" w:space="0" w:color="auto"/>
        <w:right w:val="none" w:sz="0" w:space="0" w:color="auto"/>
      </w:divBdr>
    </w:div>
    <w:div w:id="1959678736">
      <w:bodyDiv w:val="1"/>
      <w:marLeft w:val="0"/>
      <w:marRight w:val="0"/>
      <w:marTop w:val="0"/>
      <w:marBottom w:val="0"/>
      <w:divBdr>
        <w:top w:val="none" w:sz="0" w:space="0" w:color="auto"/>
        <w:left w:val="none" w:sz="0" w:space="0" w:color="auto"/>
        <w:bottom w:val="none" w:sz="0" w:space="0" w:color="auto"/>
        <w:right w:val="none" w:sz="0" w:space="0" w:color="auto"/>
      </w:divBdr>
    </w:div>
    <w:div w:id="20452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F566-6917-C744-A5F2-D6D439AE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16556</Words>
  <Characters>94374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Jennifer Krafft</cp:lastModifiedBy>
  <cp:revision>6</cp:revision>
  <dcterms:created xsi:type="dcterms:W3CDTF">2021-08-16T22:49:00Z</dcterms:created>
  <dcterms:modified xsi:type="dcterms:W3CDTF">2021-09-20T21:37:00Z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582b7677-ed7a-37f2-bcdb-9ec4151e8160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http://www.zotero.org/styles/journal-of-contextual-behavioral-science</vt:lpwstr>
  </property>
  <property fmtid="{D5CDD505-2E9C-101B-9397-08002B2CF9AE}" pid="20" name="Mendeley Recent Style Name 7_1">
    <vt:lpwstr>Journal of Contextual Behavioral Science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