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C702" w14:textId="77777777" w:rsidR="00B239BE" w:rsidRDefault="00B239BE" w:rsidP="007B3F99">
      <w:pPr>
        <w:spacing w:after="0" w:line="480" w:lineRule="auto"/>
        <w:jc w:val="center"/>
        <w:rPr>
          <w:rFonts w:ascii="Times New Roman" w:hAnsi="Times New Roman" w:cs="Times New Roman"/>
          <w:sz w:val="24"/>
          <w:szCs w:val="24"/>
        </w:rPr>
      </w:pPr>
    </w:p>
    <w:p w14:paraId="12EB4764" w14:textId="77777777" w:rsidR="00B239BE" w:rsidRDefault="00B239BE" w:rsidP="007B3F99">
      <w:pPr>
        <w:spacing w:after="0" w:line="480" w:lineRule="auto"/>
        <w:jc w:val="center"/>
        <w:rPr>
          <w:rFonts w:ascii="Times New Roman" w:hAnsi="Times New Roman" w:cs="Times New Roman"/>
          <w:sz w:val="24"/>
          <w:szCs w:val="24"/>
        </w:rPr>
      </w:pPr>
    </w:p>
    <w:p w14:paraId="18AD3340" w14:textId="77777777" w:rsidR="00B239BE" w:rsidRDefault="00B239BE" w:rsidP="007B3F99">
      <w:pPr>
        <w:spacing w:after="0" w:line="480" w:lineRule="auto"/>
        <w:jc w:val="center"/>
        <w:rPr>
          <w:rFonts w:ascii="Times New Roman" w:hAnsi="Times New Roman" w:cs="Times New Roman"/>
          <w:sz w:val="24"/>
          <w:szCs w:val="24"/>
        </w:rPr>
      </w:pPr>
    </w:p>
    <w:p w14:paraId="0EAD898E" w14:textId="071BB7ED" w:rsidR="00B239BE" w:rsidRPr="00EA56DD" w:rsidRDefault="00B239BE" w:rsidP="007B3F99">
      <w:pPr>
        <w:spacing w:after="0" w:line="480" w:lineRule="auto"/>
        <w:jc w:val="center"/>
        <w:rPr>
          <w:rFonts w:ascii="Times New Roman" w:hAnsi="Times New Roman" w:cs="Times New Roman"/>
          <w:sz w:val="24"/>
          <w:szCs w:val="24"/>
        </w:rPr>
      </w:pPr>
    </w:p>
    <w:p w14:paraId="4D6BA576" w14:textId="3CBE2C42" w:rsidR="00C22E97" w:rsidRPr="00EA56DD" w:rsidRDefault="00C22E97" w:rsidP="007B3F99">
      <w:pPr>
        <w:spacing w:after="0" w:line="480" w:lineRule="auto"/>
        <w:jc w:val="center"/>
        <w:rPr>
          <w:rFonts w:ascii="Times New Roman" w:hAnsi="Times New Roman" w:cs="Times New Roman"/>
          <w:sz w:val="24"/>
          <w:szCs w:val="24"/>
        </w:rPr>
      </w:pPr>
    </w:p>
    <w:p w14:paraId="66B4AFA0" w14:textId="3CC26A30" w:rsidR="00D600DA" w:rsidRPr="00EA56DD" w:rsidRDefault="00D600DA" w:rsidP="007B3F99">
      <w:pPr>
        <w:spacing w:after="0" w:line="480" w:lineRule="auto"/>
        <w:jc w:val="center"/>
        <w:rPr>
          <w:rFonts w:ascii="Times New Roman" w:hAnsi="Times New Roman" w:cs="Times New Roman"/>
          <w:sz w:val="24"/>
          <w:szCs w:val="24"/>
        </w:rPr>
      </w:pPr>
    </w:p>
    <w:p w14:paraId="09707DD8" w14:textId="77777777" w:rsidR="00D600DA" w:rsidRPr="00EA56DD" w:rsidRDefault="00D600DA" w:rsidP="007B3F99">
      <w:pPr>
        <w:spacing w:after="0" w:line="480" w:lineRule="auto"/>
        <w:jc w:val="center"/>
        <w:rPr>
          <w:rFonts w:ascii="Times New Roman" w:hAnsi="Times New Roman" w:cs="Times New Roman"/>
          <w:sz w:val="24"/>
          <w:szCs w:val="24"/>
        </w:rPr>
      </w:pPr>
    </w:p>
    <w:p w14:paraId="5AC4E66D" w14:textId="77777777" w:rsidR="00C22E97" w:rsidRPr="00EA56DD" w:rsidRDefault="00C22E97" w:rsidP="007B3F99">
      <w:pPr>
        <w:spacing w:after="0" w:line="480" w:lineRule="auto"/>
        <w:jc w:val="center"/>
        <w:rPr>
          <w:rFonts w:ascii="Times New Roman" w:hAnsi="Times New Roman" w:cs="Times New Roman"/>
          <w:sz w:val="24"/>
          <w:szCs w:val="24"/>
        </w:rPr>
      </w:pPr>
    </w:p>
    <w:p w14:paraId="5BE9C4AD" w14:textId="77777777" w:rsidR="00B239BE" w:rsidRPr="00EA56DD" w:rsidRDefault="00B239BE" w:rsidP="007B3F99">
      <w:pPr>
        <w:spacing w:after="0" w:line="480" w:lineRule="auto"/>
        <w:jc w:val="center"/>
        <w:rPr>
          <w:rFonts w:ascii="Times New Roman" w:hAnsi="Times New Roman" w:cs="Times New Roman"/>
          <w:sz w:val="24"/>
          <w:szCs w:val="24"/>
        </w:rPr>
      </w:pPr>
    </w:p>
    <w:p w14:paraId="6A486855" w14:textId="6B107207" w:rsidR="00FD7EBC" w:rsidRDefault="00FD7EBC" w:rsidP="00B01366">
      <w:pPr>
        <w:spacing w:after="0" w:line="480" w:lineRule="auto"/>
        <w:jc w:val="center"/>
        <w:rPr>
          <w:rFonts w:ascii="Times New Roman" w:hAnsi="Times New Roman" w:cs="Times New Roman"/>
          <w:sz w:val="24"/>
          <w:szCs w:val="24"/>
        </w:rPr>
      </w:pPr>
      <w:r w:rsidRPr="00EA56DD">
        <w:rPr>
          <w:rFonts w:ascii="Times New Roman" w:hAnsi="Times New Roman" w:cs="Times New Roman"/>
          <w:sz w:val="24"/>
          <w:szCs w:val="24"/>
        </w:rPr>
        <w:t>Evaluating the effects of guided coaching calls on engagement and outcomes for online acceptance and commitment therapy</w:t>
      </w:r>
    </w:p>
    <w:p w14:paraId="459B4084" w14:textId="77777777" w:rsidR="007742DC" w:rsidRPr="007B3F99" w:rsidRDefault="007742DC" w:rsidP="007742DC">
      <w:pPr>
        <w:spacing w:after="0" w:line="480" w:lineRule="auto"/>
        <w:jc w:val="center"/>
        <w:rPr>
          <w:rFonts w:ascii="Times New Roman" w:hAnsi="Times New Roman" w:cs="Times New Roman"/>
          <w:sz w:val="24"/>
          <w:szCs w:val="24"/>
        </w:rPr>
      </w:pPr>
      <w:r w:rsidRPr="007B3F99">
        <w:rPr>
          <w:rFonts w:ascii="Times New Roman" w:hAnsi="Times New Roman" w:cs="Times New Roman"/>
          <w:sz w:val="24"/>
          <w:szCs w:val="24"/>
        </w:rPr>
        <w:t>Michael E. Levin</w:t>
      </w:r>
      <w:r>
        <w:rPr>
          <w:rFonts w:ascii="Times New Roman" w:hAnsi="Times New Roman" w:cs="Times New Roman"/>
          <w:sz w:val="24"/>
          <w:szCs w:val="24"/>
          <w:vertAlign w:val="superscript"/>
        </w:rPr>
        <w:t>*</w:t>
      </w:r>
      <w:r w:rsidRPr="007B3F99">
        <w:rPr>
          <w:rFonts w:ascii="Times New Roman" w:hAnsi="Times New Roman" w:cs="Times New Roman"/>
          <w:sz w:val="24"/>
          <w:szCs w:val="24"/>
        </w:rPr>
        <w:t>, Jennifer Krafft, Carter H. Davis, &amp; Michael P. Twohig</w:t>
      </w:r>
    </w:p>
    <w:p w14:paraId="7006F4AC" w14:textId="77777777" w:rsidR="007742DC" w:rsidRPr="00D600DA" w:rsidRDefault="007742DC" w:rsidP="007742DC">
      <w:pPr>
        <w:autoSpaceDE w:val="0"/>
        <w:autoSpaceDN w:val="0"/>
        <w:adjustRightInd w:val="0"/>
        <w:spacing w:line="480" w:lineRule="auto"/>
        <w:contextualSpacing/>
        <w:jc w:val="center"/>
        <w:rPr>
          <w:rFonts w:ascii="Times New Roman" w:hAnsi="Times New Roman" w:cs="Times New Roman"/>
          <w:sz w:val="24"/>
          <w:szCs w:val="24"/>
          <w:vertAlign w:val="superscript"/>
        </w:rPr>
      </w:pPr>
      <w:r w:rsidRPr="00D600DA">
        <w:rPr>
          <w:rFonts w:ascii="Times New Roman" w:hAnsi="Times New Roman" w:cs="Times New Roman"/>
          <w:sz w:val="24"/>
          <w:szCs w:val="24"/>
        </w:rPr>
        <w:t>Utah State University, Department of Psychology</w:t>
      </w:r>
    </w:p>
    <w:p w14:paraId="55E559D4" w14:textId="77777777" w:rsidR="007742DC" w:rsidRDefault="007742DC" w:rsidP="007742DC">
      <w:pPr>
        <w:spacing w:after="0" w:line="480" w:lineRule="auto"/>
        <w:jc w:val="center"/>
        <w:rPr>
          <w:rFonts w:ascii="Times New Roman" w:hAnsi="Times New Roman" w:cs="Times New Roman"/>
          <w:b/>
          <w:sz w:val="24"/>
          <w:szCs w:val="24"/>
        </w:rPr>
      </w:pPr>
    </w:p>
    <w:p w14:paraId="5AB3F0DB" w14:textId="77777777" w:rsidR="007742DC" w:rsidRDefault="007742DC" w:rsidP="007742DC">
      <w:pPr>
        <w:spacing w:after="0" w:line="480" w:lineRule="auto"/>
        <w:rPr>
          <w:rFonts w:ascii="Times New Roman" w:hAnsi="Times New Roman" w:cs="Times New Roman"/>
          <w:b/>
          <w:sz w:val="24"/>
          <w:szCs w:val="24"/>
        </w:rPr>
      </w:pPr>
    </w:p>
    <w:p w14:paraId="442BEF67" w14:textId="77777777" w:rsidR="007742DC" w:rsidRDefault="007742DC" w:rsidP="007742DC">
      <w:pPr>
        <w:spacing w:after="0" w:line="480" w:lineRule="auto"/>
        <w:rPr>
          <w:rFonts w:ascii="Times New Roman" w:hAnsi="Times New Roman" w:cs="Times New Roman"/>
          <w:b/>
          <w:sz w:val="24"/>
          <w:szCs w:val="24"/>
        </w:rPr>
      </w:pPr>
    </w:p>
    <w:p w14:paraId="648C2732" w14:textId="77777777" w:rsidR="007742DC" w:rsidRDefault="007742DC" w:rsidP="007742DC">
      <w:pPr>
        <w:spacing w:after="0" w:line="480" w:lineRule="auto"/>
        <w:rPr>
          <w:rFonts w:ascii="Times New Roman" w:hAnsi="Times New Roman" w:cs="Times New Roman"/>
          <w:b/>
          <w:sz w:val="24"/>
          <w:szCs w:val="24"/>
        </w:rPr>
      </w:pPr>
    </w:p>
    <w:p w14:paraId="6FC88EC4" w14:textId="77777777" w:rsidR="007742DC" w:rsidRDefault="007742DC" w:rsidP="007742DC">
      <w:pPr>
        <w:spacing w:after="0" w:line="480" w:lineRule="auto"/>
        <w:rPr>
          <w:rFonts w:ascii="Times New Roman" w:hAnsi="Times New Roman" w:cs="Times New Roman"/>
          <w:b/>
          <w:sz w:val="24"/>
          <w:szCs w:val="24"/>
        </w:rPr>
      </w:pPr>
    </w:p>
    <w:p w14:paraId="7C19DABA" w14:textId="77777777" w:rsidR="007742DC" w:rsidRDefault="007742DC" w:rsidP="007742DC">
      <w:pPr>
        <w:spacing w:after="0" w:line="480" w:lineRule="auto"/>
        <w:rPr>
          <w:rFonts w:ascii="Times New Roman" w:hAnsi="Times New Roman" w:cs="Times New Roman"/>
          <w:b/>
          <w:sz w:val="24"/>
          <w:szCs w:val="24"/>
        </w:rPr>
      </w:pPr>
    </w:p>
    <w:p w14:paraId="06E91692" w14:textId="77777777" w:rsidR="007742DC" w:rsidRDefault="007742DC" w:rsidP="007742DC">
      <w:pPr>
        <w:spacing w:after="0" w:line="480" w:lineRule="auto"/>
        <w:rPr>
          <w:rFonts w:ascii="Times New Roman" w:hAnsi="Times New Roman" w:cs="Times New Roman"/>
          <w:b/>
          <w:sz w:val="24"/>
          <w:szCs w:val="24"/>
        </w:rPr>
      </w:pPr>
    </w:p>
    <w:p w14:paraId="3713A267" w14:textId="77777777" w:rsidR="007742DC" w:rsidRPr="007B3F99" w:rsidRDefault="007742DC" w:rsidP="007742DC">
      <w:pPr>
        <w:autoSpaceDE w:val="0"/>
        <w:autoSpaceDN w:val="0"/>
        <w:adjustRightInd w:val="0"/>
        <w:spacing w:line="480" w:lineRule="auto"/>
        <w:contextualSpacing/>
        <w:rPr>
          <w:rFonts w:ascii="Times New Roman" w:hAnsi="Times New Roman" w:cs="Times New Roman"/>
          <w:sz w:val="24"/>
          <w:szCs w:val="24"/>
        </w:rPr>
      </w:pPr>
      <w:r w:rsidRPr="00D600DA">
        <w:rPr>
          <w:rFonts w:ascii="Times New Roman" w:hAnsi="Times New Roman" w:cs="Times New Roman"/>
          <w:sz w:val="24"/>
          <w:szCs w:val="24"/>
        </w:rPr>
        <w:t xml:space="preserve">* Corresponding author. Utah State University, 2810 Old Main Hill, Logan, UT 84322, United States. Phone: +001 (541) 531-3892; Fax: +001 </w:t>
      </w:r>
      <w:r w:rsidRPr="00D600DA">
        <w:rPr>
          <w:rFonts w:ascii="Times New Roman" w:hAnsi="Times New Roman" w:cs="Times New Roman"/>
          <w:noProof/>
          <w:color w:val="000000"/>
          <w:sz w:val="24"/>
          <w:szCs w:val="24"/>
          <w:lang w:val="it-IT"/>
        </w:rPr>
        <w:t>(435) 797-1448</w:t>
      </w:r>
      <w:r w:rsidRPr="00D600DA">
        <w:rPr>
          <w:rFonts w:ascii="Times New Roman" w:hAnsi="Times New Roman" w:cs="Times New Roman"/>
          <w:sz w:val="24"/>
          <w:szCs w:val="24"/>
        </w:rPr>
        <w:t xml:space="preserve">, E-mail address: </w:t>
      </w:r>
      <w:hyperlink r:id="rId8" w:history="1">
        <w:r w:rsidRPr="00D600DA">
          <w:rPr>
            <w:rStyle w:val="Hyperlink"/>
            <w:rFonts w:ascii="Times New Roman" w:hAnsi="Times New Roman" w:cs="Times New Roman"/>
            <w:sz w:val="24"/>
            <w:szCs w:val="24"/>
          </w:rPr>
          <w:t>Michael.Levin@usu.edu</w:t>
        </w:r>
      </w:hyperlink>
      <w:r w:rsidRPr="00D600DA">
        <w:rPr>
          <w:rFonts w:ascii="Times New Roman" w:hAnsi="Times New Roman" w:cs="Times New Roman"/>
          <w:sz w:val="24"/>
          <w:szCs w:val="24"/>
        </w:rPr>
        <w:t>.</w:t>
      </w:r>
    </w:p>
    <w:p w14:paraId="7EA819A2" w14:textId="77777777" w:rsidR="00EE21E2" w:rsidRPr="00EA56DD" w:rsidRDefault="007B3F99" w:rsidP="00EE21E2">
      <w:pPr>
        <w:spacing w:after="0" w:line="480" w:lineRule="auto"/>
        <w:jc w:val="center"/>
        <w:rPr>
          <w:rFonts w:ascii="Times New Roman" w:hAnsi="Times New Roman" w:cs="Times New Roman"/>
          <w:sz w:val="24"/>
          <w:szCs w:val="24"/>
        </w:rPr>
      </w:pPr>
      <w:r w:rsidRPr="00EA56DD">
        <w:rPr>
          <w:rFonts w:ascii="Times New Roman" w:hAnsi="Times New Roman" w:cs="Times New Roman"/>
          <w:sz w:val="24"/>
          <w:szCs w:val="24"/>
        </w:rPr>
        <w:lastRenderedPageBreak/>
        <w:t>Abstract</w:t>
      </w:r>
    </w:p>
    <w:p w14:paraId="2EBFDF00" w14:textId="0D5F06C1" w:rsidR="00EE21E2" w:rsidRPr="00EA56DD" w:rsidRDefault="00EE21E2" w:rsidP="00EE21E2">
      <w:pPr>
        <w:spacing w:after="0" w:line="480" w:lineRule="auto"/>
        <w:rPr>
          <w:rFonts w:ascii="Times New Roman" w:hAnsi="Times New Roman" w:cs="Times New Roman"/>
          <w:sz w:val="24"/>
          <w:szCs w:val="24"/>
        </w:rPr>
      </w:pPr>
      <w:r w:rsidRPr="00EA56DD">
        <w:rPr>
          <w:rFonts w:ascii="Times New Roman" w:hAnsi="Times New Roman" w:cs="Times New Roman"/>
          <w:sz w:val="24"/>
          <w:szCs w:val="24"/>
        </w:rPr>
        <w:tab/>
      </w:r>
      <w:r w:rsidR="00AF5B0D" w:rsidRPr="00EA56DD">
        <w:rPr>
          <w:rFonts w:ascii="Times New Roman" w:hAnsi="Times New Roman" w:cs="Times New Roman"/>
          <w:sz w:val="24"/>
          <w:szCs w:val="24"/>
        </w:rPr>
        <w:t>Previous research indicates mixed results for guided support with online interventions. The current secondary analysis evaluated the effects of phone coaching from a dismantling trial of online acceptance and commitment therapy (ACT) in a sample of 1</w:t>
      </w:r>
      <w:r w:rsidR="00527AEA" w:rsidRPr="00EA56DD">
        <w:rPr>
          <w:rFonts w:ascii="Times New Roman" w:hAnsi="Times New Roman" w:cs="Times New Roman"/>
          <w:sz w:val="24"/>
          <w:szCs w:val="24"/>
        </w:rPr>
        <w:t>36</w:t>
      </w:r>
      <w:r w:rsidR="00AF5B0D" w:rsidRPr="00EA56DD">
        <w:rPr>
          <w:rFonts w:ascii="Times New Roman" w:hAnsi="Times New Roman" w:cs="Times New Roman"/>
          <w:sz w:val="24"/>
          <w:szCs w:val="24"/>
        </w:rPr>
        <w:t xml:space="preserve"> distressed college students randomized to one of three versions of an ACT website. Participants were randomized to receive email prompts alone</w:t>
      </w:r>
      <w:r w:rsidR="00A00389" w:rsidRPr="00EA56DD">
        <w:rPr>
          <w:rFonts w:ascii="Times New Roman" w:hAnsi="Times New Roman" w:cs="Times New Roman"/>
          <w:sz w:val="24"/>
          <w:szCs w:val="24"/>
        </w:rPr>
        <w:t xml:space="preserve"> (non-coaching condition)</w:t>
      </w:r>
      <w:r w:rsidR="00AF5B0D" w:rsidRPr="00EA56DD">
        <w:rPr>
          <w:rFonts w:ascii="Times New Roman" w:hAnsi="Times New Roman" w:cs="Times New Roman"/>
          <w:sz w:val="24"/>
          <w:szCs w:val="24"/>
        </w:rPr>
        <w:t xml:space="preserve"> or email plus phone coaching</w:t>
      </w:r>
      <w:r w:rsidR="00A00389" w:rsidRPr="00EA56DD">
        <w:rPr>
          <w:rFonts w:ascii="Times New Roman" w:hAnsi="Times New Roman" w:cs="Times New Roman"/>
          <w:sz w:val="24"/>
          <w:szCs w:val="24"/>
        </w:rPr>
        <w:t xml:space="preserve"> (coaching condition)</w:t>
      </w:r>
      <w:r w:rsidR="00AF5B0D" w:rsidRPr="00EA56DD">
        <w:rPr>
          <w:rFonts w:ascii="Times New Roman" w:hAnsi="Times New Roman" w:cs="Times New Roman"/>
          <w:sz w:val="24"/>
          <w:szCs w:val="24"/>
        </w:rPr>
        <w:t xml:space="preserve">. Results </w:t>
      </w:r>
      <w:r w:rsidR="00A00389" w:rsidRPr="00EA56DD">
        <w:rPr>
          <w:rFonts w:ascii="Times New Roman" w:hAnsi="Times New Roman" w:cs="Times New Roman"/>
          <w:sz w:val="24"/>
          <w:szCs w:val="24"/>
        </w:rPr>
        <w:t xml:space="preserve">indicated </w:t>
      </w:r>
      <w:r w:rsidR="00527AEA" w:rsidRPr="00EA56DD">
        <w:rPr>
          <w:rFonts w:ascii="Times New Roman" w:hAnsi="Times New Roman" w:cs="Times New Roman"/>
          <w:sz w:val="24"/>
          <w:szCs w:val="24"/>
        </w:rPr>
        <w:t xml:space="preserve">no differences between the coaching and non-coaching conditions on </w:t>
      </w:r>
      <w:r w:rsidR="00A00389" w:rsidRPr="00EA56DD">
        <w:rPr>
          <w:rFonts w:ascii="Times New Roman" w:hAnsi="Times New Roman" w:cs="Times New Roman"/>
          <w:sz w:val="24"/>
          <w:szCs w:val="24"/>
        </w:rPr>
        <w:t xml:space="preserve">program </w:t>
      </w:r>
      <w:r w:rsidR="00527AEA" w:rsidRPr="00EA56DD">
        <w:rPr>
          <w:rFonts w:ascii="Times New Roman" w:hAnsi="Times New Roman" w:cs="Times New Roman"/>
          <w:sz w:val="24"/>
          <w:szCs w:val="24"/>
        </w:rPr>
        <w:t xml:space="preserve">engagement, </w:t>
      </w:r>
      <w:r w:rsidR="00A00389" w:rsidRPr="00EA56DD">
        <w:rPr>
          <w:rFonts w:ascii="Times New Roman" w:hAnsi="Times New Roman" w:cs="Times New Roman"/>
          <w:sz w:val="24"/>
          <w:szCs w:val="24"/>
        </w:rPr>
        <w:t>program satisfaction</w:t>
      </w:r>
      <w:r w:rsidR="00527AEA" w:rsidRPr="00EA56DD">
        <w:rPr>
          <w:rFonts w:ascii="Times New Roman" w:hAnsi="Times New Roman" w:cs="Times New Roman"/>
          <w:sz w:val="24"/>
          <w:szCs w:val="24"/>
        </w:rPr>
        <w:t>, mental health outcomes</w:t>
      </w:r>
      <w:r w:rsidR="00553102" w:rsidRPr="00EA56DD">
        <w:rPr>
          <w:rFonts w:ascii="Times New Roman" w:hAnsi="Times New Roman" w:cs="Times New Roman"/>
          <w:sz w:val="24"/>
          <w:szCs w:val="24"/>
        </w:rPr>
        <w:t>,</w:t>
      </w:r>
      <w:r w:rsidR="00527AEA" w:rsidRPr="00EA56DD">
        <w:rPr>
          <w:rFonts w:ascii="Times New Roman" w:hAnsi="Times New Roman" w:cs="Times New Roman"/>
          <w:sz w:val="24"/>
          <w:szCs w:val="24"/>
        </w:rPr>
        <w:t xml:space="preserve"> and </w:t>
      </w:r>
      <w:r w:rsidR="00553102" w:rsidRPr="00EA56DD">
        <w:rPr>
          <w:rFonts w:ascii="Times New Roman" w:hAnsi="Times New Roman" w:cs="Times New Roman"/>
          <w:sz w:val="24"/>
          <w:szCs w:val="24"/>
        </w:rPr>
        <w:t xml:space="preserve">almost all </w:t>
      </w:r>
      <w:r w:rsidR="00527AEA" w:rsidRPr="00EA56DD">
        <w:rPr>
          <w:rFonts w:ascii="Times New Roman" w:hAnsi="Times New Roman" w:cs="Times New Roman"/>
          <w:sz w:val="24"/>
          <w:szCs w:val="24"/>
        </w:rPr>
        <w:t>psychological flexibility processes</w:t>
      </w:r>
      <w:r w:rsidR="00A00389" w:rsidRPr="00EA56DD">
        <w:rPr>
          <w:rFonts w:ascii="Times New Roman" w:hAnsi="Times New Roman" w:cs="Times New Roman"/>
          <w:sz w:val="24"/>
          <w:szCs w:val="24"/>
        </w:rPr>
        <w:t xml:space="preserve">. </w:t>
      </w:r>
      <w:r w:rsidR="00527AEA" w:rsidRPr="00EA56DD">
        <w:rPr>
          <w:rFonts w:ascii="Times New Roman" w:hAnsi="Times New Roman" w:cs="Times New Roman"/>
          <w:sz w:val="24"/>
          <w:szCs w:val="24"/>
        </w:rPr>
        <w:t>However, participants in t</w:t>
      </w:r>
      <w:r w:rsidR="00A00389" w:rsidRPr="00EA56DD">
        <w:rPr>
          <w:rFonts w:ascii="Times New Roman" w:hAnsi="Times New Roman" w:cs="Times New Roman"/>
          <w:sz w:val="24"/>
          <w:szCs w:val="24"/>
        </w:rPr>
        <w:t xml:space="preserve">he coaching condition </w:t>
      </w:r>
      <w:r w:rsidR="00527AEA" w:rsidRPr="00EA56DD">
        <w:rPr>
          <w:rFonts w:ascii="Times New Roman" w:hAnsi="Times New Roman" w:cs="Times New Roman"/>
          <w:sz w:val="24"/>
          <w:szCs w:val="24"/>
        </w:rPr>
        <w:t xml:space="preserve">reported </w:t>
      </w:r>
      <w:r w:rsidR="00A00389" w:rsidRPr="00EA56DD">
        <w:rPr>
          <w:rFonts w:ascii="Times New Roman" w:hAnsi="Times New Roman" w:cs="Times New Roman"/>
          <w:sz w:val="24"/>
          <w:szCs w:val="24"/>
        </w:rPr>
        <w:t xml:space="preserve">stronger pre- to posttreatment improvements in psychological inflexibility than the non-coaching condition. </w:t>
      </w:r>
      <w:r w:rsidR="00527AEA" w:rsidRPr="00EA56DD">
        <w:rPr>
          <w:rFonts w:ascii="Times New Roman" w:hAnsi="Times New Roman" w:cs="Times New Roman"/>
          <w:sz w:val="24"/>
          <w:szCs w:val="24"/>
        </w:rPr>
        <w:t>This effect was moderated by ACT component condition, with larger pre- to posttreatment effects from coaching on psychological inflexibility in the values/committed action condition and weaker improvements from coaching in the acceptance/</w:t>
      </w:r>
      <w:proofErr w:type="spellStart"/>
      <w:r w:rsidR="00527AEA" w:rsidRPr="00EA56DD">
        <w:rPr>
          <w:rFonts w:ascii="Times New Roman" w:hAnsi="Times New Roman" w:cs="Times New Roman"/>
          <w:sz w:val="24"/>
          <w:szCs w:val="24"/>
        </w:rPr>
        <w:t>defusion</w:t>
      </w:r>
      <w:proofErr w:type="spellEnd"/>
      <w:r w:rsidR="00527AEA" w:rsidRPr="00EA56DD">
        <w:rPr>
          <w:rFonts w:ascii="Times New Roman" w:hAnsi="Times New Roman" w:cs="Times New Roman"/>
          <w:sz w:val="24"/>
          <w:szCs w:val="24"/>
        </w:rPr>
        <w:t xml:space="preserve"> condition. </w:t>
      </w:r>
      <w:r w:rsidR="00A00389" w:rsidRPr="00EA56DD">
        <w:rPr>
          <w:rFonts w:ascii="Times New Roman" w:hAnsi="Times New Roman" w:cs="Times New Roman"/>
          <w:sz w:val="24"/>
          <w:szCs w:val="24"/>
        </w:rPr>
        <w:t>Overall, results indicate online self-guided ACT interventions with email prompts are sufficient for addressing college student mental health</w:t>
      </w:r>
      <w:r w:rsidR="00527AEA" w:rsidRPr="00EA56DD">
        <w:rPr>
          <w:rFonts w:ascii="Times New Roman" w:hAnsi="Times New Roman" w:cs="Times New Roman"/>
          <w:sz w:val="24"/>
          <w:szCs w:val="24"/>
        </w:rPr>
        <w:t xml:space="preserve"> and that phone coaching provided </w:t>
      </w:r>
      <w:r w:rsidR="003B156D">
        <w:rPr>
          <w:rFonts w:ascii="Times New Roman" w:hAnsi="Times New Roman" w:cs="Times New Roman"/>
          <w:sz w:val="24"/>
          <w:szCs w:val="24"/>
        </w:rPr>
        <w:t>minimal</w:t>
      </w:r>
      <w:r w:rsidR="00527AEA" w:rsidRPr="00EA56DD">
        <w:rPr>
          <w:rFonts w:ascii="Times New Roman" w:hAnsi="Times New Roman" w:cs="Times New Roman"/>
          <w:sz w:val="24"/>
          <w:szCs w:val="24"/>
        </w:rPr>
        <w:t xml:space="preserve"> additional benefit</w:t>
      </w:r>
      <w:r w:rsidR="00A00389" w:rsidRPr="00EA56DD">
        <w:rPr>
          <w:rFonts w:ascii="Times New Roman" w:hAnsi="Times New Roman" w:cs="Times New Roman"/>
          <w:sz w:val="24"/>
          <w:szCs w:val="24"/>
        </w:rPr>
        <w:t xml:space="preserve">. </w:t>
      </w:r>
    </w:p>
    <w:p w14:paraId="4047A0EC" w14:textId="4D1C0F2E" w:rsidR="007B3F99" w:rsidRPr="00EA56DD" w:rsidRDefault="00EE21E2" w:rsidP="00EE21E2">
      <w:pPr>
        <w:spacing w:after="0" w:line="480" w:lineRule="auto"/>
        <w:ind w:firstLine="720"/>
        <w:rPr>
          <w:rFonts w:ascii="Times New Roman" w:hAnsi="Times New Roman" w:cs="Times New Roman"/>
          <w:sz w:val="24"/>
          <w:szCs w:val="24"/>
        </w:rPr>
      </w:pPr>
      <w:r w:rsidRPr="00EA56DD">
        <w:rPr>
          <w:rFonts w:ascii="Times New Roman" w:hAnsi="Times New Roman" w:cs="Times New Roman"/>
          <w:i/>
          <w:sz w:val="24"/>
          <w:szCs w:val="24"/>
        </w:rPr>
        <w:t>Keywords:</w:t>
      </w:r>
      <w:r w:rsidRPr="00EA56DD">
        <w:rPr>
          <w:rFonts w:ascii="Times New Roman" w:hAnsi="Times New Roman" w:cs="Times New Roman"/>
          <w:sz w:val="24"/>
          <w:szCs w:val="24"/>
        </w:rPr>
        <w:t xml:space="preserve"> eHealth, Internet interventions, Guided self-help, Therapist guidance, </w:t>
      </w:r>
      <w:proofErr w:type="gramStart"/>
      <w:r w:rsidRPr="00EA56DD">
        <w:rPr>
          <w:rFonts w:ascii="Times New Roman" w:hAnsi="Times New Roman" w:cs="Times New Roman"/>
          <w:sz w:val="24"/>
          <w:szCs w:val="24"/>
        </w:rPr>
        <w:t>Acceptance</w:t>
      </w:r>
      <w:proofErr w:type="gramEnd"/>
      <w:r w:rsidRPr="00EA56DD">
        <w:rPr>
          <w:rFonts w:ascii="Times New Roman" w:hAnsi="Times New Roman" w:cs="Times New Roman"/>
          <w:sz w:val="24"/>
          <w:szCs w:val="24"/>
        </w:rPr>
        <w:t xml:space="preserve"> and commitment therapy.</w:t>
      </w:r>
      <w:r w:rsidR="007B3F99" w:rsidRPr="00EA56DD">
        <w:rPr>
          <w:rFonts w:ascii="Times New Roman" w:hAnsi="Times New Roman" w:cs="Times New Roman"/>
          <w:sz w:val="24"/>
          <w:szCs w:val="24"/>
        </w:rPr>
        <w:br w:type="page"/>
      </w:r>
    </w:p>
    <w:p w14:paraId="4B03E636" w14:textId="0422A604" w:rsidR="007B3F99" w:rsidRPr="00EA56DD" w:rsidRDefault="007B3F99" w:rsidP="007B3F99">
      <w:pPr>
        <w:spacing w:after="0" w:line="480" w:lineRule="auto"/>
        <w:jc w:val="center"/>
        <w:rPr>
          <w:rFonts w:ascii="Times New Roman" w:hAnsi="Times New Roman" w:cs="Times New Roman"/>
          <w:sz w:val="24"/>
          <w:szCs w:val="24"/>
        </w:rPr>
      </w:pPr>
      <w:r w:rsidRPr="00EA56DD">
        <w:rPr>
          <w:rFonts w:ascii="Times New Roman" w:hAnsi="Times New Roman" w:cs="Times New Roman"/>
          <w:sz w:val="24"/>
          <w:szCs w:val="24"/>
        </w:rPr>
        <w:lastRenderedPageBreak/>
        <w:t>Evaluating the effects of guided coaching calls on engagement and outcomes for online acceptance and commitment therapy</w:t>
      </w:r>
    </w:p>
    <w:p w14:paraId="55240F49" w14:textId="15A91C2B" w:rsidR="000C22B7" w:rsidRPr="00EA56DD" w:rsidRDefault="00F76916" w:rsidP="007B3F99">
      <w:pPr>
        <w:spacing w:after="0" w:line="480" w:lineRule="auto"/>
        <w:rPr>
          <w:rFonts w:ascii="Times New Roman" w:hAnsi="Times New Roman" w:cs="Times New Roman"/>
          <w:sz w:val="24"/>
          <w:szCs w:val="24"/>
        </w:rPr>
      </w:pPr>
      <w:r w:rsidRPr="00EA56DD">
        <w:rPr>
          <w:rFonts w:ascii="Times New Roman" w:hAnsi="Times New Roman" w:cs="Times New Roman"/>
          <w:b/>
          <w:sz w:val="24"/>
          <w:szCs w:val="24"/>
        </w:rPr>
        <w:tab/>
      </w:r>
      <w:r w:rsidR="009853E7" w:rsidRPr="00EA56DD">
        <w:rPr>
          <w:rFonts w:ascii="Times New Roman" w:hAnsi="Times New Roman" w:cs="Times New Roman"/>
          <w:sz w:val="24"/>
          <w:szCs w:val="24"/>
        </w:rPr>
        <w:t>Self-gu</w:t>
      </w:r>
      <w:r w:rsidR="009513EF" w:rsidRPr="00EA56DD">
        <w:rPr>
          <w:rFonts w:ascii="Times New Roman" w:hAnsi="Times New Roman" w:cs="Times New Roman"/>
          <w:sz w:val="24"/>
          <w:szCs w:val="24"/>
        </w:rPr>
        <w:t>ided, online interventions have the potential to reach a wider audience than tradi</w:t>
      </w:r>
      <w:r w:rsidR="00404549" w:rsidRPr="00EA56DD">
        <w:rPr>
          <w:rFonts w:ascii="Times New Roman" w:hAnsi="Times New Roman" w:cs="Times New Roman"/>
          <w:sz w:val="24"/>
          <w:szCs w:val="24"/>
        </w:rPr>
        <w:t>tional in-person psychotherapy</w:t>
      </w:r>
      <w:r w:rsidR="000C22B7" w:rsidRPr="00EA56DD">
        <w:rPr>
          <w:rFonts w:ascii="Times New Roman" w:hAnsi="Times New Roman" w:cs="Times New Roman"/>
          <w:sz w:val="24"/>
          <w:szCs w:val="24"/>
        </w:rPr>
        <w:t xml:space="preserve"> by offering a highly scalable intervention, that can be conveniently and privately accessed, with minimal resource costs per end user. These online interventions</w:t>
      </w:r>
      <w:r w:rsidR="00404549" w:rsidRPr="00EA56DD">
        <w:rPr>
          <w:rFonts w:ascii="Times New Roman" w:hAnsi="Times New Roman" w:cs="Times New Roman"/>
          <w:sz w:val="24"/>
          <w:szCs w:val="24"/>
        </w:rPr>
        <w:t xml:space="preserve"> have shown effectiveness in treating issues such as depression</w:t>
      </w:r>
      <w:r w:rsidR="000456B4" w:rsidRPr="00EA56DD">
        <w:rPr>
          <w:rFonts w:ascii="Times New Roman" w:hAnsi="Times New Roman" w:cs="Times New Roman"/>
          <w:sz w:val="24"/>
          <w:szCs w:val="24"/>
        </w:rPr>
        <w:t>, anxiety, and general mental health</w:t>
      </w:r>
      <w:r w:rsidR="004C0D0F" w:rsidRPr="00EA56DD">
        <w:rPr>
          <w:rFonts w:ascii="Times New Roman" w:hAnsi="Times New Roman" w:cs="Times New Roman"/>
          <w:sz w:val="24"/>
          <w:szCs w:val="24"/>
        </w:rPr>
        <w:t xml:space="preserve"> </w:t>
      </w:r>
      <w:r w:rsidR="004C0D0F" w:rsidRPr="00EA56DD">
        <w:rPr>
          <w:rFonts w:ascii="Times New Roman" w:hAnsi="Times New Roman" w:cs="Times New Roman"/>
          <w:sz w:val="24"/>
          <w:szCs w:val="24"/>
        </w:rPr>
        <w:fldChar w:fldCharType="begin"/>
      </w:r>
      <w:r w:rsidR="004C0D0F" w:rsidRPr="00EA56DD">
        <w:rPr>
          <w:rFonts w:ascii="Times New Roman" w:hAnsi="Times New Roman" w:cs="Times New Roman"/>
          <w:sz w:val="24"/>
          <w:szCs w:val="24"/>
        </w:rPr>
        <w:instrText xml:space="preserve"> ADDIN EN.CITE &lt;EndNote&gt;&lt;Cite&gt;&lt;Author&gt;Newman&lt;/Author&gt;&lt;Year&gt;2011&lt;/Year&gt;&lt;RecNum&gt;3&lt;/RecNum&gt;&lt;DisplayText&gt;(Newman, Szkodny, Llera, &amp;amp; Przeworski, 2011)&lt;/DisplayText&gt;&lt;record&gt;&lt;rec-number&gt;3&lt;/rec-number&gt;&lt;foreign-keys&gt;&lt;key app="EN" db-id="defrwwpw2r20tjetsdovz92isxpf2fvd5wvr" timestamp="1569940574"&gt;3&lt;/key&gt;&lt;/foreign-keys&gt;&lt;ref-type name="Journal Article"&gt;17&lt;/ref-type&gt;&lt;contributors&gt;&lt;authors&gt;&lt;author&gt;Newman, Michelle G&lt;/author&gt;&lt;author&gt;Szkodny, Lauren E&lt;/author&gt;&lt;author&gt;Llera, Sandra J&lt;/author&gt;&lt;author&gt;Przeworski, Amy&lt;/author&gt;&lt;/authors&gt;&lt;/contributors&gt;&lt;titles&gt;&lt;title&gt;A review of technology-assisted self-help and minimal contact therapies for anxiety and depression: is human contact necessary for therapeutic efficacy?&lt;/title&gt;&lt;secondary-title&gt;Clinical psychology review&lt;/secondary-title&gt;&lt;/titles&gt;&lt;periodical&gt;&lt;full-title&gt;Clinical Psychology Review&lt;/full-title&gt;&lt;/periodical&gt;&lt;pages&gt;89-103&lt;/pages&gt;&lt;volume&gt;31&lt;/volume&gt;&lt;number&gt;1&lt;/number&gt;&lt;dates&gt;&lt;year&gt;2011&lt;/year&gt;&lt;/dates&gt;&lt;isbn&gt;0272-7358&lt;/isbn&gt;&lt;urls&gt;&lt;/urls&gt;&lt;/record&gt;&lt;/Cite&gt;&lt;/EndNote&gt;</w:instrText>
      </w:r>
      <w:r w:rsidR="004C0D0F" w:rsidRPr="00EA56DD">
        <w:rPr>
          <w:rFonts w:ascii="Times New Roman" w:hAnsi="Times New Roman" w:cs="Times New Roman"/>
          <w:sz w:val="24"/>
          <w:szCs w:val="24"/>
        </w:rPr>
        <w:fldChar w:fldCharType="separate"/>
      </w:r>
      <w:r w:rsidR="004C0D0F" w:rsidRPr="00EA56DD">
        <w:rPr>
          <w:rFonts w:ascii="Times New Roman" w:hAnsi="Times New Roman" w:cs="Times New Roman"/>
          <w:noProof/>
          <w:sz w:val="24"/>
          <w:szCs w:val="24"/>
        </w:rPr>
        <w:t>(</w:t>
      </w:r>
      <w:r w:rsidR="000456B4" w:rsidRPr="00EA56DD">
        <w:rPr>
          <w:rFonts w:ascii="Times New Roman" w:hAnsi="Times New Roman" w:cs="Times New Roman"/>
          <w:noProof/>
          <w:sz w:val="24"/>
          <w:szCs w:val="24"/>
        </w:rPr>
        <w:t xml:space="preserve">e.g., Richards &amp; Richardson, 2012; </w:t>
      </w:r>
      <w:r w:rsidR="004C0D0F" w:rsidRPr="00EA56DD">
        <w:rPr>
          <w:rFonts w:ascii="Times New Roman" w:hAnsi="Times New Roman" w:cs="Times New Roman"/>
          <w:noProof/>
          <w:sz w:val="24"/>
          <w:szCs w:val="24"/>
        </w:rPr>
        <w:t>Newman, Szkodny, Llera, &amp; Przeworski, 2011)</w:t>
      </w:r>
      <w:r w:rsidR="004C0D0F" w:rsidRPr="00EA56DD">
        <w:rPr>
          <w:rFonts w:ascii="Times New Roman" w:hAnsi="Times New Roman" w:cs="Times New Roman"/>
          <w:sz w:val="24"/>
          <w:szCs w:val="24"/>
        </w:rPr>
        <w:fldChar w:fldCharType="end"/>
      </w:r>
      <w:r w:rsidR="000456B4" w:rsidRPr="00EA56DD">
        <w:rPr>
          <w:rFonts w:ascii="Times New Roman" w:hAnsi="Times New Roman" w:cs="Times New Roman"/>
          <w:sz w:val="24"/>
          <w:szCs w:val="24"/>
        </w:rPr>
        <w:t>.</w:t>
      </w:r>
      <w:r w:rsidR="004C0D0F" w:rsidRPr="00EA56DD">
        <w:rPr>
          <w:rFonts w:ascii="Times New Roman" w:hAnsi="Times New Roman" w:cs="Times New Roman"/>
          <w:sz w:val="24"/>
          <w:szCs w:val="24"/>
        </w:rPr>
        <w:t xml:space="preserve"> </w:t>
      </w:r>
      <w:r w:rsidR="00A50C35" w:rsidRPr="00EA56DD">
        <w:rPr>
          <w:rFonts w:ascii="Times New Roman" w:hAnsi="Times New Roman" w:cs="Times New Roman"/>
          <w:sz w:val="24"/>
          <w:szCs w:val="24"/>
        </w:rPr>
        <w:t xml:space="preserve">However, the impact of </w:t>
      </w:r>
      <w:r w:rsidR="000C22B7" w:rsidRPr="00EA56DD">
        <w:rPr>
          <w:rFonts w:ascii="Times New Roman" w:hAnsi="Times New Roman" w:cs="Times New Roman"/>
          <w:sz w:val="24"/>
          <w:szCs w:val="24"/>
        </w:rPr>
        <w:t>online</w:t>
      </w:r>
      <w:r w:rsidR="006A1CBD" w:rsidRPr="00EA56DD">
        <w:rPr>
          <w:rFonts w:ascii="Times New Roman" w:hAnsi="Times New Roman" w:cs="Times New Roman"/>
          <w:sz w:val="24"/>
          <w:szCs w:val="24"/>
        </w:rPr>
        <w:t xml:space="preserve"> self-guided intervent</w:t>
      </w:r>
      <w:r w:rsidR="00FE1603" w:rsidRPr="00EA56DD">
        <w:rPr>
          <w:rFonts w:ascii="Times New Roman" w:hAnsi="Times New Roman" w:cs="Times New Roman"/>
          <w:sz w:val="24"/>
          <w:szCs w:val="24"/>
        </w:rPr>
        <w:t>ions</w:t>
      </w:r>
      <w:r w:rsidR="000C22B7" w:rsidRPr="00EA56DD">
        <w:rPr>
          <w:rFonts w:ascii="Times New Roman" w:hAnsi="Times New Roman" w:cs="Times New Roman"/>
          <w:sz w:val="24"/>
          <w:szCs w:val="24"/>
        </w:rPr>
        <w:t xml:space="preserve"> </w:t>
      </w:r>
      <w:r w:rsidR="00BB1137" w:rsidRPr="00EA56DD">
        <w:rPr>
          <w:rFonts w:ascii="Times New Roman" w:hAnsi="Times New Roman" w:cs="Times New Roman"/>
          <w:sz w:val="24"/>
          <w:szCs w:val="24"/>
        </w:rPr>
        <w:t xml:space="preserve">is </w:t>
      </w:r>
      <w:r w:rsidR="00A50C35" w:rsidRPr="00EA56DD">
        <w:rPr>
          <w:rFonts w:ascii="Times New Roman" w:hAnsi="Times New Roman" w:cs="Times New Roman"/>
          <w:sz w:val="24"/>
          <w:szCs w:val="24"/>
        </w:rPr>
        <w:t>also</w:t>
      </w:r>
      <w:r w:rsidR="000C22B7" w:rsidRPr="00EA56DD">
        <w:rPr>
          <w:rFonts w:ascii="Times New Roman" w:hAnsi="Times New Roman" w:cs="Times New Roman"/>
          <w:sz w:val="24"/>
          <w:szCs w:val="24"/>
        </w:rPr>
        <w:t xml:space="preserve"> limited due to challenges</w:t>
      </w:r>
      <w:r w:rsidR="00FE1603" w:rsidRPr="00EA56DD">
        <w:rPr>
          <w:rFonts w:ascii="Times New Roman" w:hAnsi="Times New Roman" w:cs="Times New Roman"/>
          <w:sz w:val="24"/>
          <w:szCs w:val="24"/>
        </w:rPr>
        <w:t xml:space="preserve"> with engaging and retaining users. </w:t>
      </w:r>
    </w:p>
    <w:p w14:paraId="3A1577C3" w14:textId="2B99A6D3" w:rsidR="00A50C35" w:rsidRPr="00EA56DD" w:rsidRDefault="00FE1603" w:rsidP="00A50C35">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This may be due in part to </w:t>
      </w:r>
      <w:r w:rsidR="00666EC5" w:rsidRPr="00EA56DD">
        <w:rPr>
          <w:rFonts w:ascii="Times New Roman" w:hAnsi="Times New Roman" w:cs="Times New Roman"/>
          <w:sz w:val="24"/>
          <w:szCs w:val="24"/>
        </w:rPr>
        <w:t xml:space="preserve">the lack of </w:t>
      </w:r>
      <w:r w:rsidR="00A50C35" w:rsidRPr="00EA56DD">
        <w:rPr>
          <w:rFonts w:ascii="Times New Roman" w:hAnsi="Times New Roman" w:cs="Times New Roman"/>
          <w:sz w:val="24"/>
          <w:szCs w:val="24"/>
        </w:rPr>
        <w:t xml:space="preserve">personal </w:t>
      </w:r>
      <w:r w:rsidR="00666EC5" w:rsidRPr="00EA56DD">
        <w:rPr>
          <w:rFonts w:ascii="Times New Roman" w:hAnsi="Times New Roman" w:cs="Times New Roman"/>
          <w:sz w:val="24"/>
          <w:szCs w:val="24"/>
        </w:rPr>
        <w:t>contact</w:t>
      </w:r>
      <w:r w:rsidR="00854F5F" w:rsidRPr="00EA56DD">
        <w:rPr>
          <w:rFonts w:ascii="Times New Roman" w:hAnsi="Times New Roman" w:cs="Times New Roman"/>
          <w:sz w:val="24"/>
          <w:szCs w:val="24"/>
        </w:rPr>
        <w:t xml:space="preserve"> and guidance from</w:t>
      </w:r>
      <w:r w:rsidR="00666EC5" w:rsidRPr="00EA56DD">
        <w:rPr>
          <w:rFonts w:ascii="Times New Roman" w:hAnsi="Times New Roman" w:cs="Times New Roman"/>
          <w:sz w:val="24"/>
          <w:szCs w:val="24"/>
        </w:rPr>
        <w:t xml:space="preserve"> a provider</w:t>
      </w:r>
      <w:r w:rsidRPr="00EA56DD">
        <w:rPr>
          <w:rFonts w:ascii="Times New Roman" w:hAnsi="Times New Roman" w:cs="Times New Roman"/>
          <w:sz w:val="24"/>
          <w:szCs w:val="24"/>
        </w:rPr>
        <w:t xml:space="preserve"> when using online self-guided intervention</w:t>
      </w:r>
      <w:r w:rsidR="00A50C35" w:rsidRPr="00EA56DD">
        <w:rPr>
          <w:rFonts w:ascii="Times New Roman" w:hAnsi="Times New Roman" w:cs="Times New Roman"/>
          <w:sz w:val="24"/>
          <w:szCs w:val="24"/>
        </w:rPr>
        <w:t>s. Early meta-analyses indicated sup</w:t>
      </w:r>
      <w:r w:rsidRPr="00EA56DD">
        <w:rPr>
          <w:rFonts w:ascii="Times New Roman" w:hAnsi="Times New Roman" w:cs="Times New Roman"/>
          <w:sz w:val="24"/>
          <w:szCs w:val="24"/>
        </w:rPr>
        <w:t>erior outcomes when programs include</w:t>
      </w:r>
      <w:r w:rsidR="008B0396" w:rsidRPr="00EA56DD">
        <w:rPr>
          <w:rFonts w:ascii="Times New Roman" w:hAnsi="Times New Roman" w:cs="Times New Roman"/>
          <w:sz w:val="24"/>
          <w:szCs w:val="24"/>
        </w:rPr>
        <w:t>d</w:t>
      </w:r>
      <w:r w:rsidRPr="00EA56DD">
        <w:rPr>
          <w:rFonts w:ascii="Times New Roman" w:hAnsi="Times New Roman" w:cs="Times New Roman"/>
          <w:sz w:val="24"/>
          <w:szCs w:val="24"/>
        </w:rPr>
        <w:t xml:space="preserve"> guided support from a paraprofessional or professional (</w:t>
      </w:r>
      <w:r w:rsidR="00771C2A" w:rsidRPr="00EA56DD">
        <w:rPr>
          <w:rFonts w:ascii="Times New Roman" w:hAnsi="Times New Roman" w:cs="Times New Roman"/>
          <w:sz w:val="24"/>
          <w:szCs w:val="24"/>
        </w:rPr>
        <w:t xml:space="preserve">e.g., </w:t>
      </w:r>
      <w:r w:rsidR="00771C2A" w:rsidRPr="00EA56DD">
        <w:rPr>
          <w:rFonts w:ascii="Times New Roman" w:hAnsi="Times New Roman" w:cs="Times New Roman"/>
          <w:noProof/>
          <w:sz w:val="24"/>
          <w:szCs w:val="24"/>
        </w:rPr>
        <w:t xml:space="preserve">Richards &amp; Richardson, 2012; </w:t>
      </w:r>
      <w:proofErr w:type="spellStart"/>
      <w:r w:rsidR="00C821C3" w:rsidRPr="00EA56DD">
        <w:rPr>
          <w:rFonts w:ascii="Times New Roman" w:hAnsi="Times New Roman" w:cs="Times New Roman"/>
          <w:sz w:val="24"/>
          <w:szCs w:val="24"/>
        </w:rPr>
        <w:t>Spek</w:t>
      </w:r>
      <w:proofErr w:type="spellEnd"/>
      <w:r w:rsidR="00C821C3" w:rsidRPr="00EA56DD">
        <w:rPr>
          <w:rFonts w:ascii="Times New Roman" w:hAnsi="Times New Roman" w:cs="Times New Roman"/>
          <w:sz w:val="24"/>
          <w:szCs w:val="24"/>
        </w:rPr>
        <w:t xml:space="preserve"> et al., 2007</w:t>
      </w:r>
      <w:r w:rsidRPr="00EA56DD">
        <w:rPr>
          <w:rFonts w:ascii="Times New Roman" w:hAnsi="Times New Roman" w:cs="Times New Roman"/>
          <w:sz w:val="24"/>
          <w:szCs w:val="24"/>
        </w:rPr>
        <w:t xml:space="preserve">). </w:t>
      </w:r>
      <w:r w:rsidR="00A50C35" w:rsidRPr="00EA56DD">
        <w:rPr>
          <w:rFonts w:ascii="Times New Roman" w:hAnsi="Times New Roman" w:cs="Times New Roman"/>
          <w:sz w:val="24"/>
          <w:szCs w:val="24"/>
        </w:rPr>
        <w:t xml:space="preserve">Based on these findings and the </w:t>
      </w:r>
      <w:r w:rsidR="004B5CE9" w:rsidRPr="00EA56DD">
        <w:rPr>
          <w:rFonts w:ascii="Times New Roman" w:hAnsi="Times New Roman" w:cs="Times New Roman"/>
          <w:sz w:val="24"/>
          <w:szCs w:val="24"/>
        </w:rPr>
        <w:t>theorized</w:t>
      </w:r>
      <w:r w:rsidR="00A50C35" w:rsidRPr="00EA56DD">
        <w:rPr>
          <w:rFonts w:ascii="Times New Roman" w:hAnsi="Times New Roman" w:cs="Times New Roman"/>
          <w:sz w:val="24"/>
          <w:szCs w:val="24"/>
        </w:rPr>
        <w:t xml:space="preserve"> benefits of personal contact to enhance adherence to otherwise self-guided interventions</w:t>
      </w:r>
      <w:r w:rsidR="004B5CE9" w:rsidRPr="00EA56DD">
        <w:rPr>
          <w:rFonts w:ascii="Times New Roman" w:hAnsi="Times New Roman" w:cs="Times New Roman"/>
          <w:sz w:val="24"/>
          <w:szCs w:val="24"/>
        </w:rPr>
        <w:t xml:space="preserve"> (Mohr et al., 2011)</w:t>
      </w:r>
      <w:r w:rsidR="00A50C35" w:rsidRPr="00EA56DD">
        <w:rPr>
          <w:rFonts w:ascii="Times New Roman" w:hAnsi="Times New Roman" w:cs="Times New Roman"/>
          <w:sz w:val="24"/>
          <w:szCs w:val="24"/>
        </w:rPr>
        <w:t>, many studies</w:t>
      </w:r>
      <w:r w:rsidR="00785E48" w:rsidRPr="00EA56DD">
        <w:rPr>
          <w:rFonts w:ascii="Times New Roman" w:hAnsi="Times New Roman" w:cs="Times New Roman"/>
          <w:sz w:val="24"/>
          <w:szCs w:val="24"/>
        </w:rPr>
        <w:t xml:space="preserve"> have supplemented online </w:t>
      </w:r>
      <w:r w:rsidR="00A50C35" w:rsidRPr="00EA56DD">
        <w:rPr>
          <w:rFonts w:ascii="Times New Roman" w:hAnsi="Times New Roman" w:cs="Times New Roman"/>
          <w:sz w:val="24"/>
          <w:szCs w:val="24"/>
        </w:rPr>
        <w:t>programs</w:t>
      </w:r>
      <w:r w:rsidR="004B5CE9" w:rsidRPr="00EA56DD">
        <w:rPr>
          <w:rFonts w:ascii="Times New Roman" w:hAnsi="Times New Roman" w:cs="Times New Roman"/>
          <w:sz w:val="24"/>
          <w:szCs w:val="24"/>
        </w:rPr>
        <w:t xml:space="preserve"> with additional guided support through medium</w:t>
      </w:r>
      <w:r w:rsidR="00BB1137" w:rsidRPr="00EA56DD">
        <w:rPr>
          <w:rFonts w:ascii="Times New Roman" w:hAnsi="Times New Roman" w:cs="Times New Roman"/>
          <w:sz w:val="24"/>
          <w:szCs w:val="24"/>
        </w:rPr>
        <w:t>s</w:t>
      </w:r>
      <w:r w:rsidR="004B5CE9" w:rsidRPr="00EA56DD">
        <w:rPr>
          <w:rFonts w:ascii="Times New Roman" w:hAnsi="Times New Roman" w:cs="Times New Roman"/>
          <w:sz w:val="24"/>
          <w:szCs w:val="24"/>
        </w:rPr>
        <w:t xml:space="preserve"> such as email or phone calls</w:t>
      </w:r>
      <w:r w:rsidR="00785E48" w:rsidRPr="00EA56DD">
        <w:rPr>
          <w:rFonts w:ascii="Times New Roman" w:hAnsi="Times New Roman" w:cs="Times New Roman"/>
          <w:sz w:val="24"/>
          <w:szCs w:val="24"/>
        </w:rPr>
        <w:t xml:space="preserve">. </w:t>
      </w:r>
    </w:p>
    <w:p w14:paraId="45231BEC" w14:textId="3A420772" w:rsidR="00B043C5" w:rsidRPr="00EA56DD" w:rsidRDefault="00A50C35" w:rsidP="00A43BAA">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More recently, </w:t>
      </w:r>
      <w:r w:rsidR="00C821C3" w:rsidRPr="00EA56DD">
        <w:rPr>
          <w:rFonts w:ascii="Times New Roman" w:hAnsi="Times New Roman" w:cs="Times New Roman"/>
          <w:sz w:val="24"/>
          <w:szCs w:val="24"/>
        </w:rPr>
        <w:t>research has</w:t>
      </w:r>
      <w:r w:rsidRPr="00EA56DD">
        <w:rPr>
          <w:rFonts w:ascii="Times New Roman" w:hAnsi="Times New Roman" w:cs="Times New Roman"/>
          <w:sz w:val="24"/>
          <w:szCs w:val="24"/>
        </w:rPr>
        <w:t xml:space="preserve"> directly compared online programs with or without guidance</w:t>
      </w:r>
      <w:r w:rsidR="008920E1" w:rsidRPr="00EA56DD">
        <w:rPr>
          <w:rFonts w:ascii="Times New Roman" w:hAnsi="Times New Roman" w:cs="Times New Roman"/>
          <w:sz w:val="24"/>
          <w:szCs w:val="24"/>
        </w:rPr>
        <w:t>, with mixed results (Shim et al., 2017)</w:t>
      </w:r>
      <w:r w:rsidRPr="00EA56DD">
        <w:rPr>
          <w:rFonts w:ascii="Times New Roman" w:hAnsi="Times New Roman" w:cs="Times New Roman"/>
          <w:sz w:val="24"/>
          <w:szCs w:val="24"/>
        </w:rPr>
        <w:t xml:space="preserve">. </w:t>
      </w:r>
      <w:r w:rsidR="00C821C3" w:rsidRPr="00EA56DD">
        <w:rPr>
          <w:rFonts w:ascii="Times New Roman" w:hAnsi="Times New Roman" w:cs="Times New Roman"/>
          <w:sz w:val="24"/>
          <w:szCs w:val="24"/>
        </w:rPr>
        <w:t xml:space="preserve">In some </w:t>
      </w:r>
      <w:r w:rsidR="00857DE2" w:rsidRPr="00EA56DD">
        <w:rPr>
          <w:rFonts w:ascii="Times New Roman" w:hAnsi="Times New Roman" w:cs="Times New Roman"/>
          <w:sz w:val="24"/>
          <w:szCs w:val="24"/>
        </w:rPr>
        <w:t>studies</w:t>
      </w:r>
      <w:r w:rsidR="00C821C3" w:rsidRPr="00EA56DD">
        <w:rPr>
          <w:rFonts w:ascii="Times New Roman" w:hAnsi="Times New Roman" w:cs="Times New Roman"/>
          <w:sz w:val="24"/>
          <w:szCs w:val="24"/>
        </w:rPr>
        <w:t xml:space="preserve">, no differences </w:t>
      </w:r>
      <w:r w:rsidR="00CD3CAD" w:rsidRPr="00EA56DD">
        <w:rPr>
          <w:rFonts w:ascii="Times New Roman" w:hAnsi="Times New Roman" w:cs="Times New Roman"/>
          <w:sz w:val="24"/>
          <w:szCs w:val="24"/>
        </w:rPr>
        <w:t>we</w:t>
      </w:r>
      <w:r w:rsidR="00857DE2" w:rsidRPr="00EA56DD">
        <w:rPr>
          <w:rFonts w:ascii="Times New Roman" w:hAnsi="Times New Roman" w:cs="Times New Roman"/>
          <w:sz w:val="24"/>
          <w:szCs w:val="24"/>
        </w:rPr>
        <w:t xml:space="preserve">re found </w:t>
      </w:r>
      <w:r w:rsidR="00C821C3" w:rsidRPr="00EA56DD">
        <w:rPr>
          <w:rFonts w:ascii="Times New Roman" w:hAnsi="Times New Roman" w:cs="Times New Roman"/>
          <w:sz w:val="24"/>
          <w:szCs w:val="24"/>
        </w:rPr>
        <w:t xml:space="preserve">between online programs that include </w:t>
      </w:r>
      <w:r w:rsidR="00854F5F" w:rsidRPr="00EA56DD">
        <w:rPr>
          <w:rFonts w:ascii="Times New Roman" w:hAnsi="Times New Roman" w:cs="Times New Roman"/>
          <w:sz w:val="24"/>
          <w:szCs w:val="24"/>
        </w:rPr>
        <w:t>guided support</w:t>
      </w:r>
      <w:r w:rsidR="00857DE2" w:rsidRPr="00EA56DD">
        <w:rPr>
          <w:rFonts w:ascii="Times New Roman" w:hAnsi="Times New Roman" w:cs="Times New Roman"/>
          <w:sz w:val="24"/>
          <w:szCs w:val="24"/>
        </w:rPr>
        <w:t xml:space="preserve"> or not on treatment outcomes, </w:t>
      </w:r>
      <w:r w:rsidR="00C821C3" w:rsidRPr="00EA56DD">
        <w:rPr>
          <w:rFonts w:ascii="Times New Roman" w:hAnsi="Times New Roman" w:cs="Times New Roman"/>
          <w:sz w:val="24"/>
          <w:szCs w:val="24"/>
        </w:rPr>
        <w:t xml:space="preserve">program engagement </w:t>
      </w:r>
      <w:r w:rsidR="00857DE2" w:rsidRPr="00EA56DD">
        <w:rPr>
          <w:rFonts w:ascii="Times New Roman" w:hAnsi="Times New Roman" w:cs="Times New Roman"/>
          <w:sz w:val="24"/>
          <w:szCs w:val="24"/>
        </w:rPr>
        <w:t>and</w:t>
      </w:r>
      <w:r w:rsidR="00C821C3" w:rsidRPr="00EA56DD">
        <w:rPr>
          <w:rFonts w:ascii="Times New Roman" w:hAnsi="Times New Roman" w:cs="Times New Roman"/>
          <w:sz w:val="24"/>
          <w:szCs w:val="24"/>
        </w:rPr>
        <w:t xml:space="preserve"> program satisfaction (</w:t>
      </w:r>
      <w:r w:rsidR="00857DE2" w:rsidRPr="00EA56DD">
        <w:rPr>
          <w:rFonts w:ascii="Times New Roman" w:hAnsi="Times New Roman" w:cs="Times New Roman"/>
          <w:sz w:val="24"/>
          <w:szCs w:val="24"/>
        </w:rPr>
        <w:t xml:space="preserve">e.g., </w:t>
      </w:r>
      <w:r w:rsidR="0069033D" w:rsidRPr="00EA56DD">
        <w:rPr>
          <w:rFonts w:ascii="Times New Roman" w:hAnsi="Times New Roman" w:cs="Times New Roman"/>
          <w:sz w:val="24"/>
          <w:szCs w:val="24"/>
        </w:rPr>
        <w:t xml:space="preserve">Dear et al., 2015; </w:t>
      </w:r>
      <w:proofErr w:type="spellStart"/>
      <w:r w:rsidR="00A346F5" w:rsidRPr="00EA56DD">
        <w:rPr>
          <w:rFonts w:ascii="Times New Roman" w:hAnsi="Times New Roman" w:cs="Times New Roman"/>
          <w:sz w:val="24"/>
          <w:szCs w:val="24"/>
        </w:rPr>
        <w:t>Fledderus</w:t>
      </w:r>
      <w:proofErr w:type="spellEnd"/>
      <w:r w:rsidR="00A346F5" w:rsidRPr="00EA56DD">
        <w:rPr>
          <w:rFonts w:ascii="Times New Roman" w:hAnsi="Times New Roman" w:cs="Times New Roman"/>
          <w:sz w:val="24"/>
          <w:szCs w:val="24"/>
        </w:rPr>
        <w:t xml:space="preserve"> et al., 2012; </w:t>
      </w:r>
      <w:proofErr w:type="spellStart"/>
      <w:r w:rsidR="00857DE2" w:rsidRPr="00EA56DD">
        <w:rPr>
          <w:rFonts w:ascii="Times New Roman" w:hAnsi="Times New Roman" w:cs="Times New Roman"/>
          <w:sz w:val="24"/>
          <w:szCs w:val="24"/>
        </w:rPr>
        <w:t>Titov</w:t>
      </w:r>
      <w:proofErr w:type="spellEnd"/>
      <w:r w:rsidR="00857DE2" w:rsidRPr="00EA56DD">
        <w:rPr>
          <w:rFonts w:ascii="Times New Roman" w:hAnsi="Times New Roman" w:cs="Times New Roman"/>
          <w:sz w:val="24"/>
          <w:szCs w:val="24"/>
        </w:rPr>
        <w:t xml:space="preserve"> et al., 2016)</w:t>
      </w:r>
      <w:r w:rsidR="006478B1" w:rsidRPr="00EA56DD">
        <w:rPr>
          <w:rFonts w:ascii="Times New Roman" w:hAnsi="Times New Roman" w:cs="Times New Roman"/>
          <w:sz w:val="24"/>
          <w:szCs w:val="24"/>
        </w:rPr>
        <w:t xml:space="preserve">. </w:t>
      </w:r>
      <w:r w:rsidR="00857DE2" w:rsidRPr="00EA56DD">
        <w:rPr>
          <w:rFonts w:ascii="Times New Roman" w:hAnsi="Times New Roman" w:cs="Times New Roman"/>
          <w:sz w:val="24"/>
          <w:szCs w:val="24"/>
        </w:rPr>
        <w:t>O</w:t>
      </w:r>
      <w:r w:rsidR="00C821C3" w:rsidRPr="00EA56DD">
        <w:rPr>
          <w:rFonts w:ascii="Times New Roman" w:hAnsi="Times New Roman" w:cs="Times New Roman"/>
          <w:sz w:val="24"/>
          <w:szCs w:val="24"/>
        </w:rPr>
        <w:t xml:space="preserve">ther studies </w:t>
      </w:r>
      <w:r w:rsidR="006478B1" w:rsidRPr="00EA56DD">
        <w:rPr>
          <w:rFonts w:ascii="Times New Roman" w:hAnsi="Times New Roman" w:cs="Times New Roman"/>
          <w:sz w:val="24"/>
          <w:szCs w:val="24"/>
        </w:rPr>
        <w:t>have found</w:t>
      </w:r>
      <w:r w:rsidR="00C821C3" w:rsidRPr="00EA56DD">
        <w:rPr>
          <w:rFonts w:ascii="Times New Roman" w:hAnsi="Times New Roman" w:cs="Times New Roman"/>
          <w:sz w:val="24"/>
          <w:szCs w:val="24"/>
        </w:rPr>
        <w:t xml:space="preserve"> the addition of </w:t>
      </w:r>
      <w:r w:rsidR="00854F5F" w:rsidRPr="00EA56DD">
        <w:rPr>
          <w:rFonts w:ascii="Times New Roman" w:hAnsi="Times New Roman" w:cs="Times New Roman"/>
          <w:sz w:val="24"/>
          <w:szCs w:val="24"/>
        </w:rPr>
        <w:t>guided support</w:t>
      </w:r>
      <w:r w:rsidR="00C821C3" w:rsidRPr="00EA56DD">
        <w:rPr>
          <w:rFonts w:ascii="Times New Roman" w:hAnsi="Times New Roman" w:cs="Times New Roman"/>
          <w:sz w:val="24"/>
          <w:szCs w:val="24"/>
        </w:rPr>
        <w:t xml:space="preserve"> improves one or more of these factors (</w:t>
      </w:r>
      <w:r w:rsidR="00A346F5" w:rsidRPr="00EA56DD">
        <w:rPr>
          <w:rFonts w:ascii="Times New Roman" w:hAnsi="Times New Roman" w:cs="Times New Roman"/>
          <w:sz w:val="24"/>
          <w:szCs w:val="24"/>
        </w:rPr>
        <w:t xml:space="preserve">e.g., </w:t>
      </w:r>
      <w:proofErr w:type="spellStart"/>
      <w:r w:rsidR="00A346F5" w:rsidRPr="00EA56DD">
        <w:rPr>
          <w:rFonts w:ascii="Times New Roman" w:hAnsi="Times New Roman" w:cs="Times New Roman"/>
          <w:sz w:val="24"/>
          <w:szCs w:val="24"/>
        </w:rPr>
        <w:t>Aardoom</w:t>
      </w:r>
      <w:proofErr w:type="spellEnd"/>
      <w:r w:rsidR="00A346F5" w:rsidRPr="00EA56DD">
        <w:rPr>
          <w:rFonts w:ascii="Times New Roman" w:hAnsi="Times New Roman" w:cs="Times New Roman"/>
          <w:sz w:val="24"/>
          <w:szCs w:val="24"/>
        </w:rPr>
        <w:t xml:space="preserve"> et al., 2016; Ivanova et al., 2016; </w:t>
      </w:r>
      <w:proofErr w:type="spellStart"/>
      <w:r w:rsidR="00C94480" w:rsidRPr="00EA56DD">
        <w:rPr>
          <w:rFonts w:ascii="Times New Roman" w:hAnsi="Times New Roman" w:cs="Times New Roman"/>
          <w:sz w:val="24"/>
          <w:szCs w:val="24"/>
        </w:rPr>
        <w:t>Kass</w:t>
      </w:r>
      <w:proofErr w:type="spellEnd"/>
      <w:r w:rsidR="00C94480" w:rsidRPr="00EA56DD">
        <w:rPr>
          <w:rFonts w:ascii="Times New Roman" w:hAnsi="Times New Roman" w:cs="Times New Roman"/>
          <w:sz w:val="24"/>
          <w:szCs w:val="24"/>
        </w:rPr>
        <w:t xml:space="preserve"> et al., 2014</w:t>
      </w:r>
      <w:r w:rsidR="00C94480">
        <w:rPr>
          <w:rFonts w:ascii="Times New Roman" w:hAnsi="Times New Roman" w:cs="Times New Roman"/>
          <w:sz w:val="24"/>
          <w:szCs w:val="24"/>
        </w:rPr>
        <w:t xml:space="preserve">; </w:t>
      </w:r>
      <w:r w:rsidR="00A346F5" w:rsidRPr="00EA56DD">
        <w:rPr>
          <w:rFonts w:ascii="Times New Roman" w:hAnsi="Times New Roman" w:cs="Times New Roman"/>
          <w:noProof/>
          <w:sz w:val="24"/>
          <w:szCs w:val="24"/>
        </w:rPr>
        <w:t>Mohr et al., 2013</w:t>
      </w:r>
      <w:r w:rsidR="0069033D" w:rsidRPr="00EA56DD">
        <w:rPr>
          <w:rFonts w:ascii="Times New Roman" w:hAnsi="Times New Roman" w:cs="Times New Roman"/>
          <w:sz w:val="24"/>
          <w:szCs w:val="24"/>
        </w:rPr>
        <w:t>)</w:t>
      </w:r>
      <w:r w:rsidR="00F84881" w:rsidRPr="00EA56DD">
        <w:rPr>
          <w:rFonts w:ascii="Times New Roman" w:hAnsi="Times New Roman" w:cs="Times New Roman"/>
          <w:sz w:val="24"/>
          <w:szCs w:val="24"/>
        </w:rPr>
        <w:t xml:space="preserve">, but </w:t>
      </w:r>
      <w:r w:rsidR="0069033D" w:rsidRPr="00EA56DD">
        <w:rPr>
          <w:rFonts w:ascii="Times New Roman" w:hAnsi="Times New Roman" w:cs="Times New Roman"/>
          <w:sz w:val="24"/>
          <w:szCs w:val="24"/>
        </w:rPr>
        <w:t>r</w:t>
      </w:r>
      <w:r w:rsidR="00C821C3" w:rsidRPr="00EA56DD">
        <w:rPr>
          <w:rFonts w:ascii="Times New Roman" w:hAnsi="Times New Roman" w:cs="Times New Roman"/>
          <w:sz w:val="24"/>
          <w:szCs w:val="24"/>
        </w:rPr>
        <w:t xml:space="preserve">esults are </w:t>
      </w:r>
      <w:r w:rsidR="006478B1" w:rsidRPr="00EA56DD">
        <w:rPr>
          <w:rFonts w:ascii="Times New Roman" w:hAnsi="Times New Roman" w:cs="Times New Roman"/>
          <w:sz w:val="24"/>
          <w:szCs w:val="24"/>
        </w:rPr>
        <w:t xml:space="preserve">typically still </w:t>
      </w:r>
      <w:r w:rsidR="00C821C3" w:rsidRPr="00EA56DD">
        <w:rPr>
          <w:rFonts w:ascii="Times New Roman" w:hAnsi="Times New Roman" w:cs="Times New Roman"/>
          <w:sz w:val="24"/>
          <w:szCs w:val="24"/>
        </w:rPr>
        <w:t>mixed within individual trials</w:t>
      </w:r>
      <w:r w:rsidR="00F84881" w:rsidRPr="00EA56DD">
        <w:rPr>
          <w:rFonts w:ascii="Times New Roman" w:hAnsi="Times New Roman" w:cs="Times New Roman"/>
          <w:sz w:val="24"/>
          <w:szCs w:val="24"/>
        </w:rPr>
        <w:t>. F</w:t>
      </w:r>
      <w:r w:rsidR="0069033D" w:rsidRPr="00EA56DD">
        <w:rPr>
          <w:rFonts w:ascii="Times New Roman" w:hAnsi="Times New Roman" w:cs="Times New Roman"/>
          <w:sz w:val="24"/>
          <w:szCs w:val="24"/>
        </w:rPr>
        <w:t>or example</w:t>
      </w:r>
      <w:r w:rsidR="00F84881" w:rsidRPr="00EA56DD">
        <w:rPr>
          <w:rFonts w:ascii="Times New Roman" w:hAnsi="Times New Roman" w:cs="Times New Roman"/>
          <w:sz w:val="24"/>
          <w:szCs w:val="24"/>
        </w:rPr>
        <w:t>,</w:t>
      </w:r>
      <w:r w:rsidR="0069033D" w:rsidRPr="00EA56DD">
        <w:rPr>
          <w:rFonts w:ascii="Times New Roman" w:hAnsi="Times New Roman" w:cs="Times New Roman"/>
          <w:sz w:val="24"/>
          <w:szCs w:val="24"/>
        </w:rPr>
        <w:t xml:space="preserve"> </w:t>
      </w:r>
      <w:r w:rsidR="00A346F5" w:rsidRPr="00EA56DD">
        <w:rPr>
          <w:rFonts w:ascii="Times New Roman" w:hAnsi="Times New Roman" w:cs="Times New Roman"/>
          <w:sz w:val="24"/>
          <w:szCs w:val="24"/>
        </w:rPr>
        <w:t xml:space="preserve">in some studies </w:t>
      </w:r>
      <w:r w:rsidR="0069033D" w:rsidRPr="00EA56DD">
        <w:rPr>
          <w:rFonts w:ascii="Times New Roman" w:hAnsi="Times New Roman" w:cs="Times New Roman"/>
          <w:sz w:val="24"/>
          <w:szCs w:val="24"/>
        </w:rPr>
        <w:t xml:space="preserve">the addition of text or </w:t>
      </w:r>
      <w:r w:rsidR="0069033D" w:rsidRPr="00EA56DD">
        <w:rPr>
          <w:rFonts w:ascii="Times New Roman" w:hAnsi="Times New Roman" w:cs="Times New Roman"/>
          <w:sz w:val="24"/>
          <w:szCs w:val="24"/>
        </w:rPr>
        <w:lastRenderedPageBreak/>
        <w:t xml:space="preserve">phone-based </w:t>
      </w:r>
      <w:r w:rsidR="00854F5F" w:rsidRPr="00EA56DD">
        <w:rPr>
          <w:rFonts w:ascii="Times New Roman" w:hAnsi="Times New Roman" w:cs="Times New Roman"/>
          <w:sz w:val="24"/>
          <w:szCs w:val="24"/>
        </w:rPr>
        <w:t>support</w:t>
      </w:r>
      <w:r w:rsidR="00A346F5" w:rsidRPr="00EA56DD">
        <w:rPr>
          <w:rFonts w:ascii="Times New Roman" w:hAnsi="Times New Roman" w:cs="Times New Roman"/>
          <w:sz w:val="24"/>
          <w:szCs w:val="24"/>
        </w:rPr>
        <w:t xml:space="preserve"> did not improve treatment outcomes, but did improve engagement</w:t>
      </w:r>
      <w:r w:rsidR="0069033D" w:rsidRPr="00EA56DD">
        <w:rPr>
          <w:rFonts w:ascii="Times New Roman" w:hAnsi="Times New Roman" w:cs="Times New Roman"/>
          <w:sz w:val="24"/>
          <w:szCs w:val="24"/>
        </w:rPr>
        <w:t xml:space="preserve"> (e.g., Ivanova et al., 2016; </w:t>
      </w:r>
      <w:r w:rsidR="0069033D" w:rsidRPr="00EA56DD">
        <w:rPr>
          <w:rFonts w:ascii="Times New Roman" w:hAnsi="Times New Roman" w:cs="Times New Roman"/>
          <w:noProof/>
          <w:sz w:val="24"/>
          <w:szCs w:val="24"/>
        </w:rPr>
        <w:t>Mohr et al., 2013</w:t>
      </w:r>
      <w:r w:rsidR="0069033D" w:rsidRPr="00EA56DD">
        <w:rPr>
          <w:rFonts w:ascii="Times New Roman" w:hAnsi="Times New Roman" w:cs="Times New Roman"/>
          <w:sz w:val="24"/>
          <w:szCs w:val="24"/>
        </w:rPr>
        <w:t>)</w:t>
      </w:r>
      <w:r w:rsidR="00A346F5" w:rsidRPr="00EA56DD">
        <w:rPr>
          <w:rFonts w:ascii="Times New Roman" w:hAnsi="Times New Roman" w:cs="Times New Roman"/>
          <w:sz w:val="24"/>
          <w:szCs w:val="24"/>
        </w:rPr>
        <w:t xml:space="preserve"> or satisfaction </w:t>
      </w:r>
      <w:r w:rsidR="00F84881" w:rsidRPr="00EA56DD">
        <w:rPr>
          <w:rFonts w:ascii="Times New Roman" w:hAnsi="Times New Roman" w:cs="Times New Roman"/>
          <w:sz w:val="24"/>
          <w:szCs w:val="24"/>
        </w:rPr>
        <w:t xml:space="preserve">(e.g., </w:t>
      </w:r>
      <w:proofErr w:type="spellStart"/>
      <w:r w:rsidR="00F84881" w:rsidRPr="00EA56DD">
        <w:rPr>
          <w:rFonts w:ascii="Times New Roman" w:hAnsi="Times New Roman" w:cs="Times New Roman"/>
          <w:sz w:val="24"/>
          <w:szCs w:val="24"/>
        </w:rPr>
        <w:t>Aardoom</w:t>
      </w:r>
      <w:proofErr w:type="spellEnd"/>
      <w:r w:rsidR="00F84881" w:rsidRPr="00EA56DD">
        <w:rPr>
          <w:rFonts w:ascii="Times New Roman" w:hAnsi="Times New Roman" w:cs="Times New Roman"/>
          <w:sz w:val="24"/>
          <w:szCs w:val="24"/>
        </w:rPr>
        <w:t xml:space="preserve"> et al., 2016)</w:t>
      </w:r>
      <w:r w:rsidR="0069033D" w:rsidRPr="00EA56DD">
        <w:rPr>
          <w:rFonts w:ascii="Times New Roman" w:hAnsi="Times New Roman" w:cs="Times New Roman"/>
          <w:sz w:val="24"/>
          <w:szCs w:val="24"/>
        </w:rPr>
        <w:t xml:space="preserve">. </w:t>
      </w:r>
      <w:r w:rsidR="00854F5F" w:rsidRPr="00EA56DD">
        <w:rPr>
          <w:rFonts w:ascii="Times New Roman" w:hAnsi="Times New Roman" w:cs="Times New Roman"/>
          <w:sz w:val="24"/>
          <w:szCs w:val="24"/>
        </w:rPr>
        <w:t>T</w:t>
      </w:r>
      <w:r w:rsidR="0083270B" w:rsidRPr="00EA56DD">
        <w:rPr>
          <w:rFonts w:ascii="Times New Roman" w:hAnsi="Times New Roman" w:cs="Times New Roman"/>
          <w:sz w:val="24"/>
          <w:szCs w:val="24"/>
        </w:rPr>
        <w:t xml:space="preserve">he mixed effects from </w:t>
      </w:r>
      <w:r w:rsidR="00854F5F" w:rsidRPr="00EA56DD">
        <w:rPr>
          <w:rFonts w:ascii="Times New Roman" w:hAnsi="Times New Roman" w:cs="Times New Roman"/>
          <w:sz w:val="24"/>
          <w:szCs w:val="24"/>
        </w:rPr>
        <w:t>guided support</w:t>
      </w:r>
      <w:r w:rsidR="00B043C5" w:rsidRPr="00EA56DD">
        <w:rPr>
          <w:rFonts w:ascii="Times New Roman" w:hAnsi="Times New Roman" w:cs="Times New Roman"/>
          <w:sz w:val="24"/>
          <w:szCs w:val="24"/>
        </w:rPr>
        <w:t xml:space="preserve"> may be attributable to </w:t>
      </w:r>
      <w:r w:rsidR="00854F5F" w:rsidRPr="00EA56DD">
        <w:rPr>
          <w:rFonts w:ascii="Times New Roman" w:hAnsi="Times New Roman" w:cs="Times New Roman"/>
          <w:sz w:val="24"/>
          <w:szCs w:val="24"/>
        </w:rPr>
        <w:t>factors such as the</w:t>
      </w:r>
      <w:r w:rsidR="00B043C5" w:rsidRPr="00EA56DD">
        <w:rPr>
          <w:rFonts w:ascii="Times New Roman" w:hAnsi="Times New Roman" w:cs="Times New Roman"/>
          <w:sz w:val="24"/>
          <w:szCs w:val="24"/>
        </w:rPr>
        <w:t xml:space="preserve"> type</w:t>
      </w:r>
      <w:r w:rsidR="0083270B" w:rsidRPr="00EA56DD">
        <w:rPr>
          <w:rFonts w:ascii="Times New Roman" w:hAnsi="Times New Roman" w:cs="Times New Roman"/>
          <w:sz w:val="24"/>
          <w:szCs w:val="24"/>
        </w:rPr>
        <w:t>s</w:t>
      </w:r>
      <w:r w:rsidR="00854F5F" w:rsidRPr="00EA56DD">
        <w:rPr>
          <w:rFonts w:ascii="Times New Roman" w:hAnsi="Times New Roman" w:cs="Times New Roman"/>
          <w:sz w:val="24"/>
          <w:szCs w:val="24"/>
        </w:rPr>
        <w:t xml:space="preserve"> of support provided, </w:t>
      </w:r>
      <w:r w:rsidR="00B043C5" w:rsidRPr="00EA56DD">
        <w:rPr>
          <w:rFonts w:ascii="Times New Roman" w:hAnsi="Times New Roman" w:cs="Times New Roman"/>
          <w:sz w:val="24"/>
          <w:szCs w:val="24"/>
        </w:rPr>
        <w:t>target population</w:t>
      </w:r>
      <w:r w:rsidR="00854F5F" w:rsidRPr="00EA56DD">
        <w:rPr>
          <w:rFonts w:ascii="Times New Roman" w:hAnsi="Times New Roman" w:cs="Times New Roman"/>
          <w:sz w:val="24"/>
          <w:szCs w:val="24"/>
        </w:rPr>
        <w:t xml:space="preserve">s, and treatment approach, which </w:t>
      </w:r>
      <w:r w:rsidR="0083270B" w:rsidRPr="00EA56DD">
        <w:rPr>
          <w:rFonts w:ascii="Times New Roman" w:hAnsi="Times New Roman" w:cs="Times New Roman"/>
          <w:sz w:val="24"/>
          <w:szCs w:val="24"/>
        </w:rPr>
        <w:t>vary by study</w:t>
      </w:r>
      <w:r w:rsidR="00B043C5" w:rsidRPr="00EA56DD">
        <w:rPr>
          <w:rFonts w:ascii="Times New Roman" w:hAnsi="Times New Roman" w:cs="Times New Roman"/>
          <w:sz w:val="24"/>
          <w:szCs w:val="24"/>
        </w:rPr>
        <w:t xml:space="preserve">. </w:t>
      </w:r>
      <w:r w:rsidR="00F25F79" w:rsidRPr="00EA56DD">
        <w:rPr>
          <w:rFonts w:ascii="Times New Roman" w:hAnsi="Times New Roman" w:cs="Times New Roman"/>
          <w:sz w:val="24"/>
          <w:szCs w:val="24"/>
        </w:rPr>
        <w:t>Evaluating the contexts in which it is necessary, or not, to include guided support for online interventions is critical given the additional resources such support requires, which may reduce reach or increase costs.</w:t>
      </w:r>
    </w:p>
    <w:p w14:paraId="711DBE1C" w14:textId="58398892" w:rsidR="00854F5F" w:rsidRPr="00EA56DD" w:rsidRDefault="00421E4E" w:rsidP="00366662">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One </w:t>
      </w:r>
      <w:r w:rsidR="00854F5F" w:rsidRPr="00EA56DD">
        <w:rPr>
          <w:rFonts w:ascii="Times New Roman" w:hAnsi="Times New Roman" w:cs="Times New Roman"/>
          <w:sz w:val="24"/>
          <w:szCs w:val="24"/>
        </w:rPr>
        <w:t>treatment approach that has received limited research to-date on the effects of guided support is</w:t>
      </w:r>
      <w:r w:rsidRPr="00EA56DD">
        <w:rPr>
          <w:rFonts w:ascii="Times New Roman" w:hAnsi="Times New Roman" w:cs="Times New Roman"/>
          <w:sz w:val="24"/>
          <w:szCs w:val="24"/>
        </w:rPr>
        <w:t xml:space="preserve"> acceptance and commitment therapy</w:t>
      </w:r>
      <w:r w:rsidR="00306D6C" w:rsidRPr="00EA56DD">
        <w:rPr>
          <w:rFonts w:ascii="Times New Roman" w:hAnsi="Times New Roman" w:cs="Times New Roman"/>
          <w:sz w:val="24"/>
          <w:szCs w:val="24"/>
        </w:rPr>
        <w:t xml:space="preserve"> </w:t>
      </w:r>
      <w:r w:rsidR="002F2CD0" w:rsidRPr="00EA56DD">
        <w:rPr>
          <w:rFonts w:ascii="Times New Roman" w:hAnsi="Times New Roman" w:cs="Times New Roman"/>
          <w:sz w:val="24"/>
          <w:szCs w:val="24"/>
        </w:rPr>
        <w:t>(ACT</w:t>
      </w:r>
      <w:r w:rsidR="00854F5F" w:rsidRPr="00EA56DD">
        <w:rPr>
          <w:rFonts w:ascii="Times New Roman" w:hAnsi="Times New Roman" w:cs="Times New Roman"/>
          <w:sz w:val="24"/>
          <w:szCs w:val="24"/>
        </w:rPr>
        <w:t xml:space="preserve">; Hayes, </w:t>
      </w:r>
      <w:proofErr w:type="spellStart"/>
      <w:r w:rsidR="00854F5F" w:rsidRPr="00EA56DD">
        <w:rPr>
          <w:rFonts w:ascii="Times New Roman" w:hAnsi="Times New Roman" w:cs="Times New Roman"/>
          <w:sz w:val="24"/>
          <w:szCs w:val="24"/>
        </w:rPr>
        <w:t>Strosahl</w:t>
      </w:r>
      <w:proofErr w:type="spellEnd"/>
      <w:r w:rsidR="00854F5F" w:rsidRPr="00EA56DD">
        <w:rPr>
          <w:rFonts w:ascii="Times New Roman" w:hAnsi="Times New Roman" w:cs="Times New Roman"/>
          <w:sz w:val="24"/>
          <w:szCs w:val="24"/>
        </w:rPr>
        <w:t xml:space="preserve"> &amp; Wilson, 2012</w:t>
      </w:r>
      <w:r w:rsidR="002F2CD0" w:rsidRPr="00EA56DD">
        <w:rPr>
          <w:rFonts w:ascii="Times New Roman" w:hAnsi="Times New Roman" w:cs="Times New Roman"/>
          <w:sz w:val="24"/>
          <w:szCs w:val="24"/>
        </w:rPr>
        <w:t>)</w:t>
      </w:r>
      <w:r w:rsidR="00854F5F" w:rsidRPr="00EA56DD">
        <w:rPr>
          <w:rFonts w:ascii="Times New Roman" w:hAnsi="Times New Roman" w:cs="Times New Roman"/>
          <w:sz w:val="24"/>
          <w:szCs w:val="24"/>
        </w:rPr>
        <w:t xml:space="preserve">. </w:t>
      </w:r>
      <w:r w:rsidR="002231D2" w:rsidRPr="00EA56DD">
        <w:rPr>
          <w:rFonts w:ascii="Times New Roman" w:hAnsi="Times New Roman" w:cs="Times New Roman"/>
          <w:sz w:val="24"/>
          <w:szCs w:val="24"/>
        </w:rPr>
        <w:t>ACT has successfully been adapted to online</w:t>
      </w:r>
      <w:r w:rsidR="003B156D">
        <w:rPr>
          <w:rFonts w:ascii="Times New Roman" w:hAnsi="Times New Roman" w:cs="Times New Roman"/>
          <w:sz w:val="24"/>
          <w:szCs w:val="24"/>
        </w:rPr>
        <w:t xml:space="preserve"> self-guided</w:t>
      </w:r>
      <w:r w:rsidR="002231D2" w:rsidRPr="00EA56DD">
        <w:rPr>
          <w:rFonts w:ascii="Times New Roman" w:hAnsi="Times New Roman" w:cs="Times New Roman"/>
          <w:sz w:val="24"/>
          <w:szCs w:val="24"/>
        </w:rPr>
        <w:t xml:space="preserve"> interventions, with positive results in clinical trials for a range of mental health concerns (</w:t>
      </w:r>
      <w:r w:rsidR="003B156D" w:rsidRPr="00EA56DD">
        <w:rPr>
          <w:rFonts w:ascii="Times New Roman" w:hAnsi="Times New Roman" w:cs="Times New Roman"/>
          <w:sz w:val="24"/>
          <w:szCs w:val="24"/>
        </w:rPr>
        <w:t>Thompson et al., in press</w:t>
      </w:r>
      <w:r w:rsidR="002231D2" w:rsidRPr="00EA56DD">
        <w:rPr>
          <w:rFonts w:ascii="Times New Roman" w:hAnsi="Times New Roman" w:cs="Times New Roman"/>
          <w:sz w:val="24"/>
          <w:szCs w:val="24"/>
        </w:rPr>
        <w:t xml:space="preserve">). However, few studies have </w:t>
      </w:r>
      <w:r w:rsidR="00DD65A9">
        <w:rPr>
          <w:rFonts w:ascii="Times New Roman" w:hAnsi="Times New Roman" w:cs="Times New Roman"/>
          <w:sz w:val="24"/>
          <w:szCs w:val="24"/>
        </w:rPr>
        <w:t>directedly tested</w:t>
      </w:r>
      <w:r w:rsidR="00DD65A9" w:rsidRPr="00EA56DD">
        <w:rPr>
          <w:rFonts w:ascii="Times New Roman" w:hAnsi="Times New Roman" w:cs="Times New Roman"/>
          <w:sz w:val="24"/>
          <w:szCs w:val="24"/>
        </w:rPr>
        <w:t xml:space="preserve"> </w:t>
      </w:r>
      <w:r w:rsidR="002231D2" w:rsidRPr="00EA56DD">
        <w:rPr>
          <w:rFonts w:ascii="Times New Roman" w:hAnsi="Times New Roman" w:cs="Times New Roman"/>
          <w:sz w:val="24"/>
          <w:szCs w:val="24"/>
        </w:rPr>
        <w:t xml:space="preserve">the </w:t>
      </w:r>
      <w:r w:rsidR="00DD65A9">
        <w:rPr>
          <w:rFonts w:ascii="Times New Roman" w:hAnsi="Times New Roman" w:cs="Times New Roman"/>
          <w:sz w:val="24"/>
          <w:szCs w:val="24"/>
        </w:rPr>
        <w:t xml:space="preserve">additive </w:t>
      </w:r>
      <w:r w:rsidR="002231D2" w:rsidRPr="00EA56DD">
        <w:rPr>
          <w:rFonts w:ascii="Times New Roman" w:hAnsi="Times New Roman" w:cs="Times New Roman"/>
          <w:sz w:val="24"/>
          <w:szCs w:val="24"/>
        </w:rPr>
        <w:t xml:space="preserve">effects of guided support with ACT. Two studies found that the addition of guided </w:t>
      </w:r>
      <w:r w:rsidR="00231E62" w:rsidRPr="00EA56DD">
        <w:rPr>
          <w:rFonts w:ascii="Times New Roman" w:hAnsi="Times New Roman" w:cs="Times New Roman"/>
          <w:sz w:val="24"/>
          <w:szCs w:val="24"/>
        </w:rPr>
        <w:t xml:space="preserve">text-based </w:t>
      </w:r>
      <w:r w:rsidR="002231D2" w:rsidRPr="00EA56DD">
        <w:rPr>
          <w:rFonts w:ascii="Times New Roman" w:hAnsi="Times New Roman" w:cs="Times New Roman"/>
          <w:sz w:val="24"/>
          <w:szCs w:val="24"/>
        </w:rPr>
        <w:t xml:space="preserve">support </w:t>
      </w:r>
      <w:r w:rsidR="00231E62" w:rsidRPr="00EA56DD">
        <w:rPr>
          <w:rFonts w:ascii="Times New Roman" w:hAnsi="Times New Roman" w:cs="Times New Roman"/>
          <w:sz w:val="24"/>
          <w:szCs w:val="24"/>
        </w:rPr>
        <w:t xml:space="preserve">from a therapist did not improve </w:t>
      </w:r>
      <w:r w:rsidR="00366662" w:rsidRPr="00EA56DD">
        <w:rPr>
          <w:rFonts w:ascii="Times New Roman" w:hAnsi="Times New Roman" w:cs="Times New Roman"/>
          <w:sz w:val="24"/>
          <w:szCs w:val="24"/>
        </w:rPr>
        <w:t>treatment outcomes for online ACT for depression (</w:t>
      </w:r>
      <w:proofErr w:type="spellStart"/>
      <w:r w:rsidR="00366662" w:rsidRPr="00EA56DD">
        <w:rPr>
          <w:rFonts w:ascii="Times New Roman" w:hAnsi="Times New Roman" w:cs="Times New Roman"/>
          <w:sz w:val="24"/>
          <w:szCs w:val="24"/>
        </w:rPr>
        <w:t>Fledderus</w:t>
      </w:r>
      <w:proofErr w:type="spellEnd"/>
      <w:r w:rsidR="00366662" w:rsidRPr="00EA56DD">
        <w:rPr>
          <w:rFonts w:ascii="Times New Roman" w:hAnsi="Times New Roman" w:cs="Times New Roman"/>
          <w:sz w:val="24"/>
          <w:szCs w:val="24"/>
        </w:rPr>
        <w:t xml:space="preserve"> et al., 2012) or anxiety (Ivanova et al., 2016), although guided support did enhance program engagement in the latter study (Ivanova et al., 2016). Theoretically</w:t>
      </w:r>
      <w:r w:rsidR="00BB1137" w:rsidRPr="00EA56DD">
        <w:rPr>
          <w:rFonts w:ascii="Times New Roman" w:hAnsi="Times New Roman" w:cs="Times New Roman"/>
          <w:sz w:val="24"/>
          <w:szCs w:val="24"/>
        </w:rPr>
        <w:t>,</w:t>
      </w:r>
      <w:r w:rsidR="00366662" w:rsidRPr="00EA56DD">
        <w:rPr>
          <w:rFonts w:ascii="Times New Roman" w:hAnsi="Times New Roman" w:cs="Times New Roman"/>
          <w:sz w:val="24"/>
          <w:szCs w:val="24"/>
        </w:rPr>
        <w:t xml:space="preserve"> self-guided online ACT interventions may be adequately engaging to users without guided support due to the heavy emphasis on experiential exercises (rather than more didactic psychoeducation) and values as a motivational context for using the program and engaging in behavior change efforts. </w:t>
      </w:r>
      <w:r w:rsidR="002231D2" w:rsidRPr="00EA56DD">
        <w:rPr>
          <w:rFonts w:ascii="Times New Roman" w:hAnsi="Times New Roman" w:cs="Times New Roman"/>
          <w:sz w:val="24"/>
          <w:szCs w:val="24"/>
        </w:rPr>
        <w:t xml:space="preserve">That said, a meta-analysis </w:t>
      </w:r>
      <w:r w:rsidR="00907D5C" w:rsidRPr="00EA56DD">
        <w:rPr>
          <w:rFonts w:ascii="Times New Roman" w:hAnsi="Times New Roman" w:cs="Times New Roman"/>
          <w:sz w:val="24"/>
          <w:szCs w:val="24"/>
        </w:rPr>
        <w:t>suggested that studies including guided support were more efficacious than purely self-guided interventions (</w:t>
      </w:r>
      <w:r w:rsidR="003B156D" w:rsidRPr="00EA56DD">
        <w:rPr>
          <w:rFonts w:ascii="Times New Roman" w:hAnsi="Times New Roman" w:cs="Times New Roman"/>
          <w:sz w:val="24"/>
          <w:szCs w:val="24"/>
        </w:rPr>
        <w:t>Thompson et al., in press</w:t>
      </w:r>
      <w:r w:rsidR="00907D5C" w:rsidRPr="00EA56DD">
        <w:rPr>
          <w:rFonts w:ascii="Times New Roman" w:hAnsi="Times New Roman" w:cs="Times New Roman"/>
          <w:sz w:val="24"/>
          <w:szCs w:val="24"/>
        </w:rPr>
        <w:t>)</w:t>
      </w:r>
      <w:r w:rsidR="00366662" w:rsidRPr="00EA56DD">
        <w:rPr>
          <w:rFonts w:ascii="Times New Roman" w:hAnsi="Times New Roman" w:cs="Times New Roman"/>
          <w:sz w:val="24"/>
          <w:szCs w:val="24"/>
        </w:rPr>
        <w:t xml:space="preserve">. </w:t>
      </w:r>
      <w:r w:rsidR="00907D5C" w:rsidRPr="00EA56DD">
        <w:rPr>
          <w:rFonts w:ascii="Times New Roman" w:hAnsi="Times New Roman" w:cs="Times New Roman"/>
          <w:sz w:val="24"/>
          <w:szCs w:val="24"/>
        </w:rPr>
        <w:t>Thus, results are preliminary and mixed for guided support with online ACT</w:t>
      </w:r>
      <w:r w:rsidR="00DD65A9">
        <w:rPr>
          <w:rFonts w:ascii="Times New Roman" w:hAnsi="Times New Roman" w:cs="Times New Roman"/>
          <w:sz w:val="24"/>
          <w:szCs w:val="24"/>
        </w:rPr>
        <w:t>. N</w:t>
      </w:r>
      <w:r w:rsidR="00907D5C" w:rsidRPr="00EA56DD">
        <w:rPr>
          <w:rFonts w:ascii="Times New Roman" w:hAnsi="Times New Roman" w:cs="Times New Roman"/>
          <w:sz w:val="24"/>
          <w:szCs w:val="24"/>
        </w:rPr>
        <w:t>o</w:t>
      </w:r>
      <w:r w:rsidR="00366662" w:rsidRPr="00EA56DD">
        <w:rPr>
          <w:rFonts w:ascii="Times New Roman" w:hAnsi="Times New Roman" w:cs="Times New Roman"/>
          <w:sz w:val="24"/>
          <w:szCs w:val="24"/>
        </w:rPr>
        <w:t xml:space="preserve"> studies to-date have </w:t>
      </w:r>
      <w:r w:rsidR="00907D5C" w:rsidRPr="00EA56DD">
        <w:rPr>
          <w:rFonts w:ascii="Times New Roman" w:hAnsi="Times New Roman" w:cs="Times New Roman"/>
          <w:sz w:val="24"/>
          <w:szCs w:val="24"/>
        </w:rPr>
        <w:t>evaluated</w:t>
      </w:r>
      <w:r w:rsidR="00366662" w:rsidRPr="00EA56DD">
        <w:rPr>
          <w:rFonts w:ascii="Times New Roman" w:hAnsi="Times New Roman" w:cs="Times New Roman"/>
          <w:sz w:val="24"/>
          <w:szCs w:val="24"/>
        </w:rPr>
        <w:t xml:space="preserve"> the</w:t>
      </w:r>
      <w:r w:rsidR="00DD65A9">
        <w:rPr>
          <w:rFonts w:ascii="Times New Roman" w:hAnsi="Times New Roman" w:cs="Times New Roman"/>
          <w:sz w:val="24"/>
          <w:szCs w:val="24"/>
        </w:rPr>
        <w:t xml:space="preserve"> additive</w:t>
      </w:r>
      <w:r w:rsidR="00366662" w:rsidRPr="00EA56DD">
        <w:rPr>
          <w:rFonts w:ascii="Times New Roman" w:hAnsi="Times New Roman" w:cs="Times New Roman"/>
          <w:sz w:val="24"/>
          <w:szCs w:val="24"/>
        </w:rPr>
        <w:t xml:space="preserve"> effects of guided support via phone coaching for online ACT.</w:t>
      </w:r>
    </w:p>
    <w:p w14:paraId="29FE9739" w14:textId="5A664C8B" w:rsidR="008B0396" w:rsidRPr="00EA56DD" w:rsidRDefault="008B0396"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The current study examined</w:t>
      </w:r>
      <w:r w:rsidR="001F5EF7" w:rsidRPr="00EA56DD">
        <w:rPr>
          <w:rFonts w:ascii="Times New Roman" w:hAnsi="Times New Roman" w:cs="Times New Roman"/>
          <w:sz w:val="24"/>
          <w:szCs w:val="24"/>
        </w:rPr>
        <w:t xml:space="preserve"> the effects of </w:t>
      </w:r>
      <w:r w:rsidR="005A470C" w:rsidRPr="00EA56DD">
        <w:rPr>
          <w:rFonts w:ascii="Times New Roman" w:hAnsi="Times New Roman" w:cs="Times New Roman"/>
          <w:sz w:val="24"/>
          <w:szCs w:val="24"/>
        </w:rPr>
        <w:t xml:space="preserve">phone </w:t>
      </w:r>
      <w:r w:rsidR="001F5EF7" w:rsidRPr="00EA56DD">
        <w:rPr>
          <w:rFonts w:ascii="Times New Roman" w:hAnsi="Times New Roman" w:cs="Times New Roman"/>
          <w:sz w:val="24"/>
          <w:szCs w:val="24"/>
        </w:rPr>
        <w:t xml:space="preserve">coaching within a previously </w:t>
      </w:r>
      <w:r w:rsidRPr="00EA56DD">
        <w:rPr>
          <w:rFonts w:ascii="Times New Roman" w:hAnsi="Times New Roman" w:cs="Times New Roman"/>
          <w:sz w:val="24"/>
          <w:szCs w:val="24"/>
        </w:rPr>
        <w:t>reported</w:t>
      </w:r>
      <w:r w:rsidR="001F5EF7" w:rsidRPr="00EA56DD">
        <w:rPr>
          <w:rFonts w:ascii="Times New Roman" w:hAnsi="Times New Roman" w:cs="Times New Roman"/>
          <w:sz w:val="24"/>
          <w:szCs w:val="24"/>
        </w:rPr>
        <w:t xml:space="preserve"> </w:t>
      </w:r>
      <w:r w:rsidRPr="00EA56DD">
        <w:rPr>
          <w:rFonts w:ascii="Times New Roman" w:hAnsi="Times New Roman" w:cs="Times New Roman"/>
          <w:sz w:val="24"/>
          <w:szCs w:val="24"/>
        </w:rPr>
        <w:t xml:space="preserve">self-guided </w:t>
      </w:r>
      <w:r w:rsidR="001F5EF7" w:rsidRPr="00EA56DD">
        <w:rPr>
          <w:rFonts w:ascii="Times New Roman" w:hAnsi="Times New Roman" w:cs="Times New Roman"/>
          <w:sz w:val="24"/>
          <w:szCs w:val="24"/>
        </w:rPr>
        <w:t xml:space="preserve">online ACT </w:t>
      </w:r>
      <w:r w:rsidRPr="00EA56DD">
        <w:rPr>
          <w:rFonts w:ascii="Times New Roman" w:hAnsi="Times New Roman" w:cs="Times New Roman"/>
          <w:sz w:val="24"/>
          <w:szCs w:val="24"/>
        </w:rPr>
        <w:t>intervention</w:t>
      </w:r>
      <w:r w:rsidR="001F5EF7" w:rsidRPr="00EA56DD">
        <w:rPr>
          <w:rFonts w:ascii="Times New Roman" w:hAnsi="Times New Roman" w:cs="Times New Roman"/>
          <w:sz w:val="24"/>
          <w:szCs w:val="24"/>
        </w:rPr>
        <w:t xml:space="preserve"> for </w:t>
      </w:r>
      <w:r w:rsidRPr="00EA56DD">
        <w:rPr>
          <w:rFonts w:ascii="Times New Roman" w:hAnsi="Times New Roman" w:cs="Times New Roman"/>
          <w:sz w:val="24"/>
          <w:szCs w:val="24"/>
        </w:rPr>
        <w:t>college student</w:t>
      </w:r>
      <w:r w:rsidR="001F5EF7" w:rsidRPr="00EA56DD">
        <w:rPr>
          <w:rFonts w:ascii="Times New Roman" w:hAnsi="Times New Roman" w:cs="Times New Roman"/>
          <w:sz w:val="24"/>
          <w:szCs w:val="24"/>
        </w:rPr>
        <w:t xml:space="preserve"> mental health</w:t>
      </w:r>
      <w:r w:rsidRPr="00EA56DD">
        <w:rPr>
          <w:rFonts w:ascii="Times New Roman" w:hAnsi="Times New Roman" w:cs="Times New Roman"/>
          <w:sz w:val="24"/>
          <w:szCs w:val="24"/>
        </w:rPr>
        <w:t xml:space="preserve"> (</w:t>
      </w:r>
      <w:r w:rsidRPr="00EA56DD">
        <w:rPr>
          <w:rFonts w:ascii="Times New Roman" w:hAnsi="Times New Roman" w:cs="Times New Roman"/>
          <w:i/>
          <w:sz w:val="24"/>
          <w:szCs w:val="24"/>
        </w:rPr>
        <w:t xml:space="preserve">Citation removed for </w:t>
      </w:r>
      <w:r w:rsidRPr="00EA56DD">
        <w:rPr>
          <w:rFonts w:ascii="Times New Roman" w:hAnsi="Times New Roman" w:cs="Times New Roman"/>
          <w:i/>
          <w:sz w:val="24"/>
          <w:szCs w:val="24"/>
        </w:rPr>
        <w:lastRenderedPageBreak/>
        <w:t>blind review</w:t>
      </w:r>
      <w:r w:rsidRPr="00EA56DD">
        <w:rPr>
          <w:rFonts w:ascii="Times New Roman" w:hAnsi="Times New Roman" w:cs="Times New Roman"/>
          <w:sz w:val="24"/>
          <w:szCs w:val="24"/>
        </w:rPr>
        <w:t xml:space="preserve">). </w:t>
      </w:r>
      <w:r w:rsidR="00F25F79" w:rsidRPr="00EA56DD">
        <w:rPr>
          <w:rFonts w:ascii="Times New Roman" w:hAnsi="Times New Roman" w:cs="Times New Roman"/>
          <w:sz w:val="24"/>
          <w:szCs w:val="24"/>
        </w:rPr>
        <w:t>Using a dismantling trial design, 181 distressed college students were randomly assigned to a waitlist or one of three versions of an ACT website</w:t>
      </w:r>
      <w:r w:rsidR="0064526F" w:rsidRPr="00EA56DD">
        <w:rPr>
          <w:rFonts w:ascii="Times New Roman" w:hAnsi="Times New Roman" w:cs="Times New Roman"/>
          <w:sz w:val="24"/>
          <w:szCs w:val="24"/>
        </w:rPr>
        <w:t>; a full ACT website,</w:t>
      </w:r>
      <w:r w:rsidR="00F25F79" w:rsidRPr="00EA56DD">
        <w:rPr>
          <w:rFonts w:ascii="Times New Roman" w:hAnsi="Times New Roman" w:cs="Times New Roman"/>
          <w:sz w:val="24"/>
          <w:szCs w:val="24"/>
        </w:rPr>
        <w:t xml:space="preserve"> the Open components of ACT (i.e., acceptance, </w:t>
      </w:r>
      <w:proofErr w:type="spellStart"/>
      <w:r w:rsidR="00F25F79" w:rsidRPr="00EA56DD">
        <w:rPr>
          <w:rFonts w:ascii="Times New Roman" w:hAnsi="Times New Roman" w:cs="Times New Roman"/>
          <w:sz w:val="24"/>
          <w:szCs w:val="24"/>
        </w:rPr>
        <w:t>defusion</w:t>
      </w:r>
      <w:proofErr w:type="spellEnd"/>
      <w:r w:rsidR="00F25F79" w:rsidRPr="00EA56DD">
        <w:rPr>
          <w:rFonts w:ascii="Times New Roman" w:hAnsi="Times New Roman" w:cs="Times New Roman"/>
          <w:sz w:val="24"/>
          <w:szCs w:val="24"/>
        </w:rPr>
        <w:t xml:space="preserve">), </w:t>
      </w:r>
      <w:r w:rsidR="0064526F" w:rsidRPr="00EA56DD">
        <w:rPr>
          <w:rFonts w:ascii="Times New Roman" w:hAnsi="Times New Roman" w:cs="Times New Roman"/>
          <w:sz w:val="24"/>
          <w:szCs w:val="24"/>
        </w:rPr>
        <w:t xml:space="preserve">or the </w:t>
      </w:r>
      <w:r w:rsidR="00F25F79" w:rsidRPr="00EA56DD">
        <w:rPr>
          <w:rFonts w:ascii="Times New Roman" w:hAnsi="Times New Roman" w:cs="Times New Roman"/>
          <w:sz w:val="24"/>
          <w:szCs w:val="24"/>
        </w:rPr>
        <w:t>Engaged components (i.e., values, committed action</w:t>
      </w:r>
      <w:r w:rsidR="0064526F" w:rsidRPr="00EA56DD">
        <w:rPr>
          <w:rFonts w:ascii="Times New Roman" w:hAnsi="Times New Roman" w:cs="Times New Roman"/>
          <w:sz w:val="24"/>
          <w:szCs w:val="24"/>
        </w:rPr>
        <w:t>)</w:t>
      </w:r>
      <w:r w:rsidR="00F25F79" w:rsidRPr="00EA56DD">
        <w:rPr>
          <w:rFonts w:ascii="Times New Roman" w:hAnsi="Times New Roman" w:cs="Times New Roman"/>
          <w:sz w:val="24"/>
          <w:szCs w:val="24"/>
        </w:rPr>
        <w:t>.</w:t>
      </w:r>
      <w:r w:rsidR="00DB3D69" w:rsidRPr="00EA56DD">
        <w:rPr>
          <w:rFonts w:ascii="Times New Roman" w:hAnsi="Times New Roman" w:cs="Times New Roman"/>
          <w:sz w:val="24"/>
          <w:szCs w:val="24"/>
        </w:rPr>
        <w:t xml:space="preserve"> Participants were also randomly assigned to receive only email prompts or to receive email prompts plus phone coaching</w:t>
      </w:r>
      <w:r w:rsidR="0064526F" w:rsidRPr="00EA56DD">
        <w:rPr>
          <w:rFonts w:ascii="Times New Roman" w:hAnsi="Times New Roman" w:cs="Times New Roman"/>
          <w:sz w:val="24"/>
          <w:szCs w:val="24"/>
        </w:rPr>
        <w:t xml:space="preserve"> to improve adherence</w:t>
      </w:r>
      <w:r w:rsidR="00DB3D69" w:rsidRPr="00EA56DD">
        <w:rPr>
          <w:rFonts w:ascii="Times New Roman" w:hAnsi="Times New Roman" w:cs="Times New Roman"/>
          <w:sz w:val="24"/>
          <w:szCs w:val="24"/>
        </w:rPr>
        <w:t xml:space="preserve">. </w:t>
      </w:r>
      <w:r w:rsidR="00884A84" w:rsidRPr="00EA56DD">
        <w:rPr>
          <w:rFonts w:ascii="Times New Roman" w:hAnsi="Times New Roman" w:cs="Times New Roman"/>
          <w:sz w:val="24"/>
          <w:szCs w:val="24"/>
        </w:rPr>
        <w:t xml:space="preserve">Participants had equal, moderate engagement rates in each </w:t>
      </w:r>
      <w:r w:rsidR="00F30374">
        <w:rPr>
          <w:rFonts w:ascii="Times New Roman" w:hAnsi="Times New Roman" w:cs="Times New Roman"/>
          <w:sz w:val="24"/>
          <w:szCs w:val="24"/>
        </w:rPr>
        <w:t>A</w:t>
      </w:r>
      <w:r w:rsidR="00884A84" w:rsidRPr="00EA56DD">
        <w:rPr>
          <w:rFonts w:ascii="Times New Roman" w:hAnsi="Times New Roman" w:cs="Times New Roman"/>
          <w:sz w:val="24"/>
          <w:szCs w:val="24"/>
        </w:rPr>
        <w:t>CT website</w:t>
      </w:r>
      <w:r w:rsidR="00327E9D" w:rsidRPr="00EA56DD">
        <w:rPr>
          <w:rFonts w:ascii="Times New Roman" w:hAnsi="Times New Roman" w:cs="Times New Roman"/>
          <w:sz w:val="24"/>
          <w:szCs w:val="24"/>
        </w:rPr>
        <w:t xml:space="preserve"> condition</w:t>
      </w:r>
      <w:r w:rsidR="00884A84" w:rsidRPr="00EA56DD">
        <w:rPr>
          <w:rFonts w:ascii="Times New Roman" w:hAnsi="Times New Roman" w:cs="Times New Roman"/>
          <w:sz w:val="24"/>
          <w:szCs w:val="24"/>
        </w:rPr>
        <w:t xml:space="preserve">, </w:t>
      </w:r>
      <w:r w:rsidR="00FC47BA" w:rsidRPr="00EA56DD">
        <w:rPr>
          <w:rFonts w:ascii="Times New Roman" w:hAnsi="Times New Roman" w:cs="Times New Roman"/>
          <w:sz w:val="24"/>
          <w:szCs w:val="24"/>
        </w:rPr>
        <w:t xml:space="preserve">with 75% completing at least half of sessions and 44% completing all 12 sessions. </w:t>
      </w:r>
      <w:r w:rsidR="00327E9D" w:rsidRPr="00EA56DD">
        <w:rPr>
          <w:rFonts w:ascii="Times New Roman" w:hAnsi="Times New Roman" w:cs="Times New Roman"/>
          <w:sz w:val="24"/>
          <w:szCs w:val="24"/>
        </w:rPr>
        <w:t>P</w:t>
      </w:r>
      <w:r w:rsidR="00F25F79" w:rsidRPr="00EA56DD">
        <w:rPr>
          <w:rFonts w:ascii="Times New Roman" w:hAnsi="Times New Roman" w:cs="Times New Roman"/>
          <w:sz w:val="24"/>
          <w:szCs w:val="24"/>
        </w:rPr>
        <w:t xml:space="preserve">articipants in each ACT condition improved on mental health symptoms </w:t>
      </w:r>
      <w:r w:rsidR="00DB3D69" w:rsidRPr="00EA56DD">
        <w:rPr>
          <w:rFonts w:ascii="Times New Roman" w:hAnsi="Times New Roman" w:cs="Times New Roman"/>
          <w:sz w:val="24"/>
          <w:szCs w:val="24"/>
        </w:rPr>
        <w:t xml:space="preserve">and positive mental health relative to the waitlist, although the Open condition had somewhat weaker effects. </w:t>
      </w:r>
      <w:r w:rsidR="00F30374">
        <w:rPr>
          <w:rFonts w:ascii="Times New Roman" w:hAnsi="Times New Roman" w:cs="Times New Roman"/>
          <w:sz w:val="24"/>
          <w:szCs w:val="24"/>
        </w:rPr>
        <w:t>A</w:t>
      </w:r>
      <w:r w:rsidR="00DB3D69" w:rsidRPr="00EA56DD">
        <w:rPr>
          <w:rFonts w:ascii="Times New Roman" w:hAnsi="Times New Roman" w:cs="Times New Roman"/>
          <w:sz w:val="24"/>
          <w:szCs w:val="24"/>
        </w:rPr>
        <w:t xml:space="preserve">ll three ACT conditions generally improved on psychological flexibility processes of change, although the </w:t>
      </w:r>
      <w:r w:rsidR="004C6CF8" w:rsidRPr="00EA56DD">
        <w:rPr>
          <w:rFonts w:ascii="Times New Roman" w:hAnsi="Times New Roman" w:cs="Times New Roman"/>
          <w:sz w:val="24"/>
          <w:szCs w:val="24"/>
        </w:rPr>
        <w:t>Full</w:t>
      </w:r>
      <w:r w:rsidR="00DB3D69" w:rsidRPr="00EA56DD">
        <w:rPr>
          <w:rFonts w:ascii="Times New Roman" w:hAnsi="Times New Roman" w:cs="Times New Roman"/>
          <w:sz w:val="24"/>
          <w:szCs w:val="24"/>
        </w:rPr>
        <w:t xml:space="preserve"> condition had the largest and most consistent effects on process measures. </w:t>
      </w:r>
      <w:r w:rsidR="00FC47BA" w:rsidRPr="00EA56DD">
        <w:rPr>
          <w:rFonts w:ascii="Times New Roman" w:hAnsi="Times New Roman" w:cs="Times New Roman"/>
          <w:sz w:val="24"/>
          <w:szCs w:val="24"/>
        </w:rPr>
        <w:t xml:space="preserve">Overall, these findings indicated each component of ACT was effective and had adequate engagement rates. However, it is unclear whether phone coaching was necessary for </w:t>
      </w:r>
      <w:r w:rsidR="00F30374">
        <w:rPr>
          <w:rFonts w:ascii="Times New Roman" w:hAnsi="Times New Roman" w:cs="Times New Roman"/>
          <w:sz w:val="24"/>
          <w:szCs w:val="24"/>
        </w:rPr>
        <w:t xml:space="preserve">or augmented the effects of </w:t>
      </w:r>
      <w:r w:rsidR="00FC47BA" w:rsidRPr="00EA56DD">
        <w:rPr>
          <w:rFonts w:ascii="Times New Roman" w:hAnsi="Times New Roman" w:cs="Times New Roman"/>
          <w:sz w:val="24"/>
          <w:szCs w:val="24"/>
        </w:rPr>
        <w:t xml:space="preserve">online ACT or if similar outcomes would be achieved without resource intensive coaching. </w:t>
      </w:r>
    </w:p>
    <w:p w14:paraId="665F8341" w14:textId="11EAA3F1" w:rsidR="00733F1A" w:rsidRPr="00EA56DD" w:rsidRDefault="00733F1A" w:rsidP="00FC47BA">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In this secondary analysis study, the </w:t>
      </w:r>
      <w:r w:rsidR="002038B1">
        <w:rPr>
          <w:rFonts w:ascii="Times New Roman" w:hAnsi="Times New Roman" w:cs="Times New Roman"/>
          <w:sz w:val="24"/>
          <w:szCs w:val="24"/>
        </w:rPr>
        <w:t xml:space="preserve">additive </w:t>
      </w:r>
      <w:r w:rsidRPr="00EA56DD">
        <w:rPr>
          <w:rFonts w:ascii="Times New Roman" w:hAnsi="Times New Roman" w:cs="Times New Roman"/>
          <w:sz w:val="24"/>
          <w:szCs w:val="24"/>
        </w:rPr>
        <w:t xml:space="preserve">effects of phone coaching were examined for program engagement, satisfaction, </w:t>
      </w:r>
      <w:r w:rsidR="008C09EF" w:rsidRPr="00EA56DD">
        <w:rPr>
          <w:rFonts w:ascii="Times New Roman" w:hAnsi="Times New Roman" w:cs="Times New Roman"/>
          <w:sz w:val="24"/>
          <w:szCs w:val="24"/>
        </w:rPr>
        <w:t>mental health outcomes, and processes of change</w:t>
      </w:r>
      <w:r w:rsidRPr="00EA56DD">
        <w:rPr>
          <w:rFonts w:ascii="Times New Roman" w:hAnsi="Times New Roman" w:cs="Times New Roman"/>
          <w:sz w:val="24"/>
          <w:szCs w:val="24"/>
        </w:rPr>
        <w:t xml:space="preserve">. We predicted that participants who received phone coaching would have higher engagement rates in the online ACT program, report higher program satisfaction, and would report greater improvements in mental health and psychological flexibility processes of change relative to those who did not receive phone coaching. </w:t>
      </w:r>
    </w:p>
    <w:p w14:paraId="4D526F48" w14:textId="77777777" w:rsidR="00F3797A" w:rsidRPr="00EA56DD" w:rsidRDefault="00F3797A" w:rsidP="007B3F99">
      <w:pPr>
        <w:spacing w:after="0" w:line="480" w:lineRule="auto"/>
        <w:jc w:val="center"/>
        <w:rPr>
          <w:rFonts w:ascii="Times New Roman" w:hAnsi="Times New Roman" w:cs="Times New Roman"/>
          <w:b/>
          <w:sz w:val="24"/>
          <w:szCs w:val="24"/>
        </w:rPr>
      </w:pPr>
      <w:r w:rsidRPr="00EA56DD">
        <w:rPr>
          <w:rFonts w:ascii="Times New Roman" w:hAnsi="Times New Roman" w:cs="Times New Roman"/>
          <w:b/>
          <w:sz w:val="24"/>
          <w:szCs w:val="24"/>
        </w:rPr>
        <w:t>Methods</w:t>
      </w:r>
    </w:p>
    <w:p w14:paraId="6E83F4D2" w14:textId="5853F33C" w:rsidR="00FD7EBC" w:rsidRPr="00EA56DD" w:rsidRDefault="00FD7EBC"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Participants</w:t>
      </w:r>
    </w:p>
    <w:p w14:paraId="27A71BCA" w14:textId="00FA3EFE" w:rsidR="008F551B" w:rsidRPr="00EA56DD" w:rsidRDefault="008F551B" w:rsidP="007B3F99">
      <w:pPr>
        <w:spacing w:after="0" w:line="480" w:lineRule="auto"/>
        <w:rPr>
          <w:rFonts w:ascii="Times New Roman" w:hAnsi="Times New Roman" w:cs="Times New Roman"/>
          <w:bCs/>
          <w:sz w:val="24"/>
          <w:szCs w:val="24"/>
        </w:rPr>
      </w:pPr>
      <w:r w:rsidRPr="00EA56DD">
        <w:rPr>
          <w:rFonts w:ascii="Times New Roman" w:hAnsi="Times New Roman" w:cs="Times New Roman"/>
          <w:bCs/>
          <w:sz w:val="24"/>
          <w:szCs w:val="24"/>
        </w:rPr>
        <w:lastRenderedPageBreak/>
        <w:tab/>
        <w:t>This s</w:t>
      </w:r>
      <w:r w:rsidR="00527AEA" w:rsidRPr="00EA56DD">
        <w:rPr>
          <w:rFonts w:ascii="Times New Roman" w:hAnsi="Times New Roman" w:cs="Times New Roman"/>
          <w:bCs/>
          <w:sz w:val="24"/>
          <w:szCs w:val="24"/>
        </w:rPr>
        <w:t>econdary analysis study examined the</w:t>
      </w:r>
      <w:r w:rsidRPr="00EA56DD">
        <w:rPr>
          <w:rFonts w:ascii="Times New Roman" w:hAnsi="Times New Roman" w:cs="Times New Roman"/>
          <w:bCs/>
          <w:sz w:val="24"/>
          <w:szCs w:val="24"/>
        </w:rPr>
        <w:t xml:space="preserve"> </w:t>
      </w:r>
      <w:r w:rsidR="00C97973">
        <w:rPr>
          <w:rFonts w:ascii="Times New Roman" w:hAnsi="Times New Roman" w:cs="Times New Roman"/>
          <w:bCs/>
          <w:sz w:val="24"/>
          <w:szCs w:val="24"/>
        </w:rPr>
        <w:t>sub-</w:t>
      </w:r>
      <w:r w:rsidRPr="00EA56DD">
        <w:rPr>
          <w:rFonts w:ascii="Times New Roman" w:hAnsi="Times New Roman" w:cs="Times New Roman"/>
          <w:bCs/>
          <w:sz w:val="24"/>
          <w:szCs w:val="24"/>
        </w:rPr>
        <w:t xml:space="preserve">sample of </w:t>
      </w:r>
      <w:r w:rsidR="00C97973">
        <w:rPr>
          <w:rFonts w:ascii="Times New Roman" w:hAnsi="Times New Roman" w:cs="Times New Roman"/>
          <w:bCs/>
          <w:sz w:val="24"/>
          <w:szCs w:val="24"/>
        </w:rPr>
        <w:t xml:space="preserve">136 distressed </w:t>
      </w:r>
      <w:r w:rsidRPr="00EA56DD">
        <w:rPr>
          <w:rFonts w:ascii="Times New Roman" w:hAnsi="Times New Roman" w:cs="Times New Roman"/>
          <w:bCs/>
          <w:sz w:val="24"/>
          <w:szCs w:val="24"/>
        </w:rPr>
        <w:t xml:space="preserve">college students </w:t>
      </w:r>
      <w:r w:rsidR="00527AEA" w:rsidRPr="00EA56DD">
        <w:rPr>
          <w:rFonts w:ascii="Times New Roman" w:hAnsi="Times New Roman" w:cs="Times New Roman"/>
          <w:bCs/>
          <w:sz w:val="24"/>
          <w:szCs w:val="24"/>
        </w:rPr>
        <w:t xml:space="preserve">who were assigned to one of three ACT conditions from </w:t>
      </w:r>
      <w:r w:rsidR="00C97973">
        <w:rPr>
          <w:rFonts w:ascii="Times New Roman" w:hAnsi="Times New Roman" w:cs="Times New Roman"/>
          <w:bCs/>
          <w:sz w:val="24"/>
          <w:szCs w:val="24"/>
        </w:rPr>
        <w:t>the</w:t>
      </w:r>
      <w:r w:rsidR="00527AEA" w:rsidRPr="00EA56DD">
        <w:rPr>
          <w:rFonts w:ascii="Times New Roman" w:hAnsi="Times New Roman" w:cs="Times New Roman"/>
          <w:bCs/>
          <w:sz w:val="24"/>
          <w:szCs w:val="24"/>
        </w:rPr>
        <w:t xml:space="preserve"> dismantling trial (excluding </w:t>
      </w:r>
      <w:r w:rsidR="00C97973">
        <w:rPr>
          <w:rFonts w:ascii="Times New Roman" w:hAnsi="Times New Roman" w:cs="Times New Roman"/>
          <w:bCs/>
          <w:sz w:val="24"/>
          <w:szCs w:val="24"/>
        </w:rPr>
        <w:t>the</w:t>
      </w:r>
      <w:r w:rsidR="00527AEA" w:rsidRPr="00EA56DD">
        <w:rPr>
          <w:rFonts w:ascii="Times New Roman" w:hAnsi="Times New Roman" w:cs="Times New Roman"/>
          <w:bCs/>
          <w:sz w:val="24"/>
          <w:szCs w:val="24"/>
        </w:rPr>
        <w:t xml:space="preserve"> waitlist condition; </w:t>
      </w:r>
      <w:r w:rsidR="00527AEA" w:rsidRPr="00EA56DD">
        <w:rPr>
          <w:rFonts w:ascii="Times New Roman" w:hAnsi="Times New Roman" w:cs="Times New Roman"/>
          <w:bCs/>
          <w:i/>
          <w:iCs/>
          <w:sz w:val="24"/>
          <w:szCs w:val="24"/>
        </w:rPr>
        <w:t>citation removed</w:t>
      </w:r>
      <w:r w:rsidR="00527AEA" w:rsidRPr="00EA56DD">
        <w:rPr>
          <w:rFonts w:ascii="Times New Roman" w:hAnsi="Times New Roman" w:cs="Times New Roman"/>
          <w:bCs/>
          <w:sz w:val="24"/>
          <w:szCs w:val="24"/>
        </w:rPr>
        <w:t>)</w:t>
      </w:r>
      <w:r w:rsidRPr="00EA56DD">
        <w:rPr>
          <w:rFonts w:ascii="Times New Roman" w:hAnsi="Times New Roman" w:cs="Times New Roman"/>
          <w:bCs/>
          <w:sz w:val="24"/>
          <w:szCs w:val="24"/>
        </w:rPr>
        <w:t xml:space="preserve">. Inclusion criteria were: being 18 years or older, a current college student, and meeting the cutoff for clinical significance on at least one subscale </w:t>
      </w:r>
      <w:r w:rsidR="00E704D5" w:rsidRPr="00EA56DD">
        <w:rPr>
          <w:rFonts w:ascii="Times New Roman" w:hAnsi="Times New Roman" w:cs="Times New Roman"/>
          <w:bCs/>
          <w:sz w:val="24"/>
          <w:szCs w:val="24"/>
        </w:rPr>
        <w:t>of</w:t>
      </w:r>
      <w:r w:rsidRPr="00EA56DD">
        <w:rPr>
          <w:rFonts w:ascii="Times New Roman" w:hAnsi="Times New Roman" w:cs="Times New Roman"/>
          <w:bCs/>
          <w:sz w:val="24"/>
          <w:szCs w:val="24"/>
        </w:rPr>
        <w:t xml:space="preserve"> the </w:t>
      </w:r>
      <w:r w:rsidRPr="00EA56DD">
        <w:rPr>
          <w:rFonts w:ascii="Times New Roman" w:eastAsia="Times New Roman" w:hAnsi="Times New Roman" w:cs="Times New Roman"/>
          <w:color w:val="000000" w:themeColor="text1"/>
          <w:sz w:val="24"/>
          <w:szCs w:val="24"/>
        </w:rPr>
        <w:t xml:space="preserve">Counseling Center Assessment of Psychological Symptoms </w:t>
      </w:r>
      <w:r w:rsidRPr="00EA56DD">
        <w:rPr>
          <w:rFonts w:ascii="Times New Roman" w:eastAsia="Times New Roman" w:hAnsi="Times New Roman" w:cs="Times New Roman"/>
          <w:color w:val="000000" w:themeColor="text1"/>
          <w:sz w:val="24"/>
          <w:szCs w:val="24"/>
        </w:rPr>
        <w:fldChar w:fldCharType="begin"/>
      </w:r>
      <w:r w:rsidRPr="00EA56DD">
        <w:rPr>
          <w:rFonts w:ascii="Times New Roman" w:eastAsia="Times New Roman" w:hAnsi="Times New Roman" w:cs="Times New Roman"/>
          <w:color w:val="000000" w:themeColor="text1"/>
          <w:sz w:val="24"/>
          <w:szCs w:val="24"/>
        </w:rPr>
        <w:instrText xml:space="preserve"> ADDIN EN.CITE &lt;EndNote&gt;&lt;Cite&gt;&lt;Author&gt;Locke&lt;/Author&gt;&lt;Year&gt;2012&lt;/Year&gt;&lt;RecNum&gt;3206&lt;/RecNum&gt;&lt;Prefix&gt;CCAPS-34`; &lt;/Prefix&gt;&lt;DisplayText&gt;(CCAPS-34; Locke et al., 2012)&lt;/DisplayText&gt;&lt;record&gt;&lt;rec-number&gt;3206&lt;/rec-number&gt;&lt;foreign-keys&gt;&lt;key app="EN" db-id="x2xdd20v1afdwtepwxcvxd2ydtwra2eztaee" timestamp="1569442424"&gt;3206&lt;/key&gt;&lt;/foreign-keys&gt;&lt;ref-type name="Journal Article"&gt;17&lt;/ref-type&gt;&lt;contributors&gt;&lt;authors&gt;&lt;author&gt;Locke, B. D.&lt;/author&gt;&lt;author&gt;McAleavey, A. A.&lt;/author&gt;&lt;author&gt;Zhao, Y.&lt;/author&gt;&lt;author&gt;Lei, P. W.&lt;/author&gt;&lt;author&gt;Hayes, J. A.&lt;/author&gt;&lt;author&gt;Castonguay, L. G.&lt;/author&gt;&lt;author&gt;Li, H.&lt;/author&gt;&lt;author&gt;Tate, R. &lt;/author&gt;&lt;author&gt;Lin, Y. C. &lt;/author&gt;&lt;/authors&gt;&lt;/contributors&gt;&lt;titles&gt;&lt;title&gt;Development and initial validation of the Counseling Center Assessment of Psychological Symptoms–34&lt;/title&gt;&lt;secondary-title&gt;Measurement and Evaluation in Counseling and Development&lt;/secondary-title&gt;&lt;/titles&gt;&lt;pages&gt;151-169&lt;/pages&gt;&lt;volume&gt;45&lt;/volume&gt;&lt;dates&gt;&lt;year&gt;2012&lt;/year&gt;&lt;/dates&gt;&lt;urls&gt;&lt;/urls&gt;&lt;electronic-resource-num&gt;10.1177/0748175611432642&lt;/electronic-resource-num&gt;&lt;/record&gt;&lt;/Cite&gt;&lt;/EndNote&gt;</w:instrText>
      </w:r>
      <w:r w:rsidRPr="00EA56DD">
        <w:rPr>
          <w:rFonts w:ascii="Times New Roman" w:eastAsia="Times New Roman" w:hAnsi="Times New Roman" w:cs="Times New Roman"/>
          <w:color w:val="000000" w:themeColor="text1"/>
          <w:sz w:val="24"/>
          <w:szCs w:val="24"/>
        </w:rPr>
        <w:fldChar w:fldCharType="separate"/>
      </w:r>
      <w:r w:rsidRPr="00EA56DD">
        <w:rPr>
          <w:rFonts w:ascii="Times New Roman" w:eastAsia="Times New Roman" w:hAnsi="Times New Roman" w:cs="Times New Roman"/>
          <w:noProof/>
          <w:color w:val="000000" w:themeColor="text1"/>
          <w:sz w:val="24"/>
          <w:szCs w:val="24"/>
        </w:rPr>
        <w:t>(CCAPS-34; Locke et al., 2012)</w:t>
      </w:r>
      <w:r w:rsidRPr="00EA56DD">
        <w:rPr>
          <w:rFonts w:ascii="Times New Roman" w:eastAsia="Times New Roman" w:hAnsi="Times New Roman" w:cs="Times New Roman"/>
          <w:color w:val="000000" w:themeColor="text1"/>
          <w:sz w:val="24"/>
          <w:szCs w:val="24"/>
        </w:rPr>
        <w:fldChar w:fldCharType="end"/>
      </w:r>
      <w:r w:rsidRPr="00EA56DD">
        <w:rPr>
          <w:rFonts w:ascii="Times New Roman" w:eastAsia="Times New Roman" w:hAnsi="Times New Roman" w:cs="Times New Roman"/>
          <w:color w:val="000000" w:themeColor="text1"/>
          <w:sz w:val="24"/>
          <w:szCs w:val="24"/>
        </w:rPr>
        <w:t>.  The only exclusion criteri</w:t>
      </w:r>
      <w:r w:rsidR="00C97973">
        <w:rPr>
          <w:rFonts w:ascii="Times New Roman" w:eastAsia="Times New Roman" w:hAnsi="Times New Roman" w:cs="Times New Roman"/>
          <w:color w:val="000000" w:themeColor="text1"/>
          <w:sz w:val="24"/>
          <w:szCs w:val="24"/>
        </w:rPr>
        <w:t>a</w:t>
      </w:r>
      <w:r w:rsidRPr="00EA56DD">
        <w:rPr>
          <w:rFonts w:ascii="Times New Roman" w:eastAsia="Times New Roman" w:hAnsi="Times New Roman" w:cs="Times New Roman"/>
          <w:color w:val="000000" w:themeColor="text1"/>
          <w:sz w:val="24"/>
          <w:szCs w:val="24"/>
        </w:rPr>
        <w:t xml:space="preserve"> </w:t>
      </w:r>
      <w:proofErr w:type="gramStart"/>
      <w:r w:rsidRPr="00EA56DD">
        <w:rPr>
          <w:rFonts w:ascii="Times New Roman" w:eastAsia="Times New Roman" w:hAnsi="Times New Roman" w:cs="Times New Roman"/>
          <w:color w:val="000000" w:themeColor="text1"/>
          <w:sz w:val="24"/>
          <w:szCs w:val="24"/>
        </w:rPr>
        <w:t>was</w:t>
      </w:r>
      <w:proofErr w:type="gramEnd"/>
      <w:r w:rsidRPr="00EA56DD">
        <w:rPr>
          <w:rFonts w:ascii="Times New Roman" w:eastAsia="Times New Roman" w:hAnsi="Times New Roman" w:cs="Times New Roman"/>
          <w:color w:val="000000" w:themeColor="text1"/>
          <w:sz w:val="24"/>
          <w:szCs w:val="24"/>
        </w:rPr>
        <w:t xml:space="preserve"> reporting significant suicidal or homicidal thoughts on the CCAPS-34.</w:t>
      </w:r>
      <w:r w:rsidR="007C25DB" w:rsidRPr="00EA56DD">
        <w:rPr>
          <w:rFonts w:ascii="Times New Roman" w:eastAsia="Times New Roman" w:hAnsi="Times New Roman" w:cs="Times New Roman"/>
          <w:color w:val="000000" w:themeColor="text1"/>
          <w:sz w:val="24"/>
          <w:szCs w:val="24"/>
        </w:rPr>
        <w:t xml:space="preserve"> Participants were largely White (92.8%), female (72.4%), and </w:t>
      </w:r>
      <w:r w:rsidR="00E612C8" w:rsidRPr="00EA56DD">
        <w:rPr>
          <w:rFonts w:ascii="Times New Roman" w:eastAsia="Times New Roman" w:hAnsi="Times New Roman" w:cs="Times New Roman"/>
          <w:color w:val="000000" w:themeColor="text1"/>
          <w:sz w:val="24"/>
          <w:szCs w:val="24"/>
        </w:rPr>
        <w:t>of a typical age for college students in the US</w:t>
      </w:r>
      <w:r w:rsidR="007C25DB" w:rsidRPr="00EA56DD">
        <w:rPr>
          <w:rFonts w:ascii="Times New Roman" w:eastAsia="Times New Roman" w:hAnsi="Times New Roman" w:cs="Times New Roman"/>
          <w:color w:val="000000" w:themeColor="text1"/>
          <w:sz w:val="24"/>
          <w:szCs w:val="24"/>
        </w:rPr>
        <w:t xml:space="preserve"> (</w:t>
      </w:r>
      <w:r w:rsidR="007C25DB" w:rsidRPr="00EA56DD">
        <w:rPr>
          <w:rFonts w:ascii="Times New Roman" w:eastAsia="Times New Roman" w:hAnsi="Times New Roman" w:cs="Times New Roman"/>
          <w:i/>
          <w:iCs/>
          <w:color w:val="000000" w:themeColor="text1"/>
          <w:sz w:val="24"/>
          <w:szCs w:val="24"/>
        </w:rPr>
        <w:t>M</w:t>
      </w:r>
      <w:r w:rsidR="007C25DB" w:rsidRPr="00EA56DD">
        <w:rPr>
          <w:rFonts w:ascii="Times New Roman" w:eastAsia="Times New Roman" w:hAnsi="Times New Roman" w:cs="Times New Roman"/>
          <w:color w:val="000000" w:themeColor="text1"/>
          <w:sz w:val="24"/>
          <w:szCs w:val="24"/>
        </w:rPr>
        <w:t xml:space="preserve"> = </w:t>
      </w:r>
      <w:r w:rsidR="00E612C8" w:rsidRPr="00EA56DD">
        <w:rPr>
          <w:rFonts w:ascii="Times New Roman" w:eastAsia="Times New Roman" w:hAnsi="Times New Roman" w:cs="Times New Roman"/>
          <w:color w:val="000000" w:themeColor="text1"/>
          <w:sz w:val="24"/>
          <w:szCs w:val="24"/>
        </w:rPr>
        <w:t xml:space="preserve">22.27, </w:t>
      </w:r>
      <w:r w:rsidR="00E612C8" w:rsidRPr="00EA56DD">
        <w:rPr>
          <w:rFonts w:ascii="Times New Roman" w:eastAsia="Times New Roman" w:hAnsi="Times New Roman" w:cs="Times New Roman"/>
          <w:i/>
          <w:iCs/>
          <w:color w:val="000000" w:themeColor="text1"/>
          <w:sz w:val="24"/>
          <w:szCs w:val="24"/>
        </w:rPr>
        <w:t>SD</w:t>
      </w:r>
      <w:r w:rsidR="00E612C8" w:rsidRPr="00EA56DD">
        <w:rPr>
          <w:rFonts w:ascii="Times New Roman" w:eastAsia="Times New Roman" w:hAnsi="Times New Roman" w:cs="Times New Roman"/>
          <w:color w:val="000000" w:themeColor="text1"/>
          <w:sz w:val="24"/>
          <w:szCs w:val="24"/>
        </w:rPr>
        <w:t xml:space="preserve"> = 5.08). Detailed participant demographics are available in the </w:t>
      </w:r>
      <w:r w:rsidR="0033128E" w:rsidRPr="00EA56DD">
        <w:rPr>
          <w:rFonts w:ascii="Times New Roman" w:eastAsia="Times New Roman" w:hAnsi="Times New Roman" w:cs="Times New Roman"/>
          <w:color w:val="000000" w:themeColor="text1"/>
          <w:sz w:val="24"/>
          <w:szCs w:val="24"/>
        </w:rPr>
        <w:t>article</w:t>
      </w:r>
      <w:r w:rsidR="00E612C8" w:rsidRPr="00EA56DD">
        <w:rPr>
          <w:rFonts w:ascii="Times New Roman" w:eastAsia="Times New Roman" w:hAnsi="Times New Roman" w:cs="Times New Roman"/>
          <w:color w:val="000000" w:themeColor="text1"/>
          <w:sz w:val="24"/>
          <w:szCs w:val="24"/>
        </w:rPr>
        <w:t xml:space="preserve"> reporting the primary results of this trial (</w:t>
      </w:r>
      <w:r w:rsidR="00C97973">
        <w:rPr>
          <w:rFonts w:ascii="Times New Roman" w:hAnsi="Times New Roman" w:cs="Times New Roman"/>
          <w:i/>
          <w:sz w:val="24"/>
          <w:szCs w:val="24"/>
        </w:rPr>
        <w:t>c</w:t>
      </w:r>
      <w:r w:rsidR="0033128E" w:rsidRPr="00EA56DD">
        <w:rPr>
          <w:rFonts w:ascii="Times New Roman" w:hAnsi="Times New Roman" w:cs="Times New Roman"/>
          <w:i/>
          <w:sz w:val="24"/>
          <w:szCs w:val="24"/>
        </w:rPr>
        <w:t>itation removed</w:t>
      </w:r>
      <w:r w:rsidR="00E612C8" w:rsidRPr="00EA56DD">
        <w:rPr>
          <w:rFonts w:ascii="Times New Roman" w:eastAsia="Times New Roman" w:hAnsi="Times New Roman" w:cs="Times New Roman"/>
          <w:color w:val="000000" w:themeColor="text1"/>
          <w:sz w:val="24"/>
          <w:szCs w:val="24"/>
        </w:rPr>
        <w:t>).</w:t>
      </w:r>
    </w:p>
    <w:p w14:paraId="57540A0F" w14:textId="4CDF1372" w:rsidR="00FD7EBC" w:rsidRPr="00EA56DD" w:rsidRDefault="00FD7EBC"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Procedures</w:t>
      </w:r>
    </w:p>
    <w:p w14:paraId="24F9E444" w14:textId="3D22E66F" w:rsidR="008634A5" w:rsidRPr="00EA56DD" w:rsidRDefault="008634A5" w:rsidP="007B3F99">
      <w:pPr>
        <w:spacing w:after="0" w:line="480" w:lineRule="auto"/>
        <w:rPr>
          <w:rFonts w:ascii="Times New Roman" w:hAnsi="Times New Roman" w:cs="Times New Roman"/>
          <w:bCs/>
          <w:sz w:val="24"/>
          <w:szCs w:val="24"/>
        </w:rPr>
      </w:pPr>
      <w:r w:rsidRPr="00EA56DD">
        <w:rPr>
          <w:rFonts w:ascii="Times New Roman" w:hAnsi="Times New Roman" w:cs="Times New Roman"/>
          <w:b/>
          <w:sz w:val="24"/>
          <w:szCs w:val="24"/>
        </w:rPr>
        <w:tab/>
      </w:r>
      <w:r w:rsidR="00B91D4A" w:rsidRPr="00EA56DD">
        <w:rPr>
          <w:rFonts w:ascii="Times New Roman" w:hAnsi="Times New Roman" w:cs="Times New Roman"/>
          <w:bCs/>
          <w:sz w:val="24"/>
          <w:szCs w:val="24"/>
        </w:rPr>
        <w:t>After completing an online</w:t>
      </w:r>
      <w:r w:rsidRPr="00EA56DD">
        <w:rPr>
          <w:rFonts w:ascii="Times New Roman" w:hAnsi="Times New Roman" w:cs="Times New Roman"/>
          <w:bCs/>
          <w:sz w:val="24"/>
          <w:szCs w:val="24"/>
        </w:rPr>
        <w:t xml:space="preserve"> </w:t>
      </w:r>
      <w:r w:rsidR="00715146" w:rsidRPr="00EA56DD">
        <w:rPr>
          <w:rFonts w:ascii="Times New Roman" w:hAnsi="Times New Roman" w:cs="Times New Roman"/>
          <w:bCs/>
          <w:sz w:val="24"/>
          <w:szCs w:val="24"/>
        </w:rPr>
        <w:t>baseline</w:t>
      </w:r>
      <w:r w:rsidRPr="00EA56DD">
        <w:rPr>
          <w:rFonts w:ascii="Times New Roman" w:hAnsi="Times New Roman" w:cs="Times New Roman"/>
          <w:bCs/>
          <w:sz w:val="24"/>
          <w:szCs w:val="24"/>
        </w:rPr>
        <w:t xml:space="preserve"> survey, participants were first randomized to either use a self-help website focused on </w:t>
      </w:r>
      <w:r w:rsidR="00B529F9" w:rsidRPr="00EA56DD">
        <w:rPr>
          <w:rFonts w:ascii="Times New Roman" w:hAnsi="Times New Roman" w:cs="Times New Roman"/>
          <w:bCs/>
          <w:sz w:val="24"/>
          <w:szCs w:val="24"/>
        </w:rPr>
        <w:t xml:space="preserve">full ACT (Full condition), </w:t>
      </w:r>
      <w:r w:rsidRPr="00EA56DD">
        <w:rPr>
          <w:rFonts w:ascii="Times New Roman" w:hAnsi="Times New Roman" w:cs="Times New Roman"/>
          <w:bCs/>
          <w:sz w:val="24"/>
          <w:szCs w:val="24"/>
        </w:rPr>
        <w:t xml:space="preserve">the Open (acceptance and </w:t>
      </w:r>
      <w:proofErr w:type="spellStart"/>
      <w:r w:rsidRPr="00EA56DD">
        <w:rPr>
          <w:rFonts w:ascii="Times New Roman" w:hAnsi="Times New Roman" w:cs="Times New Roman"/>
          <w:bCs/>
          <w:sz w:val="24"/>
          <w:szCs w:val="24"/>
        </w:rPr>
        <w:t>defusion</w:t>
      </w:r>
      <w:proofErr w:type="spellEnd"/>
      <w:r w:rsidRPr="00EA56DD">
        <w:rPr>
          <w:rFonts w:ascii="Times New Roman" w:hAnsi="Times New Roman" w:cs="Times New Roman"/>
          <w:bCs/>
          <w:sz w:val="24"/>
          <w:szCs w:val="24"/>
        </w:rPr>
        <w:t>) component</w:t>
      </w:r>
      <w:r w:rsidR="00FB376B" w:rsidRPr="00EA56DD">
        <w:rPr>
          <w:rFonts w:ascii="Times New Roman" w:hAnsi="Times New Roman" w:cs="Times New Roman"/>
          <w:bCs/>
          <w:sz w:val="24"/>
          <w:szCs w:val="24"/>
        </w:rPr>
        <w:t>s</w:t>
      </w:r>
      <w:r w:rsidRPr="00EA56DD">
        <w:rPr>
          <w:rFonts w:ascii="Times New Roman" w:hAnsi="Times New Roman" w:cs="Times New Roman"/>
          <w:bCs/>
          <w:sz w:val="24"/>
          <w:szCs w:val="24"/>
        </w:rPr>
        <w:t xml:space="preserve"> of ACT</w:t>
      </w:r>
      <w:r w:rsidR="005B2271" w:rsidRPr="00EA56DD">
        <w:rPr>
          <w:rFonts w:ascii="Times New Roman" w:hAnsi="Times New Roman" w:cs="Times New Roman"/>
          <w:bCs/>
          <w:sz w:val="24"/>
          <w:szCs w:val="24"/>
        </w:rPr>
        <w:t xml:space="preserve"> (Open condition)</w:t>
      </w:r>
      <w:r w:rsidRPr="00EA56DD">
        <w:rPr>
          <w:rFonts w:ascii="Times New Roman" w:hAnsi="Times New Roman" w:cs="Times New Roman"/>
          <w:bCs/>
          <w:sz w:val="24"/>
          <w:szCs w:val="24"/>
        </w:rPr>
        <w:t>, the Engaged (values and committed action) component</w:t>
      </w:r>
      <w:r w:rsidR="00FB376B" w:rsidRPr="00EA56DD">
        <w:rPr>
          <w:rFonts w:ascii="Times New Roman" w:hAnsi="Times New Roman" w:cs="Times New Roman"/>
          <w:bCs/>
          <w:sz w:val="24"/>
          <w:szCs w:val="24"/>
        </w:rPr>
        <w:t>s</w:t>
      </w:r>
      <w:r w:rsidRPr="00EA56DD">
        <w:rPr>
          <w:rFonts w:ascii="Times New Roman" w:hAnsi="Times New Roman" w:cs="Times New Roman"/>
          <w:bCs/>
          <w:sz w:val="24"/>
          <w:szCs w:val="24"/>
        </w:rPr>
        <w:t xml:space="preserve"> of ACT</w:t>
      </w:r>
      <w:r w:rsidR="005B2271" w:rsidRPr="00EA56DD">
        <w:rPr>
          <w:rFonts w:ascii="Times New Roman" w:hAnsi="Times New Roman" w:cs="Times New Roman"/>
          <w:bCs/>
          <w:sz w:val="24"/>
          <w:szCs w:val="24"/>
        </w:rPr>
        <w:t xml:space="preserve"> (Engaged condition)</w:t>
      </w:r>
      <w:r w:rsidRPr="00EA56DD">
        <w:rPr>
          <w:rFonts w:ascii="Times New Roman" w:hAnsi="Times New Roman" w:cs="Times New Roman"/>
          <w:bCs/>
          <w:sz w:val="24"/>
          <w:szCs w:val="24"/>
        </w:rPr>
        <w:t xml:space="preserve">, or </w:t>
      </w:r>
      <w:r w:rsidR="005B2271" w:rsidRPr="00EA56DD">
        <w:rPr>
          <w:rFonts w:ascii="Times New Roman" w:hAnsi="Times New Roman" w:cs="Times New Roman"/>
          <w:bCs/>
          <w:sz w:val="24"/>
          <w:szCs w:val="24"/>
        </w:rPr>
        <w:t xml:space="preserve">to </w:t>
      </w:r>
      <w:r w:rsidR="00527AEA" w:rsidRPr="00EA56DD">
        <w:rPr>
          <w:rFonts w:ascii="Times New Roman" w:hAnsi="Times New Roman" w:cs="Times New Roman"/>
          <w:bCs/>
          <w:sz w:val="24"/>
          <w:szCs w:val="24"/>
        </w:rPr>
        <w:t>a waitlist condition</w:t>
      </w:r>
      <w:r w:rsidRPr="00EA56DD">
        <w:rPr>
          <w:rFonts w:ascii="Times New Roman" w:hAnsi="Times New Roman" w:cs="Times New Roman"/>
          <w:bCs/>
          <w:sz w:val="24"/>
          <w:szCs w:val="24"/>
        </w:rPr>
        <w:t xml:space="preserve">. Participants </w:t>
      </w:r>
      <w:r w:rsidR="00DC1EAB">
        <w:rPr>
          <w:rFonts w:ascii="Times New Roman" w:hAnsi="Times New Roman" w:cs="Times New Roman"/>
          <w:bCs/>
          <w:sz w:val="24"/>
          <w:szCs w:val="24"/>
        </w:rPr>
        <w:t xml:space="preserve">assigned to an ACT condition </w:t>
      </w:r>
      <w:r w:rsidRPr="00EA56DD">
        <w:rPr>
          <w:rFonts w:ascii="Times New Roman" w:hAnsi="Times New Roman" w:cs="Times New Roman"/>
          <w:bCs/>
          <w:sz w:val="24"/>
          <w:szCs w:val="24"/>
        </w:rPr>
        <w:t xml:space="preserve">were asked to </w:t>
      </w:r>
      <w:r w:rsidR="00FB376B" w:rsidRPr="00EA56DD">
        <w:rPr>
          <w:rFonts w:ascii="Times New Roman" w:hAnsi="Times New Roman" w:cs="Times New Roman"/>
          <w:bCs/>
          <w:sz w:val="24"/>
          <w:szCs w:val="24"/>
        </w:rPr>
        <w:t>use</w:t>
      </w:r>
      <w:r w:rsidRPr="00EA56DD">
        <w:rPr>
          <w:rFonts w:ascii="Times New Roman" w:hAnsi="Times New Roman" w:cs="Times New Roman"/>
          <w:bCs/>
          <w:sz w:val="24"/>
          <w:szCs w:val="24"/>
        </w:rPr>
        <w:t xml:space="preserve"> their assigned website </w:t>
      </w:r>
      <w:r w:rsidR="00FB376B" w:rsidRPr="00EA56DD">
        <w:rPr>
          <w:rFonts w:ascii="Times New Roman" w:hAnsi="Times New Roman" w:cs="Times New Roman"/>
          <w:bCs/>
          <w:sz w:val="24"/>
          <w:szCs w:val="24"/>
        </w:rPr>
        <w:t>over</w:t>
      </w:r>
      <w:r w:rsidRPr="00EA56DD">
        <w:rPr>
          <w:rFonts w:ascii="Times New Roman" w:hAnsi="Times New Roman" w:cs="Times New Roman"/>
          <w:bCs/>
          <w:sz w:val="24"/>
          <w:szCs w:val="24"/>
        </w:rPr>
        <w:t xml:space="preserve"> the next six weeks</w:t>
      </w:r>
      <w:r w:rsidR="00DC1EAB">
        <w:rPr>
          <w:rFonts w:ascii="Times New Roman" w:hAnsi="Times New Roman" w:cs="Times New Roman"/>
          <w:bCs/>
          <w:sz w:val="24"/>
          <w:szCs w:val="24"/>
        </w:rPr>
        <w:t>. These participants</w:t>
      </w:r>
      <w:r w:rsidR="00527AEA" w:rsidRPr="00EA56DD">
        <w:rPr>
          <w:rFonts w:ascii="Times New Roman" w:hAnsi="Times New Roman" w:cs="Times New Roman"/>
          <w:bCs/>
          <w:sz w:val="24"/>
          <w:szCs w:val="24"/>
        </w:rPr>
        <w:t xml:space="preserve"> </w:t>
      </w:r>
      <w:r w:rsidRPr="00EA56DD">
        <w:rPr>
          <w:rFonts w:ascii="Times New Roman" w:hAnsi="Times New Roman" w:cs="Times New Roman"/>
          <w:bCs/>
          <w:sz w:val="24"/>
          <w:szCs w:val="24"/>
        </w:rPr>
        <w:t xml:space="preserve">were further randomized to either receive phone coaching for six weeks </w:t>
      </w:r>
      <w:r w:rsidR="00F2286B" w:rsidRPr="00EA56DD">
        <w:rPr>
          <w:rFonts w:ascii="Times New Roman" w:hAnsi="Times New Roman" w:cs="Times New Roman"/>
          <w:bCs/>
          <w:sz w:val="24"/>
          <w:szCs w:val="24"/>
        </w:rPr>
        <w:t xml:space="preserve">(coaching condition) </w:t>
      </w:r>
      <w:r w:rsidRPr="00EA56DD">
        <w:rPr>
          <w:rFonts w:ascii="Times New Roman" w:hAnsi="Times New Roman" w:cs="Times New Roman"/>
          <w:bCs/>
          <w:sz w:val="24"/>
          <w:szCs w:val="24"/>
        </w:rPr>
        <w:t xml:space="preserve">or </w:t>
      </w:r>
      <w:r w:rsidR="00B529F9" w:rsidRPr="00EA56DD">
        <w:rPr>
          <w:rFonts w:ascii="Times New Roman" w:hAnsi="Times New Roman" w:cs="Times New Roman"/>
          <w:bCs/>
          <w:sz w:val="24"/>
          <w:szCs w:val="24"/>
        </w:rPr>
        <w:t>to only receive email prompts</w:t>
      </w:r>
      <w:r w:rsidRPr="00EA56DD">
        <w:rPr>
          <w:rFonts w:ascii="Times New Roman" w:hAnsi="Times New Roman" w:cs="Times New Roman"/>
          <w:bCs/>
          <w:sz w:val="24"/>
          <w:szCs w:val="24"/>
        </w:rPr>
        <w:t xml:space="preserve"> for six weeks</w:t>
      </w:r>
      <w:r w:rsidR="00F2286B" w:rsidRPr="00EA56DD">
        <w:rPr>
          <w:rFonts w:ascii="Times New Roman" w:hAnsi="Times New Roman" w:cs="Times New Roman"/>
          <w:bCs/>
          <w:sz w:val="24"/>
          <w:szCs w:val="24"/>
        </w:rPr>
        <w:t xml:space="preserve"> (non-coaching condition)</w:t>
      </w:r>
      <w:r w:rsidRPr="00EA56DD">
        <w:rPr>
          <w:rFonts w:ascii="Times New Roman" w:hAnsi="Times New Roman" w:cs="Times New Roman"/>
          <w:bCs/>
          <w:sz w:val="24"/>
          <w:szCs w:val="24"/>
        </w:rPr>
        <w:t>. All participants complete</w:t>
      </w:r>
      <w:r w:rsidR="00B529F9" w:rsidRPr="00EA56DD">
        <w:rPr>
          <w:rFonts w:ascii="Times New Roman" w:hAnsi="Times New Roman" w:cs="Times New Roman"/>
          <w:bCs/>
          <w:sz w:val="24"/>
          <w:szCs w:val="24"/>
        </w:rPr>
        <w:t>d</w:t>
      </w:r>
      <w:r w:rsidRPr="00EA56DD">
        <w:rPr>
          <w:rFonts w:ascii="Times New Roman" w:hAnsi="Times New Roman" w:cs="Times New Roman"/>
          <w:bCs/>
          <w:sz w:val="24"/>
          <w:szCs w:val="24"/>
        </w:rPr>
        <w:t xml:space="preserve"> a posttreatment survey six weeks after baseline, and a follow-up survey 10 weeks after baseline.</w:t>
      </w:r>
    </w:p>
    <w:p w14:paraId="3E28B10D" w14:textId="2AEFD6B5" w:rsidR="008634A5" w:rsidRPr="00EA56DD" w:rsidRDefault="008634A5" w:rsidP="007B3F99">
      <w:pPr>
        <w:spacing w:after="0" w:line="480" w:lineRule="auto"/>
        <w:rPr>
          <w:rFonts w:ascii="Times New Roman" w:hAnsi="Times New Roman" w:cs="Times New Roman"/>
          <w:bCs/>
          <w:sz w:val="24"/>
          <w:szCs w:val="24"/>
        </w:rPr>
      </w:pPr>
      <w:r w:rsidRPr="00EA56DD">
        <w:rPr>
          <w:rFonts w:ascii="Times New Roman" w:hAnsi="Times New Roman" w:cs="Times New Roman"/>
          <w:bCs/>
          <w:sz w:val="24"/>
          <w:szCs w:val="24"/>
        </w:rPr>
        <w:tab/>
      </w:r>
      <w:r w:rsidR="00E1199C" w:rsidRPr="00EA56DD">
        <w:rPr>
          <w:rFonts w:ascii="Times New Roman" w:hAnsi="Times New Roman" w:cs="Times New Roman"/>
          <w:bCs/>
          <w:sz w:val="24"/>
          <w:szCs w:val="24"/>
        </w:rPr>
        <w:t xml:space="preserve">A detailed description of the intervention conditions is available in </w:t>
      </w:r>
      <w:r w:rsidR="0033128E" w:rsidRPr="00EA56DD">
        <w:rPr>
          <w:rFonts w:ascii="Times New Roman" w:hAnsi="Times New Roman" w:cs="Times New Roman"/>
          <w:i/>
          <w:sz w:val="24"/>
          <w:szCs w:val="24"/>
        </w:rPr>
        <w:t>citation removed</w:t>
      </w:r>
      <w:r w:rsidR="00E1199C" w:rsidRPr="00EA56DD">
        <w:rPr>
          <w:rFonts w:ascii="Times New Roman" w:hAnsi="Times New Roman" w:cs="Times New Roman"/>
          <w:bCs/>
          <w:sz w:val="24"/>
          <w:szCs w:val="24"/>
        </w:rPr>
        <w:t xml:space="preserve">. </w:t>
      </w:r>
      <w:r w:rsidR="002B148F" w:rsidRPr="00EA56DD">
        <w:rPr>
          <w:rFonts w:ascii="Times New Roman" w:hAnsi="Times New Roman" w:cs="Times New Roman"/>
          <w:bCs/>
          <w:sz w:val="24"/>
          <w:szCs w:val="24"/>
        </w:rPr>
        <w:t xml:space="preserve">In brief, </w:t>
      </w:r>
      <w:r w:rsidR="00682483" w:rsidRPr="00EA56DD">
        <w:rPr>
          <w:rFonts w:ascii="Times New Roman" w:hAnsi="Times New Roman" w:cs="Times New Roman"/>
          <w:bCs/>
          <w:sz w:val="24"/>
          <w:szCs w:val="24"/>
        </w:rPr>
        <w:t xml:space="preserve">all active conditions used a self-help website hosted on Qualtrics, </w:t>
      </w:r>
      <w:r w:rsidR="005C678C" w:rsidRPr="00EA56DD">
        <w:rPr>
          <w:rFonts w:ascii="Times New Roman" w:hAnsi="Times New Roman" w:cs="Times New Roman"/>
          <w:bCs/>
          <w:sz w:val="24"/>
          <w:szCs w:val="24"/>
        </w:rPr>
        <w:t>which included</w:t>
      </w:r>
      <w:r w:rsidR="00682483" w:rsidRPr="00EA56DD">
        <w:rPr>
          <w:rFonts w:ascii="Times New Roman" w:hAnsi="Times New Roman" w:cs="Times New Roman"/>
          <w:bCs/>
          <w:sz w:val="24"/>
          <w:szCs w:val="24"/>
        </w:rPr>
        <w:t xml:space="preserve"> 12 sessions</w:t>
      </w:r>
      <w:r w:rsidR="005B2271" w:rsidRPr="00EA56DD">
        <w:rPr>
          <w:rFonts w:ascii="Times New Roman" w:hAnsi="Times New Roman" w:cs="Times New Roman"/>
          <w:bCs/>
          <w:sz w:val="24"/>
          <w:szCs w:val="24"/>
        </w:rPr>
        <w:t>,</w:t>
      </w:r>
      <w:r w:rsidR="005C678C" w:rsidRPr="00EA56DD">
        <w:rPr>
          <w:rFonts w:ascii="Times New Roman" w:hAnsi="Times New Roman" w:cs="Times New Roman"/>
          <w:bCs/>
          <w:sz w:val="24"/>
          <w:szCs w:val="24"/>
        </w:rPr>
        <w:t xml:space="preserve"> each</w:t>
      </w:r>
      <w:r w:rsidR="00682483" w:rsidRPr="00EA56DD">
        <w:rPr>
          <w:rFonts w:ascii="Times New Roman" w:hAnsi="Times New Roman" w:cs="Times New Roman"/>
          <w:bCs/>
          <w:sz w:val="24"/>
          <w:szCs w:val="24"/>
        </w:rPr>
        <w:t xml:space="preserve"> estimated to </w:t>
      </w:r>
      <w:r w:rsidR="005C678C" w:rsidRPr="00EA56DD">
        <w:rPr>
          <w:rFonts w:ascii="Times New Roman" w:hAnsi="Times New Roman" w:cs="Times New Roman"/>
          <w:bCs/>
          <w:sz w:val="24"/>
          <w:szCs w:val="24"/>
        </w:rPr>
        <w:t>require</w:t>
      </w:r>
      <w:r w:rsidR="00682483" w:rsidRPr="00EA56DD">
        <w:rPr>
          <w:rFonts w:ascii="Times New Roman" w:hAnsi="Times New Roman" w:cs="Times New Roman"/>
          <w:bCs/>
          <w:sz w:val="24"/>
          <w:szCs w:val="24"/>
        </w:rPr>
        <w:t xml:space="preserve"> approximately 15-</w:t>
      </w:r>
      <w:r w:rsidR="00F94CE4" w:rsidRPr="00EA56DD">
        <w:rPr>
          <w:rFonts w:ascii="Times New Roman" w:hAnsi="Times New Roman" w:cs="Times New Roman"/>
          <w:bCs/>
          <w:sz w:val="24"/>
          <w:szCs w:val="24"/>
        </w:rPr>
        <w:t>3</w:t>
      </w:r>
      <w:r w:rsidR="00682483" w:rsidRPr="00EA56DD">
        <w:rPr>
          <w:rFonts w:ascii="Times New Roman" w:hAnsi="Times New Roman" w:cs="Times New Roman"/>
          <w:bCs/>
          <w:sz w:val="24"/>
          <w:szCs w:val="24"/>
        </w:rPr>
        <w:t xml:space="preserve">0 minutes to complete. The website sessions were interactive and incorporated reflection questions, writing exercises, audio/video, </w:t>
      </w:r>
      <w:r w:rsidR="00682483" w:rsidRPr="00EA56DD">
        <w:rPr>
          <w:rFonts w:ascii="Times New Roman" w:hAnsi="Times New Roman" w:cs="Times New Roman"/>
          <w:bCs/>
          <w:sz w:val="24"/>
          <w:szCs w:val="24"/>
        </w:rPr>
        <w:lastRenderedPageBreak/>
        <w:t>text description and metaphors, and varied examples. Content was</w:t>
      </w:r>
      <w:r w:rsidR="00F94CE4" w:rsidRPr="00EA56DD">
        <w:rPr>
          <w:rFonts w:ascii="Times New Roman" w:hAnsi="Times New Roman" w:cs="Times New Roman"/>
          <w:bCs/>
          <w:sz w:val="24"/>
          <w:szCs w:val="24"/>
        </w:rPr>
        <w:t xml:space="preserve"> developed by ACT experts and</w:t>
      </w:r>
      <w:r w:rsidR="00682483" w:rsidRPr="00EA56DD">
        <w:rPr>
          <w:rFonts w:ascii="Times New Roman" w:hAnsi="Times New Roman" w:cs="Times New Roman"/>
          <w:bCs/>
          <w:sz w:val="24"/>
          <w:szCs w:val="24"/>
        </w:rPr>
        <w:t xml:space="preserve"> written from a transdiagnostic perspective to address a wide range of concerns. </w:t>
      </w:r>
    </w:p>
    <w:p w14:paraId="6F32D4E2" w14:textId="6FD1D8ED" w:rsidR="002417B3" w:rsidRPr="00EA56DD" w:rsidRDefault="00F94CE4" w:rsidP="007B3F99">
      <w:pPr>
        <w:spacing w:after="0" w:line="480" w:lineRule="auto"/>
        <w:rPr>
          <w:rFonts w:ascii="Times New Roman" w:hAnsi="Times New Roman" w:cs="Times New Roman"/>
          <w:bCs/>
          <w:sz w:val="24"/>
          <w:szCs w:val="24"/>
        </w:rPr>
      </w:pPr>
      <w:r w:rsidRPr="00EA56DD">
        <w:rPr>
          <w:rFonts w:ascii="Times New Roman" w:hAnsi="Times New Roman" w:cs="Times New Roman"/>
          <w:bCs/>
          <w:sz w:val="24"/>
          <w:szCs w:val="24"/>
        </w:rPr>
        <w:tab/>
      </w:r>
      <w:r w:rsidR="005419B3" w:rsidRPr="00EA56DD">
        <w:rPr>
          <w:rFonts w:ascii="Times New Roman" w:hAnsi="Times New Roman" w:cs="Times New Roman"/>
          <w:bCs/>
          <w:sz w:val="24"/>
          <w:szCs w:val="24"/>
        </w:rPr>
        <w:t xml:space="preserve">All participants </w:t>
      </w:r>
      <w:r w:rsidR="005C678C" w:rsidRPr="00EA56DD">
        <w:rPr>
          <w:rFonts w:ascii="Times New Roman" w:hAnsi="Times New Roman" w:cs="Times New Roman"/>
          <w:bCs/>
          <w:sz w:val="24"/>
          <w:szCs w:val="24"/>
        </w:rPr>
        <w:t xml:space="preserve">in active conditions </w:t>
      </w:r>
      <w:r w:rsidR="005419B3" w:rsidRPr="00EA56DD">
        <w:rPr>
          <w:rFonts w:ascii="Times New Roman" w:hAnsi="Times New Roman" w:cs="Times New Roman"/>
          <w:bCs/>
          <w:sz w:val="24"/>
          <w:szCs w:val="24"/>
        </w:rPr>
        <w:t>received regular email reminders to help with consistent engagement</w:t>
      </w:r>
      <w:r w:rsidR="002417B3" w:rsidRPr="00EA56DD">
        <w:rPr>
          <w:rFonts w:ascii="Times New Roman" w:hAnsi="Times New Roman" w:cs="Times New Roman"/>
          <w:bCs/>
          <w:sz w:val="24"/>
          <w:szCs w:val="24"/>
        </w:rPr>
        <w:t xml:space="preserve">, </w:t>
      </w:r>
      <w:proofErr w:type="gramStart"/>
      <w:r w:rsidR="002417B3" w:rsidRPr="00EA56DD">
        <w:rPr>
          <w:rFonts w:ascii="Times New Roman" w:hAnsi="Times New Roman" w:cs="Times New Roman"/>
          <w:bCs/>
          <w:sz w:val="24"/>
          <w:szCs w:val="24"/>
        </w:rPr>
        <w:t>whether or not</w:t>
      </w:r>
      <w:proofErr w:type="gramEnd"/>
      <w:r w:rsidR="002417B3" w:rsidRPr="00EA56DD">
        <w:rPr>
          <w:rFonts w:ascii="Times New Roman" w:hAnsi="Times New Roman" w:cs="Times New Roman"/>
          <w:bCs/>
          <w:sz w:val="24"/>
          <w:szCs w:val="24"/>
        </w:rPr>
        <w:t xml:space="preserve"> they also received phone coaching</w:t>
      </w:r>
      <w:r w:rsidR="005419B3" w:rsidRPr="00EA56DD">
        <w:rPr>
          <w:rFonts w:ascii="Times New Roman" w:hAnsi="Times New Roman" w:cs="Times New Roman"/>
          <w:bCs/>
          <w:sz w:val="24"/>
          <w:szCs w:val="24"/>
        </w:rPr>
        <w:t xml:space="preserve">. These reminders were sent at least once each </w:t>
      </w:r>
      <w:proofErr w:type="gramStart"/>
      <w:r w:rsidR="005419B3" w:rsidRPr="00EA56DD">
        <w:rPr>
          <w:rFonts w:ascii="Times New Roman" w:hAnsi="Times New Roman" w:cs="Times New Roman"/>
          <w:bCs/>
          <w:sz w:val="24"/>
          <w:szCs w:val="24"/>
        </w:rPr>
        <w:t>week, but</w:t>
      </w:r>
      <w:proofErr w:type="gramEnd"/>
      <w:r w:rsidR="005419B3" w:rsidRPr="00EA56DD">
        <w:rPr>
          <w:rFonts w:ascii="Times New Roman" w:hAnsi="Times New Roman" w:cs="Times New Roman"/>
          <w:bCs/>
          <w:sz w:val="24"/>
          <w:szCs w:val="24"/>
        </w:rPr>
        <w:t xml:space="preserve"> were sent more frequently (two-three times per week) for participants who fell behind in completing website sessions. </w:t>
      </w:r>
      <w:r w:rsidR="007B2811" w:rsidRPr="00EA56DD">
        <w:rPr>
          <w:rFonts w:ascii="Times New Roman" w:hAnsi="Times New Roman" w:cs="Times New Roman"/>
          <w:bCs/>
          <w:sz w:val="24"/>
          <w:szCs w:val="24"/>
        </w:rPr>
        <w:t>Email reminders were brief</w:t>
      </w:r>
      <w:r w:rsidR="00972352" w:rsidRPr="00EA56DD">
        <w:rPr>
          <w:rFonts w:ascii="Times New Roman" w:hAnsi="Times New Roman" w:cs="Times New Roman"/>
          <w:bCs/>
          <w:sz w:val="24"/>
          <w:szCs w:val="24"/>
        </w:rPr>
        <w:t xml:space="preserve"> and formulaic (i.e., they could be automated)</w:t>
      </w:r>
      <w:r w:rsidR="007B2811" w:rsidRPr="00EA56DD">
        <w:rPr>
          <w:rFonts w:ascii="Times New Roman" w:hAnsi="Times New Roman" w:cs="Times New Roman"/>
          <w:bCs/>
          <w:sz w:val="24"/>
          <w:szCs w:val="24"/>
        </w:rPr>
        <w:t xml:space="preserve">, but did include some elements of human support such as reinforcing adherence and normalizing difficulties with engagement. </w:t>
      </w:r>
    </w:p>
    <w:p w14:paraId="027FF107" w14:textId="271A00E3" w:rsidR="00E83C7B" w:rsidRPr="00EA56DD" w:rsidRDefault="005419B3" w:rsidP="002417B3">
      <w:pPr>
        <w:spacing w:after="0" w:line="480" w:lineRule="auto"/>
        <w:ind w:firstLine="720"/>
        <w:rPr>
          <w:rFonts w:ascii="Times New Roman" w:hAnsi="Times New Roman" w:cs="Times New Roman"/>
          <w:bCs/>
          <w:sz w:val="24"/>
          <w:szCs w:val="24"/>
        </w:rPr>
      </w:pPr>
      <w:r w:rsidRPr="00EA56DD">
        <w:rPr>
          <w:rFonts w:ascii="Times New Roman" w:hAnsi="Times New Roman" w:cs="Times New Roman"/>
          <w:bCs/>
          <w:sz w:val="24"/>
          <w:szCs w:val="24"/>
        </w:rPr>
        <w:t xml:space="preserve">Participants </w:t>
      </w:r>
      <w:r w:rsidR="00E66B98" w:rsidRPr="00EA56DD">
        <w:rPr>
          <w:rFonts w:ascii="Times New Roman" w:hAnsi="Times New Roman" w:cs="Times New Roman"/>
          <w:bCs/>
          <w:sz w:val="24"/>
          <w:szCs w:val="24"/>
        </w:rPr>
        <w:t xml:space="preserve">randomly </w:t>
      </w:r>
      <w:r w:rsidRPr="00EA56DD">
        <w:rPr>
          <w:rFonts w:ascii="Times New Roman" w:hAnsi="Times New Roman" w:cs="Times New Roman"/>
          <w:bCs/>
          <w:sz w:val="24"/>
          <w:szCs w:val="24"/>
        </w:rPr>
        <w:t xml:space="preserve">assigned to </w:t>
      </w:r>
      <w:r w:rsidR="00F2286B" w:rsidRPr="00EA56DD">
        <w:rPr>
          <w:rFonts w:ascii="Times New Roman" w:hAnsi="Times New Roman" w:cs="Times New Roman"/>
          <w:bCs/>
          <w:sz w:val="24"/>
          <w:szCs w:val="24"/>
        </w:rPr>
        <w:t>the coaching condition</w:t>
      </w:r>
      <w:r w:rsidRPr="00EA56DD">
        <w:rPr>
          <w:rFonts w:ascii="Times New Roman" w:hAnsi="Times New Roman" w:cs="Times New Roman"/>
          <w:bCs/>
          <w:sz w:val="24"/>
          <w:szCs w:val="24"/>
        </w:rPr>
        <w:t xml:space="preserve"> received phone coaching calls on a regular basis to further support motivation, engagement, and adherence.</w:t>
      </w:r>
      <w:r w:rsidR="002417B3" w:rsidRPr="00EA56DD">
        <w:rPr>
          <w:rFonts w:ascii="Times New Roman" w:hAnsi="Times New Roman" w:cs="Times New Roman"/>
          <w:bCs/>
          <w:sz w:val="24"/>
          <w:szCs w:val="24"/>
        </w:rPr>
        <w:t xml:space="preserve"> </w:t>
      </w:r>
      <w:r w:rsidRPr="00EA56DD">
        <w:rPr>
          <w:rFonts w:ascii="Times New Roman" w:hAnsi="Times New Roman" w:cs="Times New Roman"/>
          <w:bCs/>
          <w:sz w:val="24"/>
          <w:szCs w:val="24"/>
        </w:rPr>
        <w:t>The coaches in this study were two doctoral students in clinical/counseling psychology who had received at least one year of training in basic counseling skills. Coaching followed a protocol</w:t>
      </w:r>
      <w:r w:rsidR="00A95F77" w:rsidRPr="00EA56DD">
        <w:rPr>
          <w:rFonts w:ascii="Times New Roman" w:hAnsi="Times New Roman" w:cs="Times New Roman"/>
          <w:bCs/>
          <w:sz w:val="24"/>
          <w:szCs w:val="24"/>
        </w:rPr>
        <w:t xml:space="preserve"> adapted from a well-established phone coaching protocol for internet interventions </w:t>
      </w:r>
      <w:r w:rsidR="00A95F77" w:rsidRPr="00EA56DD">
        <w:rPr>
          <w:rFonts w:ascii="Times New Roman" w:hAnsi="Times New Roman" w:cs="Times New Roman"/>
          <w:bCs/>
          <w:sz w:val="24"/>
          <w:szCs w:val="24"/>
        </w:rPr>
        <w:fldChar w:fldCharType="begin"/>
      </w:r>
      <w:r w:rsidR="00A95F77" w:rsidRPr="00EA56DD">
        <w:rPr>
          <w:rFonts w:ascii="Times New Roman" w:hAnsi="Times New Roman" w:cs="Times New Roman"/>
          <w:bCs/>
          <w:sz w:val="24"/>
          <w:szCs w:val="24"/>
        </w:rPr>
        <w:instrText xml:space="preserve"> ADDIN EN.CITE &lt;EndNote&gt;&lt;Cite&gt;&lt;Author&gt;Duffecy&lt;/Author&gt;&lt;Year&gt;2011&lt;/Year&gt;&lt;RecNum&gt;4648&lt;/RecNum&gt;&lt;DisplayText&gt;(Duffecy, Kinsinger, Ludman, &amp;amp; Mohr, 2011)&lt;/DisplayText&gt;&lt;record&gt;&lt;rec-number&gt;4648&lt;/rec-number&gt;&lt;foreign-keys&gt;&lt;key app="EN" db-id="x2xdd20v1afdwtepwxcvxd2ydtwra2eztaee" timestamp="1570384626"&gt;4648&lt;/key&gt;&lt;/foreign-keys&gt;&lt;ref-type name="Journal Article"&gt;17&lt;/ref-type&gt;&lt;contributors&gt;&lt;authors&gt;&lt;author&gt;Duffecy, J&lt;/author&gt;&lt;author&gt;Kinsinger, S&lt;/author&gt;&lt;author&gt;Ludman, E&lt;/author&gt;&lt;author&gt;Mohr, DC&lt;/author&gt;&lt;/authors&gt;&lt;/contributors&gt;&lt;titles&gt;&lt;title&gt;Telephone coaching to support adherence to internet interventions (TeleCoach): Coach Manual&lt;/title&gt;&lt;/titles&gt;&lt;dates&gt;&lt;year&gt;2011&lt;/year&gt;&lt;/dates&gt;&lt;urls&gt;&lt;/urls&gt;&lt;/record&gt;&lt;/Cite&gt;&lt;/EndNote&gt;</w:instrText>
      </w:r>
      <w:r w:rsidR="00A95F77" w:rsidRPr="00EA56DD">
        <w:rPr>
          <w:rFonts w:ascii="Times New Roman" w:hAnsi="Times New Roman" w:cs="Times New Roman"/>
          <w:bCs/>
          <w:sz w:val="24"/>
          <w:szCs w:val="24"/>
        </w:rPr>
        <w:fldChar w:fldCharType="separate"/>
      </w:r>
      <w:r w:rsidR="00A95F77" w:rsidRPr="00EA56DD">
        <w:rPr>
          <w:rFonts w:ascii="Times New Roman" w:hAnsi="Times New Roman" w:cs="Times New Roman"/>
          <w:bCs/>
          <w:noProof/>
          <w:sz w:val="24"/>
          <w:szCs w:val="24"/>
        </w:rPr>
        <w:t>(Duffecy, Kinsinger, Ludman, &amp; Mohr, 2011)</w:t>
      </w:r>
      <w:r w:rsidR="00A95F77" w:rsidRPr="00EA56DD">
        <w:rPr>
          <w:rFonts w:ascii="Times New Roman" w:hAnsi="Times New Roman" w:cs="Times New Roman"/>
          <w:bCs/>
          <w:sz w:val="24"/>
          <w:szCs w:val="24"/>
        </w:rPr>
        <w:fldChar w:fldCharType="end"/>
      </w:r>
      <w:r w:rsidRPr="00EA56DD">
        <w:rPr>
          <w:rFonts w:ascii="Times New Roman" w:hAnsi="Times New Roman" w:cs="Times New Roman"/>
          <w:bCs/>
          <w:sz w:val="24"/>
          <w:szCs w:val="24"/>
        </w:rPr>
        <w:t xml:space="preserve"> based on the supportive accountability model for web-based health interventions</w:t>
      </w:r>
      <w:r w:rsidR="000470BD" w:rsidRPr="00EA56DD">
        <w:rPr>
          <w:rFonts w:ascii="Times New Roman" w:hAnsi="Times New Roman" w:cs="Times New Roman"/>
          <w:bCs/>
          <w:sz w:val="24"/>
          <w:szCs w:val="24"/>
        </w:rPr>
        <w:t xml:space="preserve"> </w:t>
      </w:r>
      <w:r w:rsidR="000470BD" w:rsidRPr="00EA56DD">
        <w:rPr>
          <w:rFonts w:ascii="Times New Roman" w:hAnsi="Times New Roman" w:cs="Times New Roman"/>
          <w:bCs/>
          <w:sz w:val="24"/>
          <w:szCs w:val="24"/>
        </w:rPr>
        <w:fldChar w:fldCharType="begin"/>
      </w:r>
      <w:r w:rsidR="000470BD" w:rsidRPr="00EA56DD">
        <w:rPr>
          <w:rFonts w:ascii="Times New Roman" w:hAnsi="Times New Roman" w:cs="Times New Roman"/>
          <w:bCs/>
          <w:sz w:val="24"/>
          <w:szCs w:val="24"/>
        </w:rPr>
        <w:instrText xml:space="preserve"> ADDIN EN.CITE &lt;EndNote&gt;&lt;Cite&gt;&lt;Author&gt;Mohr&lt;/Author&gt;&lt;Year&gt;2011&lt;/Year&gt;&lt;RecNum&gt;4011&lt;/RecNum&gt;&lt;DisplayText&gt;(Mohr, Cuijpers, &amp;amp; Lehman, 2011)&lt;/DisplayText&gt;&lt;record&gt;&lt;rec-number&gt;4011&lt;/rec-number&gt;&lt;foreign-keys&gt;&lt;key app="EN" db-id="x2xdd20v1afdwtepwxcvxd2ydtwra2eztaee" timestamp="1569448089"&gt;4011&lt;/key&gt;&lt;/foreign-keys&gt;&lt;ref-type name="Generic"&gt;13&lt;/ref-type&gt;&lt;contributors&gt;&lt;authors&gt;&lt;author&gt;Mohr, David C&lt;/author&gt;&lt;author&gt;Cuijpers, Pim&lt;/author&gt;&lt;author&gt;Lehman, Kenneth&lt;/author&gt;&lt;/authors&gt;&lt;/contributors&gt;&lt;titles&gt;&lt;title&gt;Supportive accountability: A model for providing human support to enhance adherence to eHealth interventions&lt;/title&gt;&lt;secondary-title&gt;Journal of Medical Internet Research&lt;/secondary-title&gt;&lt;/titles&gt;&lt;pages&gt;1-11&lt;/pages&gt;&lt;volume&gt;13&lt;/volume&gt;&lt;keywords&gt;&lt;keyword&gt;Accountability&lt;/keyword&gt;&lt;keyword&gt;Adherence&lt;/keyword&gt;&lt;keyword&gt;Computer-mediated communication&lt;/keyword&gt;&lt;keyword&gt;Human support&lt;/keyword&gt;&lt;keyword&gt;Internet intervention&lt;/keyword&gt;&lt;keyword&gt;Motivation&lt;/keyword&gt;&lt;/keywords&gt;&lt;dates&gt;&lt;year&gt;2011&lt;/year&gt;&lt;/dates&gt;&lt;isbn&gt;1438-8871 (Electronic)\r1438-8871 (Linking)&lt;/isbn&gt;&lt;accession-num&gt;21393123&lt;/accession-num&gt;&lt;urls&gt;&lt;/urls&gt;&lt;electronic-resource-num&gt;10.2196/jmir.1602&lt;/electronic-resource-num&gt;&lt;/record&gt;&lt;/Cite&gt;&lt;/EndNote&gt;</w:instrText>
      </w:r>
      <w:r w:rsidR="000470BD" w:rsidRPr="00EA56DD">
        <w:rPr>
          <w:rFonts w:ascii="Times New Roman" w:hAnsi="Times New Roman" w:cs="Times New Roman"/>
          <w:bCs/>
          <w:sz w:val="24"/>
          <w:szCs w:val="24"/>
        </w:rPr>
        <w:fldChar w:fldCharType="separate"/>
      </w:r>
      <w:r w:rsidR="000470BD" w:rsidRPr="00EA56DD">
        <w:rPr>
          <w:rFonts w:ascii="Times New Roman" w:hAnsi="Times New Roman" w:cs="Times New Roman"/>
          <w:bCs/>
          <w:noProof/>
          <w:sz w:val="24"/>
          <w:szCs w:val="24"/>
        </w:rPr>
        <w:t>(Mohr, Cuijpers, &amp; Lehman, 2011)</w:t>
      </w:r>
      <w:r w:rsidR="000470BD" w:rsidRPr="00EA56DD">
        <w:rPr>
          <w:rFonts w:ascii="Times New Roman" w:hAnsi="Times New Roman" w:cs="Times New Roman"/>
          <w:bCs/>
          <w:sz w:val="24"/>
          <w:szCs w:val="24"/>
        </w:rPr>
        <w:fldChar w:fldCharType="end"/>
      </w:r>
      <w:r w:rsidR="000470BD" w:rsidRPr="00EA56DD">
        <w:rPr>
          <w:rFonts w:ascii="Times New Roman" w:hAnsi="Times New Roman" w:cs="Times New Roman"/>
          <w:bCs/>
          <w:sz w:val="24"/>
          <w:szCs w:val="24"/>
        </w:rPr>
        <w:t>.</w:t>
      </w:r>
      <w:r w:rsidR="00E83C7B" w:rsidRPr="00EA56DD">
        <w:rPr>
          <w:rFonts w:ascii="Times New Roman" w:hAnsi="Times New Roman" w:cs="Times New Roman"/>
          <w:bCs/>
          <w:sz w:val="24"/>
          <w:szCs w:val="24"/>
        </w:rPr>
        <w:t xml:space="preserve"> This model posits that human support can lead to increased adherence to web-based interventions by establishing accountability. A personal bond with a coach who is perceived to have useful expertise and care about the individual being coached is considered a prerequisite to effective, meaningful accountability. Accountability itself incorporates establishing expectations, goal setting, and collaboratively monitoring engagement.</w:t>
      </w:r>
    </w:p>
    <w:p w14:paraId="334A8939" w14:textId="0121A86E" w:rsidR="005419B3" w:rsidRPr="00EA56DD" w:rsidRDefault="00E83C7B" w:rsidP="007B3F99">
      <w:pPr>
        <w:spacing w:after="0" w:line="480" w:lineRule="auto"/>
        <w:rPr>
          <w:rFonts w:ascii="Times New Roman" w:hAnsi="Times New Roman" w:cs="Times New Roman"/>
          <w:bCs/>
          <w:sz w:val="24"/>
          <w:szCs w:val="24"/>
        </w:rPr>
      </w:pPr>
      <w:r w:rsidRPr="00EA56DD">
        <w:rPr>
          <w:rFonts w:ascii="Times New Roman" w:hAnsi="Times New Roman" w:cs="Times New Roman"/>
          <w:bCs/>
          <w:sz w:val="24"/>
          <w:szCs w:val="24"/>
        </w:rPr>
        <w:tab/>
        <w:t xml:space="preserve">In this study, phone coaching included an initial </w:t>
      </w:r>
      <w:proofErr w:type="gramStart"/>
      <w:r w:rsidRPr="00EA56DD">
        <w:rPr>
          <w:rFonts w:ascii="Times New Roman" w:hAnsi="Times New Roman" w:cs="Times New Roman"/>
          <w:bCs/>
          <w:sz w:val="24"/>
          <w:szCs w:val="24"/>
        </w:rPr>
        <w:t>10-15 minute</w:t>
      </w:r>
      <w:proofErr w:type="gramEnd"/>
      <w:r w:rsidRPr="00EA56DD">
        <w:rPr>
          <w:rFonts w:ascii="Times New Roman" w:hAnsi="Times New Roman" w:cs="Times New Roman"/>
          <w:bCs/>
          <w:sz w:val="24"/>
          <w:szCs w:val="24"/>
        </w:rPr>
        <w:t xml:space="preserve"> phone call </w:t>
      </w:r>
      <w:r w:rsidR="00A95F77" w:rsidRPr="00EA56DD">
        <w:rPr>
          <w:rFonts w:ascii="Times New Roman" w:hAnsi="Times New Roman" w:cs="Times New Roman"/>
          <w:bCs/>
          <w:sz w:val="24"/>
          <w:szCs w:val="24"/>
        </w:rPr>
        <w:t xml:space="preserve">which focused on </w:t>
      </w:r>
      <w:r w:rsidR="004F2649" w:rsidRPr="00EA56DD">
        <w:rPr>
          <w:rFonts w:ascii="Times New Roman" w:hAnsi="Times New Roman" w:cs="Times New Roman"/>
          <w:bCs/>
          <w:sz w:val="24"/>
          <w:szCs w:val="24"/>
        </w:rPr>
        <w:t xml:space="preserve">enhancing motivation, establishing expectations in regard to the self-help program and phone coaching, goal setting, and eliciting commitment to the program. The protocol also included follow-up 5-10 minute phone coaching calls approximately once each week, which focused on </w:t>
      </w:r>
      <w:r w:rsidR="004F2649" w:rsidRPr="00EA56DD">
        <w:rPr>
          <w:rFonts w:ascii="Times New Roman" w:hAnsi="Times New Roman" w:cs="Times New Roman"/>
          <w:bCs/>
          <w:sz w:val="24"/>
          <w:szCs w:val="24"/>
        </w:rPr>
        <w:lastRenderedPageBreak/>
        <w:t xml:space="preserve">reviewing </w:t>
      </w:r>
      <w:r w:rsidR="00A31E79" w:rsidRPr="00EA56DD">
        <w:rPr>
          <w:rFonts w:ascii="Times New Roman" w:hAnsi="Times New Roman" w:cs="Times New Roman"/>
          <w:bCs/>
          <w:sz w:val="24"/>
          <w:szCs w:val="24"/>
        </w:rPr>
        <w:t xml:space="preserve">whether </w:t>
      </w:r>
      <w:r w:rsidR="004F2649" w:rsidRPr="00EA56DD">
        <w:rPr>
          <w:rFonts w:ascii="Times New Roman" w:hAnsi="Times New Roman" w:cs="Times New Roman"/>
          <w:bCs/>
          <w:sz w:val="24"/>
          <w:szCs w:val="24"/>
        </w:rPr>
        <w:t>goals</w:t>
      </w:r>
      <w:r w:rsidR="00A31E79" w:rsidRPr="00EA56DD">
        <w:rPr>
          <w:rFonts w:ascii="Times New Roman" w:hAnsi="Times New Roman" w:cs="Times New Roman"/>
          <w:bCs/>
          <w:sz w:val="24"/>
          <w:szCs w:val="24"/>
        </w:rPr>
        <w:t xml:space="preserve"> were met</w:t>
      </w:r>
      <w:r w:rsidR="004F2649" w:rsidRPr="00EA56DD">
        <w:rPr>
          <w:rFonts w:ascii="Times New Roman" w:hAnsi="Times New Roman" w:cs="Times New Roman"/>
          <w:bCs/>
          <w:sz w:val="24"/>
          <w:szCs w:val="24"/>
        </w:rPr>
        <w:t>, reinforcing engagement, enhancing motivation, collaborative problem-solving to address nonadherence and/or barriers encountered, and further goal-setting.</w:t>
      </w:r>
      <w:r w:rsidR="00060379" w:rsidRPr="00EA56DD">
        <w:rPr>
          <w:rFonts w:ascii="Times New Roman" w:hAnsi="Times New Roman" w:cs="Times New Roman"/>
          <w:bCs/>
          <w:sz w:val="24"/>
          <w:szCs w:val="24"/>
        </w:rPr>
        <w:t xml:space="preserve"> The phone coaching protocol emphasized the principles of supportive accountability, including </w:t>
      </w:r>
      <w:r w:rsidR="00AC4B7E" w:rsidRPr="00EA56DD">
        <w:rPr>
          <w:rFonts w:ascii="Times New Roman" w:hAnsi="Times New Roman" w:cs="Times New Roman"/>
          <w:bCs/>
          <w:sz w:val="24"/>
          <w:szCs w:val="24"/>
        </w:rPr>
        <w:t>establishing the coach as legitimate and benevolent, framing coaching as a reciprocal relationship, holding participants accountable for their engagement, fostering intrinsic motivation, and respecting autonomy.</w:t>
      </w:r>
      <w:r w:rsidR="00313400" w:rsidRPr="00EA56DD">
        <w:rPr>
          <w:rFonts w:ascii="Times New Roman" w:hAnsi="Times New Roman" w:cs="Times New Roman"/>
          <w:bCs/>
          <w:sz w:val="24"/>
          <w:szCs w:val="24"/>
        </w:rPr>
        <w:t xml:space="preserve"> </w:t>
      </w:r>
    </w:p>
    <w:p w14:paraId="4E12BF55" w14:textId="286D8025" w:rsidR="00FD7EBC" w:rsidRPr="00EA56DD" w:rsidRDefault="00FD7EBC"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Measures</w:t>
      </w:r>
    </w:p>
    <w:p w14:paraId="49D1011E" w14:textId="76A53F92" w:rsidR="00696D88" w:rsidRPr="00EA56DD" w:rsidRDefault="00696D88" w:rsidP="007B3F99">
      <w:pPr>
        <w:spacing w:after="0" w:line="480" w:lineRule="auto"/>
        <w:rPr>
          <w:rFonts w:ascii="Times New Roman" w:eastAsia="Times New Roman" w:hAnsi="Times New Roman" w:cs="Times New Roman"/>
          <w:color w:val="000000" w:themeColor="text1"/>
          <w:sz w:val="24"/>
          <w:szCs w:val="24"/>
        </w:rPr>
      </w:pPr>
      <w:r w:rsidRPr="00EA56DD">
        <w:rPr>
          <w:rFonts w:ascii="Times New Roman" w:hAnsi="Times New Roman" w:cs="Times New Roman"/>
          <w:b/>
          <w:sz w:val="24"/>
          <w:szCs w:val="24"/>
        </w:rPr>
        <w:tab/>
      </w:r>
      <w:r w:rsidRPr="00EA56DD">
        <w:rPr>
          <w:rFonts w:ascii="Times New Roman" w:hAnsi="Times New Roman" w:cs="Times New Roman"/>
          <w:bCs/>
          <w:color w:val="000000" w:themeColor="text1"/>
          <w:sz w:val="24"/>
          <w:szCs w:val="24"/>
        </w:rPr>
        <w:t xml:space="preserve">The primary outcome of mental health symptoms was measured with the </w:t>
      </w:r>
      <w:r w:rsidR="008F551B" w:rsidRPr="00EA56DD">
        <w:rPr>
          <w:rFonts w:ascii="Times New Roman" w:eastAsia="Times New Roman" w:hAnsi="Times New Roman" w:cs="Times New Roman"/>
          <w:color w:val="000000" w:themeColor="text1"/>
          <w:sz w:val="24"/>
          <w:szCs w:val="24"/>
        </w:rPr>
        <w:t>CCAPS-34</w:t>
      </w:r>
      <w:r w:rsidR="008F598C" w:rsidRPr="00EA56DD">
        <w:rPr>
          <w:rFonts w:ascii="Times New Roman" w:eastAsia="Times New Roman" w:hAnsi="Times New Roman" w:cs="Times New Roman"/>
          <w:color w:val="000000" w:themeColor="text1"/>
          <w:sz w:val="24"/>
          <w:szCs w:val="24"/>
        </w:rPr>
        <w:t xml:space="preserve"> </w:t>
      </w:r>
      <w:r w:rsidR="00CE4FDE" w:rsidRPr="00EA56DD">
        <w:rPr>
          <w:rFonts w:ascii="Times New Roman" w:eastAsia="Times New Roman" w:hAnsi="Times New Roman" w:cs="Times New Roman"/>
          <w:color w:val="000000" w:themeColor="text1"/>
          <w:sz w:val="24"/>
          <w:szCs w:val="24"/>
        </w:rPr>
        <w:t xml:space="preserve">distress index </w:t>
      </w:r>
      <w:r w:rsidR="008F598C" w:rsidRPr="00EA56DD">
        <w:rPr>
          <w:rFonts w:ascii="Times New Roman" w:eastAsia="Times New Roman" w:hAnsi="Times New Roman" w:cs="Times New Roman"/>
          <w:color w:val="000000" w:themeColor="text1"/>
          <w:sz w:val="24"/>
          <w:szCs w:val="24"/>
        </w:rPr>
        <w:fldChar w:fldCharType="begin"/>
      </w:r>
      <w:r w:rsidR="008F551B" w:rsidRPr="00EA56DD">
        <w:rPr>
          <w:rFonts w:ascii="Times New Roman" w:eastAsia="Times New Roman" w:hAnsi="Times New Roman" w:cs="Times New Roman"/>
          <w:color w:val="000000" w:themeColor="text1"/>
          <w:sz w:val="24"/>
          <w:szCs w:val="24"/>
        </w:rPr>
        <w:instrText xml:space="preserve"> ADDIN EN.CITE &lt;EndNote&gt;&lt;Cite&gt;&lt;Author&gt;Locke&lt;/Author&gt;&lt;Year&gt;2012&lt;/Year&gt;&lt;RecNum&gt;3206&lt;/RecNum&gt;&lt;DisplayText&gt;(Locke et al., 2012)&lt;/DisplayText&gt;&lt;record&gt;&lt;rec-number&gt;3206&lt;/rec-number&gt;&lt;foreign-keys&gt;&lt;key app="EN" db-id="x2xdd20v1afdwtepwxcvxd2ydtwra2eztaee" timestamp="1569442424"&gt;3206&lt;/key&gt;&lt;/foreign-keys&gt;&lt;ref-type name="Journal Article"&gt;17&lt;/ref-type&gt;&lt;contributors&gt;&lt;authors&gt;&lt;author&gt;Locke, B. D.&lt;/author&gt;&lt;author&gt;McAleavey, A. A.&lt;/author&gt;&lt;author&gt;Zhao, Y.&lt;/author&gt;&lt;author&gt;Lei, P. W.&lt;/author&gt;&lt;author&gt;Hayes, J. A.&lt;/author&gt;&lt;author&gt;Castonguay, L. G.&lt;/author&gt;&lt;author&gt;Li, H.&lt;/author&gt;&lt;author&gt;Tate, R. &lt;/author&gt;&lt;author&gt;Lin, Y. C. &lt;/author&gt;&lt;/authors&gt;&lt;/contributors&gt;&lt;titles&gt;&lt;title&gt;Development and initial validation of the Counseling Center Assessment of Psychological Symptoms–34&lt;/title&gt;&lt;secondary-title&gt;Measurement and Evaluation in Counseling and Development&lt;/secondary-title&gt;&lt;/titles&gt;&lt;pages&gt;151-169&lt;/pages&gt;&lt;volume&gt;45&lt;/volume&gt;&lt;dates&gt;&lt;year&gt;2012&lt;/year&gt;&lt;/dates&gt;&lt;urls&gt;&lt;/urls&gt;&lt;electronic-resource-num&gt;10.1177/0748175611432642&lt;/electronic-resource-num&gt;&lt;/record&gt;&lt;/Cite&gt;&lt;/EndNote&gt;</w:instrText>
      </w:r>
      <w:r w:rsidR="008F598C" w:rsidRPr="00EA56DD">
        <w:rPr>
          <w:rFonts w:ascii="Times New Roman" w:eastAsia="Times New Roman" w:hAnsi="Times New Roman" w:cs="Times New Roman"/>
          <w:color w:val="000000" w:themeColor="text1"/>
          <w:sz w:val="24"/>
          <w:szCs w:val="24"/>
        </w:rPr>
        <w:fldChar w:fldCharType="separate"/>
      </w:r>
      <w:r w:rsidR="008F551B" w:rsidRPr="00EA56DD">
        <w:rPr>
          <w:rFonts w:ascii="Times New Roman" w:eastAsia="Times New Roman" w:hAnsi="Times New Roman" w:cs="Times New Roman"/>
          <w:noProof/>
          <w:color w:val="000000" w:themeColor="text1"/>
          <w:sz w:val="24"/>
          <w:szCs w:val="24"/>
        </w:rPr>
        <w:t>(Locke et al., 2012)</w:t>
      </w:r>
      <w:r w:rsidR="008F598C" w:rsidRPr="00EA56DD">
        <w:rPr>
          <w:rFonts w:ascii="Times New Roman" w:eastAsia="Times New Roman" w:hAnsi="Times New Roman" w:cs="Times New Roman"/>
          <w:color w:val="000000" w:themeColor="text1"/>
          <w:sz w:val="24"/>
          <w:szCs w:val="24"/>
        </w:rPr>
        <w:fldChar w:fldCharType="end"/>
      </w:r>
      <w:r w:rsidR="00E26216" w:rsidRPr="00EA56DD">
        <w:rPr>
          <w:rFonts w:ascii="Times New Roman" w:eastAsia="Times New Roman" w:hAnsi="Times New Roman" w:cs="Times New Roman"/>
          <w:color w:val="000000" w:themeColor="text1"/>
          <w:sz w:val="24"/>
          <w:szCs w:val="24"/>
        </w:rPr>
        <w:t xml:space="preserve">, which </w:t>
      </w:r>
      <w:r w:rsidR="00CE4FDE">
        <w:rPr>
          <w:rFonts w:ascii="Times New Roman" w:eastAsia="Times New Roman" w:hAnsi="Times New Roman" w:cs="Times New Roman"/>
          <w:color w:val="000000" w:themeColor="text1"/>
          <w:sz w:val="24"/>
          <w:szCs w:val="24"/>
        </w:rPr>
        <w:t xml:space="preserve">is calculated as an average of 20 individual items </w:t>
      </w:r>
      <w:r w:rsidR="00CE4FDE" w:rsidRPr="00EA56DD">
        <w:rPr>
          <w:rFonts w:ascii="Times New Roman" w:eastAsia="Times New Roman" w:hAnsi="Times New Roman" w:cs="Times New Roman"/>
          <w:color w:val="000000" w:themeColor="text1"/>
          <w:sz w:val="24"/>
          <w:szCs w:val="24"/>
        </w:rPr>
        <w:t>assessin</w:t>
      </w:r>
      <w:r w:rsidR="00CE4FDE">
        <w:rPr>
          <w:rFonts w:ascii="Times New Roman" w:eastAsia="Times New Roman" w:hAnsi="Times New Roman" w:cs="Times New Roman"/>
          <w:color w:val="000000" w:themeColor="text1"/>
          <w:sz w:val="24"/>
          <w:szCs w:val="24"/>
        </w:rPr>
        <w:t>g</w:t>
      </w:r>
      <w:r w:rsidR="00E26216" w:rsidRPr="00EA56DD">
        <w:rPr>
          <w:rFonts w:ascii="Times New Roman" w:eastAsia="Times New Roman" w:hAnsi="Times New Roman" w:cs="Times New Roman"/>
          <w:color w:val="000000" w:themeColor="text1"/>
          <w:sz w:val="24"/>
          <w:szCs w:val="24"/>
        </w:rPr>
        <w:t xml:space="preserve"> common symptoms among college students </w:t>
      </w:r>
      <w:r w:rsidR="00CE4FDE">
        <w:rPr>
          <w:rFonts w:ascii="Times New Roman" w:eastAsia="Times New Roman" w:hAnsi="Times New Roman" w:cs="Times New Roman"/>
          <w:color w:val="000000" w:themeColor="text1"/>
          <w:sz w:val="24"/>
          <w:szCs w:val="24"/>
        </w:rPr>
        <w:t>related to</w:t>
      </w:r>
      <w:r w:rsidR="00E26216" w:rsidRPr="00EA56DD">
        <w:rPr>
          <w:rFonts w:ascii="Times New Roman" w:eastAsia="Times New Roman" w:hAnsi="Times New Roman" w:cs="Times New Roman"/>
          <w:color w:val="000000" w:themeColor="text1"/>
          <w:sz w:val="24"/>
          <w:szCs w:val="24"/>
        </w:rPr>
        <w:t xml:space="preserve"> depression, various forms of anxiety, academic distress, and hostility</w:t>
      </w:r>
      <w:r w:rsidRPr="00EA56DD">
        <w:rPr>
          <w:rFonts w:ascii="Times New Roman" w:eastAsia="Times New Roman" w:hAnsi="Times New Roman" w:cs="Times New Roman"/>
          <w:color w:val="000000" w:themeColor="text1"/>
          <w:sz w:val="24"/>
          <w:szCs w:val="24"/>
        </w:rPr>
        <w:t>.</w:t>
      </w:r>
      <w:r w:rsidR="00E743A9" w:rsidRPr="00EA56DD">
        <w:rPr>
          <w:rFonts w:ascii="Times New Roman" w:eastAsia="Times New Roman" w:hAnsi="Times New Roman" w:cs="Times New Roman"/>
          <w:color w:val="000000" w:themeColor="text1"/>
          <w:sz w:val="24"/>
          <w:szCs w:val="24"/>
        </w:rPr>
        <w:t xml:space="preserve"> </w:t>
      </w:r>
      <w:r w:rsidR="00D3455F" w:rsidRPr="00EA56DD">
        <w:rPr>
          <w:rFonts w:ascii="Times New Roman" w:eastAsia="Times New Roman" w:hAnsi="Times New Roman" w:cs="Times New Roman"/>
          <w:color w:val="000000" w:themeColor="text1"/>
          <w:sz w:val="24"/>
          <w:szCs w:val="24"/>
        </w:rPr>
        <w:t xml:space="preserve">The secondary outcome of positive mental health was </w:t>
      </w:r>
      <w:r w:rsidR="00E26216" w:rsidRPr="00EA56DD">
        <w:rPr>
          <w:rFonts w:ascii="Times New Roman" w:eastAsia="Times New Roman" w:hAnsi="Times New Roman" w:cs="Times New Roman"/>
          <w:color w:val="000000" w:themeColor="text1"/>
          <w:sz w:val="24"/>
          <w:szCs w:val="24"/>
        </w:rPr>
        <w:t xml:space="preserve">measured </w:t>
      </w:r>
      <w:r w:rsidR="00D3455F" w:rsidRPr="00EA56DD">
        <w:rPr>
          <w:rFonts w:ascii="Times New Roman" w:eastAsia="Times New Roman" w:hAnsi="Times New Roman" w:cs="Times New Roman"/>
          <w:color w:val="000000" w:themeColor="text1"/>
          <w:sz w:val="24"/>
          <w:szCs w:val="24"/>
        </w:rPr>
        <w:t>with the Mental Health Continuum-Short Form</w:t>
      </w:r>
      <w:r w:rsidR="00D90FF3" w:rsidRPr="00EA56DD">
        <w:rPr>
          <w:rFonts w:ascii="Times New Roman" w:eastAsia="Times New Roman" w:hAnsi="Times New Roman" w:cs="Times New Roman"/>
          <w:color w:val="000000" w:themeColor="text1"/>
          <w:sz w:val="24"/>
          <w:szCs w:val="24"/>
        </w:rPr>
        <w:t xml:space="preserve"> </w:t>
      </w:r>
      <w:r w:rsidR="008F598C" w:rsidRPr="00EA56DD">
        <w:rPr>
          <w:rFonts w:ascii="Times New Roman" w:eastAsia="Times New Roman" w:hAnsi="Times New Roman" w:cs="Times New Roman"/>
          <w:color w:val="000000" w:themeColor="text1"/>
          <w:sz w:val="24"/>
          <w:szCs w:val="24"/>
        </w:rPr>
        <w:fldChar w:fldCharType="begin"/>
      </w:r>
      <w:r w:rsidR="008F598C" w:rsidRPr="00EA56DD">
        <w:rPr>
          <w:rFonts w:ascii="Times New Roman" w:eastAsia="Times New Roman" w:hAnsi="Times New Roman" w:cs="Times New Roman"/>
          <w:color w:val="000000" w:themeColor="text1"/>
          <w:sz w:val="24"/>
          <w:szCs w:val="24"/>
        </w:rPr>
        <w:instrText xml:space="preserve"> ADDIN EN.CITE &lt;EndNote&gt;&lt;Cite&gt;&lt;Author&gt;Keyes&lt;/Author&gt;&lt;Year&gt;2006&lt;/Year&gt;&lt;RecNum&gt;4646&lt;/RecNum&gt;&lt;Prefix&gt;MHC-SF`; &lt;/Prefix&gt;&lt;DisplayText&gt;(MHC-SF; Keyes, 2006)&lt;/DisplayText&gt;&lt;record&gt;&lt;rec-number&gt;4646&lt;/rec-number&gt;&lt;foreign-keys&gt;&lt;key app="EN" db-id="x2xdd20v1afdwtepwxcvxd2ydtwra2eztaee" timestamp="1570246529"&gt;4646&lt;/key&gt;&lt;/foreign-keys&gt;&lt;ref-type name="Journal Article"&gt;17&lt;/ref-type&gt;&lt;contributors&gt;&lt;authors&gt;&lt;author&gt;Keyes, Corey LM&lt;/author&gt;&lt;/authors&gt;&lt;/contributors&gt;&lt;titles&gt;&lt;title&gt;The subjective well-being of America&amp;apos;s youth: Toward a comprehensive assessment&lt;/title&gt;&lt;secondary-title&gt;Adolescent &amp;amp; Family Health&lt;/secondary-title&gt;&lt;/titles&gt;&lt;periodical&gt;&lt;full-title&gt;Adolescent &amp;amp; Family Health&lt;/full-title&gt;&lt;/periodical&gt;&lt;dates&gt;&lt;year&gt;2006&lt;/year&gt;&lt;/dates&gt;&lt;isbn&gt;1533-9890&lt;/isbn&gt;&lt;urls&gt;&lt;/urls&gt;&lt;/record&gt;&lt;/Cite&gt;&lt;/EndNote&gt;</w:instrText>
      </w:r>
      <w:r w:rsidR="008F598C" w:rsidRPr="00EA56DD">
        <w:rPr>
          <w:rFonts w:ascii="Times New Roman" w:eastAsia="Times New Roman" w:hAnsi="Times New Roman" w:cs="Times New Roman"/>
          <w:color w:val="000000" w:themeColor="text1"/>
          <w:sz w:val="24"/>
          <w:szCs w:val="24"/>
        </w:rPr>
        <w:fldChar w:fldCharType="separate"/>
      </w:r>
      <w:r w:rsidR="008F598C" w:rsidRPr="00EA56DD">
        <w:rPr>
          <w:rFonts w:ascii="Times New Roman" w:eastAsia="Times New Roman" w:hAnsi="Times New Roman" w:cs="Times New Roman"/>
          <w:noProof/>
          <w:color w:val="000000" w:themeColor="text1"/>
          <w:sz w:val="24"/>
          <w:szCs w:val="24"/>
        </w:rPr>
        <w:t>(MHC-SF; Keyes, 2006)</w:t>
      </w:r>
      <w:r w:rsidR="008F598C" w:rsidRPr="00EA56DD">
        <w:rPr>
          <w:rFonts w:ascii="Times New Roman" w:eastAsia="Times New Roman" w:hAnsi="Times New Roman" w:cs="Times New Roman"/>
          <w:color w:val="000000" w:themeColor="text1"/>
          <w:sz w:val="24"/>
          <w:szCs w:val="24"/>
        </w:rPr>
        <w:fldChar w:fldCharType="end"/>
      </w:r>
      <w:r w:rsidR="00E26216" w:rsidRPr="00EA56DD">
        <w:rPr>
          <w:rFonts w:ascii="Times New Roman" w:eastAsia="Times New Roman" w:hAnsi="Times New Roman" w:cs="Times New Roman"/>
          <w:color w:val="000000" w:themeColor="text1"/>
          <w:sz w:val="24"/>
          <w:szCs w:val="24"/>
        </w:rPr>
        <w:t>, which assesses facets of emotional, psychological, and social well-being</w:t>
      </w:r>
      <w:r w:rsidR="008F598C" w:rsidRPr="00EA56DD">
        <w:rPr>
          <w:rFonts w:ascii="Times New Roman" w:eastAsia="Times New Roman" w:hAnsi="Times New Roman" w:cs="Times New Roman"/>
          <w:color w:val="000000" w:themeColor="text1"/>
          <w:sz w:val="24"/>
          <w:szCs w:val="24"/>
        </w:rPr>
        <w:t>.</w:t>
      </w:r>
      <w:r w:rsidR="001958C6" w:rsidRPr="00EA56DD">
        <w:rPr>
          <w:rFonts w:ascii="Times New Roman" w:eastAsia="Times New Roman" w:hAnsi="Times New Roman" w:cs="Times New Roman"/>
          <w:color w:val="000000" w:themeColor="text1"/>
          <w:sz w:val="24"/>
          <w:szCs w:val="24"/>
        </w:rPr>
        <w:t xml:space="preserve"> </w:t>
      </w:r>
    </w:p>
    <w:p w14:paraId="08DB654F" w14:textId="4C22E37A" w:rsidR="00D3455F" w:rsidRPr="00EA56DD" w:rsidRDefault="00D3455F" w:rsidP="007B3F99">
      <w:pPr>
        <w:spacing w:after="0" w:line="480" w:lineRule="auto"/>
        <w:rPr>
          <w:rFonts w:ascii="Times New Roman" w:hAnsi="Times New Roman" w:cs="Times New Roman"/>
          <w:bCs/>
          <w:color w:val="000000" w:themeColor="text1"/>
          <w:sz w:val="24"/>
          <w:szCs w:val="24"/>
        </w:rPr>
      </w:pPr>
      <w:r w:rsidRPr="00EA56DD">
        <w:rPr>
          <w:rFonts w:ascii="Times New Roman" w:hAnsi="Times New Roman" w:cs="Times New Roman"/>
          <w:b/>
          <w:color w:val="000000" w:themeColor="text1"/>
          <w:sz w:val="24"/>
          <w:szCs w:val="24"/>
        </w:rPr>
        <w:tab/>
      </w:r>
      <w:r w:rsidRPr="00EA56DD">
        <w:rPr>
          <w:rFonts w:ascii="Times New Roman" w:hAnsi="Times New Roman" w:cs="Times New Roman"/>
          <w:bCs/>
          <w:color w:val="000000" w:themeColor="text1"/>
          <w:sz w:val="24"/>
          <w:szCs w:val="24"/>
        </w:rPr>
        <w:t>A series of measures assessed improvement on</w:t>
      </w:r>
      <w:r w:rsidR="00094682" w:rsidRPr="00EA56DD">
        <w:rPr>
          <w:rFonts w:ascii="Times New Roman" w:hAnsi="Times New Roman" w:cs="Times New Roman"/>
          <w:bCs/>
          <w:color w:val="000000" w:themeColor="text1"/>
          <w:sz w:val="24"/>
          <w:szCs w:val="24"/>
        </w:rPr>
        <w:t xml:space="preserve"> relevant</w:t>
      </w:r>
      <w:r w:rsidRPr="00EA56DD">
        <w:rPr>
          <w:rFonts w:ascii="Times New Roman" w:hAnsi="Times New Roman" w:cs="Times New Roman"/>
          <w:bCs/>
          <w:color w:val="000000" w:themeColor="text1"/>
          <w:sz w:val="24"/>
          <w:szCs w:val="24"/>
        </w:rPr>
        <w:t xml:space="preserve"> ACT processes</w:t>
      </w:r>
      <w:r w:rsidR="008C09EF" w:rsidRPr="00EA56DD">
        <w:rPr>
          <w:rFonts w:ascii="Times New Roman" w:hAnsi="Times New Roman" w:cs="Times New Roman"/>
          <w:bCs/>
          <w:color w:val="000000" w:themeColor="text1"/>
          <w:sz w:val="24"/>
          <w:szCs w:val="24"/>
        </w:rPr>
        <w:t xml:space="preserve"> of change based on the psychological flexibility model</w:t>
      </w:r>
      <w:r w:rsidRPr="00EA56DD">
        <w:rPr>
          <w:rFonts w:ascii="Times New Roman" w:hAnsi="Times New Roman" w:cs="Times New Roman"/>
          <w:bCs/>
          <w:color w:val="000000" w:themeColor="text1"/>
          <w:sz w:val="24"/>
          <w:szCs w:val="24"/>
        </w:rPr>
        <w:t xml:space="preserve">. The </w:t>
      </w:r>
      <w:r w:rsidR="00DE378A" w:rsidRPr="00EA56DD">
        <w:rPr>
          <w:rFonts w:ascii="Times New Roman" w:hAnsi="Times New Roman" w:cs="Times New Roman"/>
          <w:bCs/>
          <w:color w:val="000000" w:themeColor="text1"/>
          <w:sz w:val="24"/>
          <w:szCs w:val="24"/>
        </w:rPr>
        <w:t xml:space="preserve">7-item </w:t>
      </w:r>
      <w:r w:rsidRPr="00EA56DD">
        <w:rPr>
          <w:rFonts w:ascii="Times New Roman" w:hAnsi="Times New Roman" w:cs="Times New Roman"/>
          <w:bCs/>
          <w:color w:val="000000" w:themeColor="text1"/>
          <w:sz w:val="24"/>
          <w:szCs w:val="24"/>
        </w:rPr>
        <w:t xml:space="preserve">Acceptance and Action Questionnaire-II </w:t>
      </w:r>
      <w:r w:rsidRPr="00EA56DD">
        <w:rPr>
          <w:rFonts w:ascii="Times New Roman" w:hAnsi="Times New Roman" w:cs="Times New Roman"/>
          <w:bCs/>
          <w:color w:val="000000" w:themeColor="text1"/>
          <w:sz w:val="24"/>
          <w:szCs w:val="24"/>
        </w:rPr>
        <w:fldChar w:fldCharType="begin"/>
      </w:r>
      <w:r w:rsidRPr="00EA56DD">
        <w:rPr>
          <w:rFonts w:ascii="Times New Roman" w:hAnsi="Times New Roman" w:cs="Times New Roman"/>
          <w:bCs/>
          <w:color w:val="000000" w:themeColor="text1"/>
          <w:sz w:val="24"/>
          <w:szCs w:val="24"/>
        </w:rPr>
        <w:instrText xml:space="preserve"> ADDIN EN.CITE &lt;EndNote&gt;&lt;Cite&gt;&lt;Author&gt;Bond&lt;/Author&gt;&lt;Year&gt;2011&lt;/Year&gt;&lt;RecNum&gt;2794&lt;/RecNum&gt;&lt;Prefix&gt;AAQ-II`; &lt;/Prefix&gt;&lt;DisplayText&gt;(AAQ-II; Bond et al., 2011)&lt;/DisplayText&gt;&lt;record&gt;&lt;rec-number&gt;2794&lt;/rec-number&gt;&lt;foreign-keys&gt;&lt;key app="EN" db-id="x2xdd20v1afdwtepwxcvxd2ydtwra2eztaee" timestamp="1569442424"&gt;2794&lt;/key&gt;&lt;/foreign-keys&gt;&lt;ref-type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EA56DD">
        <w:rPr>
          <w:rFonts w:ascii="Times New Roman" w:hAnsi="Times New Roman" w:cs="Times New Roman"/>
          <w:bCs/>
          <w:color w:val="000000" w:themeColor="text1"/>
          <w:sz w:val="24"/>
          <w:szCs w:val="24"/>
        </w:rPr>
        <w:fldChar w:fldCharType="separate"/>
      </w:r>
      <w:r w:rsidRPr="00EA56DD">
        <w:rPr>
          <w:rFonts w:ascii="Times New Roman" w:hAnsi="Times New Roman" w:cs="Times New Roman"/>
          <w:bCs/>
          <w:noProof/>
          <w:color w:val="000000" w:themeColor="text1"/>
          <w:sz w:val="24"/>
          <w:szCs w:val="24"/>
        </w:rPr>
        <w:t>(AAQ-II; Bond et al., 2011)</w:t>
      </w:r>
      <w:r w:rsidRPr="00EA56DD">
        <w:rPr>
          <w:rFonts w:ascii="Times New Roman" w:hAnsi="Times New Roman" w:cs="Times New Roman"/>
          <w:bCs/>
          <w:color w:val="000000" w:themeColor="text1"/>
          <w:sz w:val="24"/>
          <w:szCs w:val="24"/>
        </w:rPr>
        <w:fldChar w:fldCharType="end"/>
      </w:r>
      <w:r w:rsidR="00DE378A" w:rsidRPr="00EA56DD">
        <w:rPr>
          <w:rFonts w:ascii="Times New Roman" w:hAnsi="Times New Roman" w:cs="Times New Roman"/>
          <w:bCs/>
          <w:color w:val="000000" w:themeColor="text1"/>
          <w:sz w:val="24"/>
          <w:szCs w:val="24"/>
        </w:rPr>
        <w:t xml:space="preserve"> was used to assess overall psychological inflexibility. The 7-item Cognitive Fusion Questionnaire </w:t>
      </w:r>
      <w:r w:rsidR="00DE378A" w:rsidRPr="00EA56DD">
        <w:rPr>
          <w:rFonts w:ascii="Times New Roman" w:hAnsi="Times New Roman" w:cs="Times New Roman"/>
          <w:bCs/>
          <w:color w:val="000000" w:themeColor="text1"/>
          <w:sz w:val="24"/>
          <w:szCs w:val="24"/>
        </w:rPr>
        <w:fldChar w:fldCharType="begin"/>
      </w:r>
      <w:r w:rsidR="00DE378A" w:rsidRPr="00EA56DD">
        <w:rPr>
          <w:rFonts w:ascii="Times New Roman" w:hAnsi="Times New Roman" w:cs="Times New Roman"/>
          <w:bCs/>
          <w:color w:val="000000" w:themeColor="text1"/>
          <w:sz w:val="24"/>
          <w:szCs w:val="24"/>
        </w:rPr>
        <w:instrText xml:space="preserve"> ADDIN EN.CITE &lt;EndNote&gt;&lt;Cite&gt;&lt;Author&gt;Gillanders&lt;/Author&gt;&lt;Year&gt;2014&lt;/Year&gt;&lt;RecNum&gt;2799&lt;/RecNum&gt;&lt;Prefix&gt;CFQ`; &lt;/Prefix&gt;&lt;DisplayText&gt;(CFQ; Gillanders et al., 2014)&lt;/DisplayText&gt;&lt;record&gt;&lt;rec-number&gt;2799&lt;/rec-number&gt;&lt;foreign-keys&gt;&lt;key app="EN" db-id="x2xdd20v1afdwtepwxcvxd2ydtwra2eztaee" timestamp="1569442424"&gt;2799&lt;/key&gt;&lt;/foreign-keys&gt;&lt;ref-type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ages&gt;83-101&lt;/pages&gt;&lt;volume&gt;45&lt;/volume&gt;&lt;dates&gt;&lt;year&gt;2014&lt;/year&gt;&lt;/dates&gt;&lt;urls&gt;&lt;/urls&gt;&lt;electronic-resource-num&gt;10.1016/j.beth.2013.09.001&lt;/electronic-resource-num&gt;&lt;/record&gt;&lt;/Cite&gt;&lt;/EndNote&gt;</w:instrText>
      </w:r>
      <w:r w:rsidR="00DE378A" w:rsidRPr="00EA56DD">
        <w:rPr>
          <w:rFonts w:ascii="Times New Roman" w:hAnsi="Times New Roman" w:cs="Times New Roman"/>
          <w:bCs/>
          <w:color w:val="000000" w:themeColor="text1"/>
          <w:sz w:val="24"/>
          <w:szCs w:val="24"/>
        </w:rPr>
        <w:fldChar w:fldCharType="separate"/>
      </w:r>
      <w:r w:rsidR="00DE378A" w:rsidRPr="00EA56DD">
        <w:rPr>
          <w:rFonts w:ascii="Times New Roman" w:hAnsi="Times New Roman" w:cs="Times New Roman"/>
          <w:bCs/>
          <w:noProof/>
          <w:color w:val="000000" w:themeColor="text1"/>
          <w:sz w:val="24"/>
          <w:szCs w:val="24"/>
        </w:rPr>
        <w:t>(CFQ; Gillanders et al., 2014)</w:t>
      </w:r>
      <w:r w:rsidR="00DE378A" w:rsidRPr="00EA56DD">
        <w:rPr>
          <w:rFonts w:ascii="Times New Roman" w:hAnsi="Times New Roman" w:cs="Times New Roman"/>
          <w:bCs/>
          <w:color w:val="000000" w:themeColor="text1"/>
          <w:sz w:val="24"/>
          <w:szCs w:val="24"/>
        </w:rPr>
        <w:fldChar w:fldCharType="end"/>
      </w:r>
      <w:r w:rsidR="00DE378A" w:rsidRPr="00EA56DD">
        <w:rPr>
          <w:rFonts w:ascii="Times New Roman" w:hAnsi="Times New Roman" w:cs="Times New Roman"/>
          <w:bCs/>
          <w:color w:val="000000" w:themeColor="text1"/>
          <w:sz w:val="24"/>
          <w:szCs w:val="24"/>
        </w:rPr>
        <w:t xml:space="preserve"> was used to assess cognitive fusion (the process of engaging with thoughts literally such that they have excessive influence on behavior). The 10-item acceptance subscale of the Philadelphia Mindfulness Scale </w:t>
      </w:r>
      <w:r w:rsidR="00DE378A" w:rsidRPr="00EA56DD">
        <w:rPr>
          <w:rFonts w:ascii="Times New Roman" w:hAnsi="Times New Roman" w:cs="Times New Roman"/>
          <w:bCs/>
          <w:color w:val="000000" w:themeColor="text1"/>
          <w:sz w:val="24"/>
          <w:szCs w:val="24"/>
        </w:rPr>
        <w:fldChar w:fldCharType="begin"/>
      </w:r>
      <w:r w:rsidR="00DE378A" w:rsidRPr="00EA56DD">
        <w:rPr>
          <w:rFonts w:ascii="Times New Roman" w:hAnsi="Times New Roman" w:cs="Times New Roman"/>
          <w:bCs/>
          <w:color w:val="000000" w:themeColor="text1"/>
          <w:sz w:val="24"/>
          <w:szCs w:val="24"/>
        </w:rPr>
        <w:instrText xml:space="preserve"> ADDIN EN.CITE &lt;EndNote&gt;&lt;Cite&gt;&lt;Author&gt;Cardaciotto&lt;/Author&gt;&lt;Year&gt;2008&lt;/Year&gt;&lt;RecNum&gt;2727&lt;/RecNum&gt;&lt;Prefix&gt;PHLMS`; &lt;/Prefix&gt;&lt;DisplayText&gt;(PHLMS; Cardaciotto, Herbert, Forman, Moitra, &amp;amp; Farrow, 2008)&lt;/DisplayText&gt;&lt;record&gt;&lt;rec-number&gt;2727&lt;/rec-number&gt;&lt;foreign-keys&gt;&lt;key app="EN" db-id="x2xdd20v1afdwtepwxcvxd2ydtwra2eztaee" timestamp="1569442424"&gt;2727&lt;/key&gt;&lt;/foreign-keys&gt;&lt;ref-type name="Journal Article"&gt;17&lt;/ref-type&gt;&lt;contributors&gt;&lt;authors&gt;&lt;author&gt;Cardaciotto, L.&lt;/author&gt;&lt;author&gt;Herbert, J. D.&lt;/author&gt;&lt;author&gt;Forman, E. M.&lt;/author&gt;&lt;author&gt;Moitra, E.&lt;/author&gt;&lt;author&gt;Farrow, V.&lt;/author&gt;&lt;/authors&gt;&lt;/contributors&gt;&lt;auth-address&gt;La Salle University, Philadelphia, PA 19141, USA. cardaciotto@lasalle.edu&lt;/auth-address&gt;&lt;titles&gt;&lt;title&gt;The assessment of present-moment awareness and acceptance: the Philadelphia Mindfulness Scale&lt;/title&gt;&lt;secondary-title&gt;Assessment&lt;/secondary-title&gt;&lt;/titles&gt;&lt;pages&gt;204-23&lt;/pages&gt;&lt;volume&gt;15&lt;/volume&gt;&lt;number&gt;2&lt;/number&gt;&lt;keywords&gt;&lt;keyword&gt;Adolescent&lt;/keyword&gt;&lt;keyword&gt;Adult&lt;/keyword&gt;&lt;keyword&gt;Anxiety&lt;/keyword&gt;&lt;keyword&gt;*Attention&lt;/keyword&gt;&lt;keyword&gt;*Awareness&lt;/keyword&gt;&lt;keyword&gt;Depression&lt;/keyword&gt;&lt;keyword&gt;Factor Analysis, Statistical&lt;/keyword&gt;&lt;keyword&gt;Feeding and Eating Disorders&lt;/keyword&gt;&lt;keyword&gt;Female&lt;/keyword&gt;&lt;keyword&gt;Humans&lt;/keyword&gt;&lt;keyword&gt;Male&lt;/keyword&gt;&lt;keyword&gt;Middle Aged&lt;/keyword&gt;&lt;keyword&gt;Pennsylvania&lt;/keyword&gt;&lt;keyword&gt;*Perception&lt;/keyword&gt;&lt;keyword&gt;Pilot Projects&lt;/keyword&gt;&lt;keyword&gt;Program Development&lt;/keyword&gt;&lt;keyword&gt;Psychological Tests&lt;/keyword&gt;&lt;keyword&gt;Reproducibility of Results&lt;/keyword&gt;&lt;keyword&gt;Surveys and Questionnaires&lt;/keyword&gt;&lt;/keywords&gt;&lt;dates&gt;&lt;year&gt;2008&lt;/year&gt;&lt;pub-dates&gt;&lt;date&gt;Jun&lt;/date&gt;&lt;/pub-dates&gt;&lt;/dates&gt;&lt;isbn&gt;1073-1911 (Print)&amp;#xD;1073-1911 (Linking)&lt;/isbn&gt;&lt;accession-num&gt;18187399&lt;/accession-num&gt;&lt;urls&gt;&lt;related-urls&gt;&lt;url&gt;https://www.ncbi.nlm.nih.gov/pubmed/18187399&lt;/url&gt;&lt;/related-urls&gt;&lt;/urls&gt;&lt;electronic-resource-num&gt;10.1177/1073191107311467&lt;/electronic-resource-num&gt;&lt;/record&gt;&lt;/Cite&gt;&lt;/EndNote&gt;</w:instrText>
      </w:r>
      <w:r w:rsidR="00DE378A" w:rsidRPr="00EA56DD">
        <w:rPr>
          <w:rFonts w:ascii="Times New Roman" w:hAnsi="Times New Roman" w:cs="Times New Roman"/>
          <w:bCs/>
          <w:color w:val="000000" w:themeColor="text1"/>
          <w:sz w:val="24"/>
          <w:szCs w:val="24"/>
        </w:rPr>
        <w:fldChar w:fldCharType="separate"/>
      </w:r>
      <w:r w:rsidR="00DE378A" w:rsidRPr="00EA56DD">
        <w:rPr>
          <w:rFonts w:ascii="Times New Roman" w:hAnsi="Times New Roman" w:cs="Times New Roman"/>
          <w:bCs/>
          <w:noProof/>
          <w:color w:val="000000" w:themeColor="text1"/>
          <w:sz w:val="24"/>
          <w:szCs w:val="24"/>
        </w:rPr>
        <w:t>(PHLMS; Cardaciotto, Herbert, Forman, Moitra, &amp; Farrow, 2008)</w:t>
      </w:r>
      <w:r w:rsidR="00DE378A" w:rsidRPr="00EA56DD">
        <w:rPr>
          <w:rFonts w:ascii="Times New Roman" w:hAnsi="Times New Roman" w:cs="Times New Roman"/>
          <w:bCs/>
          <w:color w:val="000000" w:themeColor="text1"/>
          <w:sz w:val="24"/>
          <w:szCs w:val="24"/>
        </w:rPr>
        <w:fldChar w:fldCharType="end"/>
      </w:r>
      <w:r w:rsidR="00DE378A" w:rsidRPr="00EA56DD">
        <w:rPr>
          <w:rFonts w:ascii="Times New Roman" w:hAnsi="Times New Roman" w:cs="Times New Roman"/>
          <w:bCs/>
          <w:color w:val="000000" w:themeColor="text1"/>
          <w:sz w:val="24"/>
          <w:szCs w:val="24"/>
        </w:rPr>
        <w:t xml:space="preserve"> was used to measure mindful acceptance. The Valuing </w:t>
      </w:r>
      <w:r w:rsidR="00E66B98" w:rsidRPr="00EA56DD">
        <w:rPr>
          <w:rFonts w:ascii="Times New Roman" w:hAnsi="Times New Roman" w:cs="Times New Roman"/>
          <w:bCs/>
          <w:color w:val="000000" w:themeColor="text1"/>
          <w:sz w:val="24"/>
          <w:szCs w:val="24"/>
        </w:rPr>
        <w:t>Questionnaire</w:t>
      </w:r>
      <w:r w:rsidR="00DE378A" w:rsidRPr="00EA56DD">
        <w:rPr>
          <w:rFonts w:ascii="Times New Roman" w:hAnsi="Times New Roman" w:cs="Times New Roman"/>
          <w:bCs/>
          <w:color w:val="000000" w:themeColor="text1"/>
          <w:sz w:val="24"/>
          <w:szCs w:val="24"/>
        </w:rPr>
        <w:t xml:space="preserve"> </w:t>
      </w:r>
      <w:r w:rsidR="00DE378A" w:rsidRPr="00EA56DD">
        <w:rPr>
          <w:rFonts w:ascii="Times New Roman" w:hAnsi="Times New Roman" w:cs="Times New Roman"/>
          <w:bCs/>
          <w:color w:val="000000" w:themeColor="text1"/>
          <w:sz w:val="24"/>
          <w:szCs w:val="24"/>
        </w:rPr>
        <w:fldChar w:fldCharType="begin"/>
      </w:r>
      <w:r w:rsidR="00DE378A" w:rsidRPr="00EA56DD">
        <w:rPr>
          <w:rFonts w:ascii="Times New Roman" w:hAnsi="Times New Roman" w:cs="Times New Roman"/>
          <w:bCs/>
          <w:color w:val="000000" w:themeColor="text1"/>
          <w:sz w:val="24"/>
          <w:szCs w:val="24"/>
        </w:rPr>
        <w:instrText xml:space="preserve"> ADDIN EN.CITE &lt;EndNote&gt;&lt;Cite&gt;&lt;Author&gt;Smout&lt;/Author&gt;&lt;Year&gt;2010&lt;/Year&gt;&lt;RecNum&gt;3339&lt;/RecNum&gt;&lt;Prefix&gt;VQ`; &lt;/Prefix&gt;&lt;DisplayText&gt;(VQ; Smout et al., 2010)&lt;/DisplayText&gt;&lt;record&gt;&lt;rec-number&gt;3339&lt;/rec-number&gt;&lt;foreign-keys&gt;&lt;key app="EN" db-id="x2xdd20v1afdwtepwxcvxd2ydtwra2eztaee" timestamp="1569442424"&gt;3339&lt;/key&gt;&lt;/foreign-keys&gt;&lt;ref-type name="Journal Article"&gt;17&lt;/ref-type&gt;&lt;contributors&gt;&lt;authors&gt;&lt;author&gt;Smout, M. F.&lt;/author&gt;&lt;author&gt;Longo, M.&lt;/author&gt;&lt;author&gt;Harrison, S.&lt;/author&gt;&lt;author&gt;Minniti, R.&lt;/author&gt;&lt;author&gt;Wickes, W.&lt;/author&gt;&lt;author&gt;White, J. M.&lt;/author&gt;&lt;/authors&gt;&lt;/contributors&gt;&lt;auth-address&gt;Centre for Treatment of Anxiety Disorders, Thebarton, South Australia, Australia. matthew.smout@health.sa.gov.au&lt;/auth-address&gt;&lt;titles&gt;&lt;title&gt;Psychosocial treatment for methamphetamine use disorders: a preliminary randomized controlled trial of cognitive behavior therapy and Acceptance and Commitment Therapy&lt;/title&gt;&lt;secondary-title&gt;Substance Abuse&lt;/secondary-title&gt;&lt;/titles&gt;&lt;pages&gt;98-107&lt;/pages&gt;&lt;volume&gt;31&lt;/volume&gt;&lt;number&gt;2&lt;/number&gt;&lt;keywords&gt;&lt;keyword&gt;Adolescent&lt;/keyword&gt;&lt;keyword&gt;Adult&lt;/keyword&gt;&lt;keyword&gt;Aged&lt;/keyword&gt;&lt;keyword&gt;Amphetamine-Related Disorders/*therapy&lt;/keyword&gt;&lt;keyword&gt;*Assertiveness&lt;/keyword&gt;&lt;keyword&gt;Behavior Therapy/*methods&lt;/keyword&gt;&lt;keyword&gt;Cognitive Therapy/*methods&lt;/keyword&gt;&lt;keyword&gt;Female&lt;/keyword&gt;&lt;keyword&gt;Hair/chemistry&lt;/keyword&gt;&lt;keyword&gt;Humans&lt;/keyword&gt;&lt;keyword&gt;Male&lt;/keyword&gt;&lt;keyword&gt;Methamphetamine/analysis&lt;/keyword&gt;&lt;keyword&gt;Middle Aged&lt;/keyword&gt;&lt;keyword&gt;Patient Compliance/statistics &amp;amp; numerical data&lt;/keyword&gt;&lt;/keywords&gt;&lt;dates&gt;&lt;year&gt;2010&lt;/year&gt;&lt;pub-dates&gt;&lt;date&gt;Apr&lt;/date&gt;&lt;/pub-dates&gt;&lt;/dates&gt;&lt;isbn&gt;1547-0164 (Electronic)&amp;#xD;0889-7077 (Linking)&lt;/isbn&gt;&lt;accession-num&gt;20408061&lt;/accession-num&gt;&lt;urls&gt;&lt;related-urls&gt;&lt;url&gt;https://www.ncbi.nlm.nih.gov/pubmed/20408061&lt;/url&gt;&lt;/related-urls&gt;&lt;/urls&gt;&lt;electronic-resource-num&gt;10.1080/08897071003641578&lt;/electronic-resource-num&gt;&lt;/record&gt;&lt;/Cite&gt;&lt;/EndNote&gt;</w:instrText>
      </w:r>
      <w:r w:rsidR="00DE378A" w:rsidRPr="00EA56DD">
        <w:rPr>
          <w:rFonts w:ascii="Times New Roman" w:hAnsi="Times New Roman" w:cs="Times New Roman"/>
          <w:bCs/>
          <w:color w:val="000000" w:themeColor="text1"/>
          <w:sz w:val="24"/>
          <w:szCs w:val="24"/>
        </w:rPr>
        <w:fldChar w:fldCharType="separate"/>
      </w:r>
      <w:r w:rsidR="00DE378A" w:rsidRPr="00EA56DD">
        <w:rPr>
          <w:rFonts w:ascii="Times New Roman" w:hAnsi="Times New Roman" w:cs="Times New Roman"/>
          <w:bCs/>
          <w:noProof/>
          <w:color w:val="000000" w:themeColor="text1"/>
          <w:sz w:val="24"/>
          <w:szCs w:val="24"/>
        </w:rPr>
        <w:t>(VQ; Smout et al., 2010)</w:t>
      </w:r>
      <w:r w:rsidR="00DE378A" w:rsidRPr="00EA56DD">
        <w:rPr>
          <w:rFonts w:ascii="Times New Roman" w:hAnsi="Times New Roman" w:cs="Times New Roman"/>
          <w:bCs/>
          <w:color w:val="000000" w:themeColor="text1"/>
          <w:sz w:val="24"/>
          <w:szCs w:val="24"/>
        </w:rPr>
        <w:fldChar w:fldCharType="end"/>
      </w:r>
      <w:r w:rsidR="00DE378A" w:rsidRPr="00EA56DD">
        <w:rPr>
          <w:rFonts w:ascii="Times New Roman" w:hAnsi="Times New Roman" w:cs="Times New Roman"/>
          <w:bCs/>
          <w:color w:val="000000" w:themeColor="text1"/>
          <w:sz w:val="24"/>
          <w:szCs w:val="24"/>
        </w:rPr>
        <w:t xml:space="preserve"> has two subscales assessing values processes, one measuring progress toward personal values and one measuring obstruction </w:t>
      </w:r>
      <w:r w:rsidR="00DE378A" w:rsidRPr="00EA56DD">
        <w:rPr>
          <w:rFonts w:ascii="Times New Roman" w:hAnsi="Times New Roman" w:cs="Times New Roman"/>
          <w:bCs/>
          <w:color w:val="000000" w:themeColor="text1"/>
          <w:sz w:val="24"/>
          <w:szCs w:val="24"/>
        </w:rPr>
        <w:lastRenderedPageBreak/>
        <w:t xml:space="preserve">of progress toward values. The 8-item Committed Action Questionnaire </w:t>
      </w:r>
      <w:r w:rsidR="00DE378A" w:rsidRPr="00EA56DD">
        <w:rPr>
          <w:rFonts w:ascii="Times New Roman" w:hAnsi="Times New Roman" w:cs="Times New Roman"/>
          <w:bCs/>
          <w:color w:val="000000" w:themeColor="text1"/>
          <w:sz w:val="24"/>
          <w:szCs w:val="24"/>
        </w:rPr>
        <w:fldChar w:fldCharType="begin"/>
      </w:r>
      <w:r w:rsidR="00DE378A" w:rsidRPr="00EA56DD">
        <w:rPr>
          <w:rFonts w:ascii="Times New Roman" w:hAnsi="Times New Roman" w:cs="Times New Roman"/>
          <w:bCs/>
          <w:color w:val="000000" w:themeColor="text1"/>
          <w:sz w:val="24"/>
          <w:szCs w:val="24"/>
        </w:rPr>
        <w:instrText xml:space="preserve"> ADDIN EN.CITE &lt;EndNote&gt;&lt;Cite&gt;&lt;Author&gt;McCracken&lt;/Author&gt;&lt;Year&gt;2015&lt;/Year&gt;&lt;RecNum&gt;4645&lt;/RecNum&gt;&lt;DisplayText&gt;(McCracken, Chilcot, &amp;amp; Norton, 2015)&lt;/DisplayText&gt;&lt;record&gt;&lt;rec-number&gt;4645&lt;/rec-number&gt;&lt;foreign-keys&gt;&lt;key app="EN" db-id="x2xdd20v1afdwtepwxcvxd2ydtwra2eztaee" timestamp="1570246128"&gt;4645&lt;/key&gt;&lt;/foreign-keys&gt;&lt;ref-type name="Journal Article"&gt;17&lt;/ref-type&gt;&lt;contributors&gt;&lt;authors&gt;&lt;author&gt;McCracken, LM&lt;/author&gt;&lt;author&gt;Chilcot, J&lt;/author&gt;&lt;author&gt;Norton, S&lt;/author&gt;&lt;/authors&gt;&lt;/contributors&gt;&lt;titles&gt;&lt;title&gt;Further development in the assessment of psychological flexibility: A shortened Committed Action Questionnaire (CAQ‐8)&lt;/title&gt;&lt;secondary-title&gt;European Journal of Pain&lt;/secondary-title&gt;&lt;/titles&gt;&lt;periodical&gt;&lt;full-title&gt;European Journal of Pain&lt;/full-title&gt;&lt;/periodical&gt;&lt;pages&gt;677-685&lt;/pages&gt;&lt;volume&gt;19&lt;/volume&gt;&lt;number&gt;5&lt;/number&gt;&lt;dates&gt;&lt;year&gt;2015&lt;/year&gt;&lt;/dates&gt;&lt;isbn&gt;1090-3801&lt;/isbn&gt;&lt;urls&gt;&lt;/urls&gt;&lt;/record&gt;&lt;/Cite&gt;&lt;/EndNote&gt;</w:instrText>
      </w:r>
      <w:r w:rsidR="00DE378A" w:rsidRPr="00EA56DD">
        <w:rPr>
          <w:rFonts w:ascii="Times New Roman" w:hAnsi="Times New Roman" w:cs="Times New Roman"/>
          <w:bCs/>
          <w:color w:val="000000" w:themeColor="text1"/>
          <w:sz w:val="24"/>
          <w:szCs w:val="24"/>
        </w:rPr>
        <w:fldChar w:fldCharType="separate"/>
      </w:r>
      <w:r w:rsidR="00DE378A" w:rsidRPr="00EA56DD">
        <w:rPr>
          <w:rFonts w:ascii="Times New Roman" w:hAnsi="Times New Roman" w:cs="Times New Roman"/>
          <w:bCs/>
          <w:noProof/>
          <w:color w:val="000000" w:themeColor="text1"/>
          <w:sz w:val="24"/>
          <w:szCs w:val="24"/>
        </w:rPr>
        <w:t>(McCracken, Chilcot, &amp; Norton, 2015)</w:t>
      </w:r>
      <w:r w:rsidR="00DE378A" w:rsidRPr="00EA56DD">
        <w:rPr>
          <w:rFonts w:ascii="Times New Roman" w:hAnsi="Times New Roman" w:cs="Times New Roman"/>
          <w:bCs/>
          <w:color w:val="000000" w:themeColor="text1"/>
          <w:sz w:val="24"/>
          <w:szCs w:val="24"/>
        </w:rPr>
        <w:fldChar w:fldCharType="end"/>
      </w:r>
      <w:r w:rsidR="00DE378A" w:rsidRPr="00EA56DD">
        <w:rPr>
          <w:rFonts w:ascii="Times New Roman" w:hAnsi="Times New Roman" w:cs="Times New Roman"/>
          <w:bCs/>
          <w:color w:val="000000" w:themeColor="text1"/>
          <w:sz w:val="24"/>
          <w:szCs w:val="24"/>
        </w:rPr>
        <w:t xml:space="preserve"> was used to assess committed action.</w:t>
      </w:r>
    </w:p>
    <w:p w14:paraId="3E5E811D" w14:textId="55663021" w:rsidR="00696D88" w:rsidRPr="00EA56DD" w:rsidRDefault="008F598C" w:rsidP="007B3F99">
      <w:pPr>
        <w:spacing w:after="0" w:line="480" w:lineRule="auto"/>
        <w:rPr>
          <w:rFonts w:ascii="Times New Roman" w:eastAsia="Times New Roman" w:hAnsi="Times New Roman" w:cs="Times New Roman"/>
          <w:color w:val="000000" w:themeColor="text1"/>
          <w:sz w:val="24"/>
          <w:szCs w:val="24"/>
          <w:shd w:val="clear" w:color="auto" w:fill="FFFFFF"/>
          <w:lang w:eastAsia="ja-JP"/>
        </w:rPr>
      </w:pPr>
      <w:r w:rsidRPr="00EA56DD">
        <w:rPr>
          <w:rFonts w:ascii="Times New Roman" w:hAnsi="Times New Roman" w:cs="Times New Roman"/>
          <w:b/>
          <w:color w:val="000000" w:themeColor="text1"/>
          <w:sz w:val="24"/>
          <w:szCs w:val="24"/>
        </w:rPr>
        <w:tab/>
      </w:r>
      <w:r w:rsidR="00452E7B" w:rsidRPr="00EA56DD">
        <w:rPr>
          <w:rFonts w:ascii="Times New Roman" w:hAnsi="Times New Roman" w:cs="Times New Roman"/>
          <w:color w:val="000000" w:themeColor="text1"/>
          <w:sz w:val="24"/>
          <w:szCs w:val="24"/>
        </w:rPr>
        <w:t>The 10-item System Usability Scale (SUS; Brooke, 1996) assess</w:t>
      </w:r>
      <w:r w:rsidR="000119B2" w:rsidRPr="00EA56DD">
        <w:rPr>
          <w:rFonts w:ascii="Times New Roman" w:hAnsi="Times New Roman" w:cs="Times New Roman"/>
          <w:color w:val="000000" w:themeColor="text1"/>
          <w:sz w:val="24"/>
          <w:szCs w:val="24"/>
        </w:rPr>
        <w:t>ed</w:t>
      </w:r>
      <w:r w:rsidR="00452E7B" w:rsidRPr="00EA56DD">
        <w:rPr>
          <w:rFonts w:ascii="Times New Roman" w:hAnsi="Times New Roman" w:cs="Times New Roman"/>
          <w:color w:val="000000" w:themeColor="text1"/>
          <w:sz w:val="24"/>
          <w:szCs w:val="24"/>
        </w:rPr>
        <w:t xml:space="preserve"> program usability and </w:t>
      </w:r>
      <w:r w:rsidR="000119B2" w:rsidRPr="00EA56DD">
        <w:rPr>
          <w:rFonts w:ascii="Times New Roman" w:hAnsi="Times New Roman" w:cs="Times New Roman"/>
          <w:color w:val="000000" w:themeColor="text1"/>
          <w:sz w:val="24"/>
          <w:szCs w:val="24"/>
        </w:rPr>
        <w:t>acceptability</w:t>
      </w:r>
      <w:r w:rsidR="00452E7B" w:rsidRPr="00EA56DD">
        <w:rPr>
          <w:rFonts w:ascii="Times New Roman" w:hAnsi="Times New Roman" w:cs="Times New Roman"/>
          <w:color w:val="000000" w:themeColor="text1"/>
          <w:sz w:val="24"/>
          <w:szCs w:val="24"/>
        </w:rPr>
        <w:t xml:space="preserve">. </w:t>
      </w:r>
      <w:r w:rsidR="000119B2" w:rsidRPr="00EA56DD">
        <w:rPr>
          <w:rFonts w:ascii="Times New Roman" w:hAnsi="Times New Roman" w:cs="Times New Roman"/>
          <w:bCs/>
          <w:color w:val="000000" w:themeColor="text1"/>
          <w:sz w:val="24"/>
          <w:szCs w:val="24"/>
        </w:rPr>
        <w:t>F</w:t>
      </w:r>
      <w:r w:rsidRPr="00EA56DD">
        <w:rPr>
          <w:rFonts w:ascii="Times New Roman" w:hAnsi="Times New Roman" w:cs="Times New Roman"/>
          <w:bCs/>
          <w:color w:val="000000" w:themeColor="text1"/>
          <w:sz w:val="24"/>
          <w:szCs w:val="24"/>
        </w:rPr>
        <w:t>our novel items assessed satisfaction with coaching on a scale from one (</w:t>
      </w:r>
      <w:r w:rsidRPr="00EA56DD">
        <w:rPr>
          <w:rFonts w:ascii="Times New Roman" w:hAnsi="Times New Roman" w:cs="Times New Roman"/>
          <w:bCs/>
          <w:i/>
          <w:iCs/>
          <w:color w:val="000000" w:themeColor="text1"/>
          <w:sz w:val="24"/>
          <w:szCs w:val="24"/>
        </w:rPr>
        <w:t>Strongly disagree</w:t>
      </w:r>
      <w:r w:rsidRPr="00EA56DD">
        <w:rPr>
          <w:rFonts w:ascii="Times New Roman" w:hAnsi="Times New Roman" w:cs="Times New Roman"/>
          <w:bCs/>
          <w:color w:val="000000" w:themeColor="text1"/>
          <w:sz w:val="24"/>
          <w:szCs w:val="24"/>
        </w:rPr>
        <w:t>) to six (</w:t>
      </w:r>
      <w:r w:rsidRPr="00EA56DD">
        <w:rPr>
          <w:rFonts w:ascii="Times New Roman" w:hAnsi="Times New Roman" w:cs="Times New Roman"/>
          <w:bCs/>
          <w:i/>
          <w:iCs/>
          <w:color w:val="000000" w:themeColor="text1"/>
          <w:sz w:val="24"/>
          <w:szCs w:val="24"/>
        </w:rPr>
        <w:t>Strongly agree</w:t>
      </w:r>
      <w:r w:rsidRPr="00EA56DD">
        <w:rPr>
          <w:rFonts w:ascii="Times New Roman" w:hAnsi="Times New Roman" w:cs="Times New Roman"/>
          <w:bCs/>
          <w:color w:val="000000" w:themeColor="text1"/>
          <w:sz w:val="24"/>
          <w:szCs w:val="24"/>
        </w:rPr>
        <w:t>). One open-ended question (</w:t>
      </w:r>
      <w:r w:rsidRPr="00EA56DD">
        <w:rPr>
          <w:rFonts w:ascii="Times New Roman" w:eastAsia="Times New Roman" w:hAnsi="Times New Roman" w:cs="Times New Roman"/>
          <w:i/>
          <w:iCs/>
          <w:color w:val="000000" w:themeColor="text1"/>
          <w:sz w:val="24"/>
          <w:szCs w:val="24"/>
          <w:shd w:val="clear" w:color="auto" w:fill="FFFFFF"/>
          <w:lang w:eastAsia="ja-JP"/>
        </w:rPr>
        <w:t>Did you not like anything about the coaching sessions? If so, why did you not like this and how could we address these issues in the future?</w:t>
      </w:r>
      <w:r w:rsidRPr="00EA56DD">
        <w:rPr>
          <w:rFonts w:ascii="Times New Roman" w:eastAsia="Times New Roman" w:hAnsi="Times New Roman" w:cs="Times New Roman"/>
          <w:color w:val="000000" w:themeColor="text1"/>
          <w:sz w:val="24"/>
          <w:szCs w:val="24"/>
          <w:shd w:val="clear" w:color="auto" w:fill="FFFFFF"/>
          <w:lang w:eastAsia="ja-JP"/>
        </w:rPr>
        <w:t>) sought open feedback on how coaching could be improved.</w:t>
      </w:r>
    </w:p>
    <w:p w14:paraId="4C5147BE" w14:textId="7AC16737" w:rsidR="001958C6" w:rsidRPr="00EA56DD" w:rsidRDefault="001958C6" w:rsidP="005B4989">
      <w:pPr>
        <w:spacing w:after="0" w:line="480" w:lineRule="auto"/>
        <w:ind w:firstLine="720"/>
        <w:rPr>
          <w:rFonts w:ascii="Times New Roman" w:eastAsia="Times New Roman" w:hAnsi="Times New Roman" w:cs="Times New Roman"/>
          <w:color w:val="000000" w:themeColor="text1"/>
          <w:sz w:val="24"/>
          <w:szCs w:val="24"/>
          <w:lang w:eastAsia="ja-JP"/>
        </w:rPr>
      </w:pPr>
      <w:r w:rsidRPr="00EA56DD">
        <w:rPr>
          <w:rFonts w:ascii="Times New Roman" w:eastAsia="Times New Roman" w:hAnsi="Times New Roman" w:cs="Times New Roman"/>
          <w:color w:val="000000" w:themeColor="text1"/>
          <w:sz w:val="24"/>
          <w:szCs w:val="24"/>
        </w:rPr>
        <w:t xml:space="preserve">Internal consistency was adequate for all of the included measures in the current sample (CCAPS </w:t>
      </w:r>
      <w:r w:rsidRPr="00EA56DD">
        <w:rPr>
          <w:rFonts w:ascii="Times New Roman" w:hAnsi="Times New Roman" w:cs="Times New Roman"/>
          <w:sz w:val="24"/>
          <w:szCs w:val="24"/>
        </w:rPr>
        <w:t xml:space="preserve">α = .88; </w:t>
      </w:r>
      <w:r w:rsidRPr="00EA56DD">
        <w:rPr>
          <w:rFonts w:ascii="Times New Roman" w:eastAsia="Times New Roman" w:hAnsi="Times New Roman" w:cs="Times New Roman"/>
          <w:color w:val="000000" w:themeColor="text1"/>
          <w:sz w:val="24"/>
          <w:szCs w:val="24"/>
        </w:rPr>
        <w:t xml:space="preserve">MHC </w:t>
      </w:r>
      <w:r w:rsidRPr="00EA56DD">
        <w:rPr>
          <w:rFonts w:ascii="Times New Roman" w:hAnsi="Times New Roman" w:cs="Times New Roman"/>
          <w:sz w:val="24"/>
          <w:szCs w:val="24"/>
        </w:rPr>
        <w:t>α = .92; AAQ-II α =</w:t>
      </w:r>
      <w:r w:rsidRPr="00EA56DD">
        <w:rPr>
          <w:rFonts w:ascii="Times New Roman" w:eastAsia="Times New Roman" w:hAnsi="Times New Roman" w:cs="Times New Roman"/>
          <w:color w:val="000000"/>
          <w:sz w:val="24"/>
          <w:szCs w:val="24"/>
        </w:rPr>
        <w:t xml:space="preserve">.86; CFQ </w:t>
      </w:r>
      <w:r w:rsidRPr="00EA56DD">
        <w:rPr>
          <w:rFonts w:ascii="Times New Roman" w:hAnsi="Times New Roman" w:cs="Times New Roman"/>
          <w:sz w:val="24"/>
          <w:szCs w:val="24"/>
        </w:rPr>
        <w:t xml:space="preserve">α = .93; PHLMS α = .87; </w:t>
      </w:r>
      <w:r w:rsidRPr="00EA56DD">
        <w:rPr>
          <w:rFonts w:ascii="Times New Roman" w:eastAsia="Times New Roman" w:hAnsi="Times New Roman" w:cs="Times New Roman"/>
          <w:color w:val="000000"/>
          <w:sz w:val="24"/>
          <w:szCs w:val="24"/>
        </w:rPr>
        <w:t xml:space="preserve">VQ Progress </w:t>
      </w:r>
      <w:r w:rsidRPr="00EA56DD">
        <w:rPr>
          <w:rFonts w:ascii="Times New Roman" w:hAnsi="Times New Roman" w:cs="Times New Roman"/>
          <w:sz w:val="24"/>
          <w:szCs w:val="24"/>
        </w:rPr>
        <w:t>α = .81; VQ Obstruction α = .80; CAQ α = .85; SUS α = .76)</w:t>
      </w:r>
    </w:p>
    <w:p w14:paraId="40431092" w14:textId="77777777" w:rsidR="00F3797A" w:rsidRPr="00EA56DD" w:rsidRDefault="00F3797A" w:rsidP="007B3F99">
      <w:pPr>
        <w:spacing w:after="0" w:line="480" w:lineRule="auto"/>
        <w:jc w:val="center"/>
        <w:rPr>
          <w:rFonts w:ascii="Times New Roman" w:hAnsi="Times New Roman" w:cs="Times New Roman"/>
          <w:b/>
          <w:sz w:val="24"/>
          <w:szCs w:val="24"/>
        </w:rPr>
      </w:pPr>
      <w:r w:rsidRPr="00EA56DD">
        <w:rPr>
          <w:rFonts w:ascii="Times New Roman" w:hAnsi="Times New Roman" w:cs="Times New Roman"/>
          <w:b/>
          <w:sz w:val="24"/>
          <w:szCs w:val="24"/>
        </w:rPr>
        <w:t>Results</w:t>
      </w:r>
    </w:p>
    <w:p w14:paraId="67DF9212" w14:textId="77777777" w:rsidR="00A45D36" w:rsidRPr="00EA56DD" w:rsidRDefault="00A45D36"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Preliminary analyses</w:t>
      </w:r>
    </w:p>
    <w:p w14:paraId="06F39F00" w14:textId="3FAA5846" w:rsidR="00946C18" w:rsidRPr="00EA56DD" w:rsidRDefault="00C44DD1"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There was a relatively equal </w:t>
      </w:r>
      <w:r w:rsidR="00382797" w:rsidRPr="00EA56DD">
        <w:rPr>
          <w:rFonts w:ascii="Times New Roman" w:hAnsi="Times New Roman" w:cs="Times New Roman"/>
          <w:sz w:val="24"/>
          <w:szCs w:val="24"/>
        </w:rPr>
        <w:t xml:space="preserve">distribution of participants </w:t>
      </w:r>
      <w:r w:rsidR="00BE7D47" w:rsidRPr="00EA56DD">
        <w:rPr>
          <w:rFonts w:ascii="Times New Roman" w:hAnsi="Times New Roman" w:cs="Times New Roman"/>
          <w:sz w:val="24"/>
          <w:szCs w:val="24"/>
        </w:rPr>
        <w:t>assigned to</w:t>
      </w:r>
      <w:r w:rsidR="00382797" w:rsidRPr="00EA56DD">
        <w:rPr>
          <w:rFonts w:ascii="Times New Roman" w:hAnsi="Times New Roman" w:cs="Times New Roman"/>
          <w:sz w:val="24"/>
          <w:szCs w:val="24"/>
        </w:rPr>
        <w:t xml:space="preserve"> coaching and non-coaching across </w:t>
      </w:r>
      <w:r w:rsidR="00DD7AC8" w:rsidRPr="00EA56DD">
        <w:rPr>
          <w:rFonts w:ascii="Times New Roman" w:hAnsi="Times New Roman" w:cs="Times New Roman"/>
          <w:sz w:val="24"/>
          <w:szCs w:val="24"/>
        </w:rPr>
        <w:t xml:space="preserve">ACT </w:t>
      </w:r>
      <w:r w:rsidR="00382797" w:rsidRPr="00EA56DD">
        <w:rPr>
          <w:rFonts w:ascii="Times New Roman" w:hAnsi="Times New Roman" w:cs="Times New Roman"/>
          <w:sz w:val="24"/>
          <w:szCs w:val="24"/>
        </w:rPr>
        <w:t xml:space="preserve">conditions (Open 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22, non-coaching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23; Engaged 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24, non-coaching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22; </w:t>
      </w:r>
      <w:r w:rsidR="004C6CF8" w:rsidRPr="00EA56DD">
        <w:rPr>
          <w:rFonts w:ascii="Times New Roman" w:hAnsi="Times New Roman" w:cs="Times New Roman"/>
          <w:sz w:val="24"/>
          <w:szCs w:val="24"/>
        </w:rPr>
        <w:t>Full</w:t>
      </w:r>
      <w:r w:rsidR="00382797" w:rsidRPr="00EA56DD">
        <w:rPr>
          <w:rFonts w:ascii="Times New Roman" w:hAnsi="Times New Roman" w:cs="Times New Roman"/>
          <w:sz w:val="24"/>
          <w:szCs w:val="24"/>
        </w:rPr>
        <w:t xml:space="preserve"> 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22, non-coaching </w:t>
      </w:r>
      <w:r w:rsidR="00382797" w:rsidRPr="00EA56DD">
        <w:rPr>
          <w:rFonts w:ascii="Times New Roman" w:hAnsi="Times New Roman" w:cs="Times New Roman"/>
          <w:i/>
          <w:sz w:val="24"/>
          <w:szCs w:val="24"/>
        </w:rPr>
        <w:t xml:space="preserve">n </w:t>
      </w:r>
      <w:r w:rsidR="00382797" w:rsidRPr="00EA56DD">
        <w:rPr>
          <w:rFonts w:ascii="Times New Roman" w:hAnsi="Times New Roman" w:cs="Times New Roman"/>
          <w:sz w:val="24"/>
          <w:szCs w:val="24"/>
        </w:rPr>
        <w:t xml:space="preserve">= 23). There were no differences between the coaching and non-coaching conditions on demographic variables or outcome/process measures at baseline. </w:t>
      </w:r>
    </w:p>
    <w:p w14:paraId="4B276A0A" w14:textId="2838EE75" w:rsidR="00DF5B01" w:rsidRPr="00EA56DD" w:rsidRDefault="00382797"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 xml:space="preserve">Posttreatment </w:t>
      </w:r>
      <w:r w:rsidR="00CD40DB">
        <w:rPr>
          <w:rFonts w:ascii="Times New Roman" w:hAnsi="Times New Roman" w:cs="Times New Roman"/>
          <w:sz w:val="24"/>
          <w:szCs w:val="24"/>
        </w:rPr>
        <w:t>assessment</w:t>
      </w:r>
      <w:r w:rsidR="00CD40DB" w:rsidRPr="00EA56DD">
        <w:rPr>
          <w:rFonts w:ascii="Times New Roman" w:hAnsi="Times New Roman" w:cs="Times New Roman"/>
          <w:sz w:val="24"/>
          <w:szCs w:val="24"/>
        </w:rPr>
        <w:t xml:space="preserve"> </w:t>
      </w:r>
      <w:r w:rsidRPr="00EA56DD">
        <w:rPr>
          <w:rFonts w:ascii="Times New Roman" w:hAnsi="Times New Roman" w:cs="Times New Roman"/>
          <w:sz w:val="24"/>
          <w:szCs w:val="24"/>
        </w:rPr>
        <w:t xml:space="preserve">completion </w:t>
      </w:r>
      <w:r w:rsidR="00946C18" w:rsidRPr="00EA56DD">
        <w:rPr>
          <w:rFonts w:ascii="Times New Roman" w:hAnsi="Times New Roman" w:cs="Times New Roman"/>
          <w:sz w:val="24"/>
          <w:szCs w:val="24"/>
        </w:rPr>
        <w:t>rates were 90% for the coaching condition and 87% for non-coaching. Follow</w:t>
      </w:r>
      <w:r w:rsidR="00696D88" w:rsidRPr="00EA56DD">
        <w:rPr>
          <w:rFonts w:ascii="Times New Roman" w:hAnsi="Times New Roman" w:cs="Times New Roman"/>
          <w:sz w:val="24"/>
          <w:szCs w:val="24"/>
        </w:rPr>
        <w:t>-</w:t>
      </w:r>
      <w:r w:rsidR="00946C18" w:rsidRPr="00EA56DD">
        <w:rPr>
          <w:rFonts w:ascii="Times New Roman" w:hAnsi="Times New Roman" w:cs="Times New Roman"/>
          <w:sz w:val="24"/>
          <w:szCs w:val="24"/>
        </w:rPr>
        <w:t xml:space="preserve">up </w:t>
      </w:r>
      <w:r w:rsidR="00CD40DB">
        <w:rPr>
          <w:rFonts w:ascii="Times New Roman" w:hAnsi="Times New Roman" w:cs="Times New Roman"/>
          <w:sz w:val="24"/>
          <w:szCs w:val="24"/>
        </w:rPr>
        <w:t>assessment</w:t>
      </w:r>
      <w:r w:rsidR="00CD40DB" w:rsidRPr="00EA56DD">
        <w:rPr>
          <w:rFonts w:ascii="Times New Roman" w:hAnsi="Times New Roman" w:cs="Times New Roman"/>
          <w:sz w:val="24"/>
          <w:szCs w:val="24"/>
        </w:rPr>
        <w:t xml:space="preserve"> </w:t>
      </w:r>
      <w:r w:rsidR="00946C18" w:rsidRPr="00EA56DD">
        <w:rPr>
          <w:rFonts w:ascii="Times New Roman" w:hAnsi="Times New Roman" w:cs="Times New Roman"/>
          <w:sz w:val="24"/>
          <w:szCs w:val="24"/>
        </w:rPr>
        <w:t>completion rates were 88% for coaching and 78% for non-coaching.</w:t>
      </w:r>
      <w:r w:rsidR="00CD40DB">
        <w:rPr>
          <w:rFonts w:ascii="Times New Roman" w:hAnsi="Times New Roman" w:cs="Times New Roman"/>
          <w:sz w:val="24"/>
          <w:szCs w:val="24"/>
        </w:rPr>
        <w:t xml:space="preserve"> Assessment completion rates were equivalent between conditions.</w:t>
      </w:r>
      <w:r w:rsidR="00CD40DB" w:rsidRPr="00EA56DD">
        <w:rPr>
          <w:rFonts w:ascii="Times New Roman" w:hAnsi="Times New Roman" w:cs="Times New Roman"/>
          <w:sz w:val="24"/>
          <w:szCs w:val="24"/>
        </w:rPr>
        <w:t xml:space="preserve"> </w:t>
      </w:r>
      <w:r w:rsidR="002549C4" w:rsidRPr="00EA56DD">
        <w:rPr>
          <w:rFonts w:ascii="Times New Roman" w:hAnsi="Times New Roman" w:cs="Times New Roman"/>
          <w:sz w:val="24"/>
          <w:szCs w:val="24"/>
        </w:rPr>
        <w:t xml:space="preserve">All statistical tests used a criterion of </w:t>
      </w:r>
      <w:r w:rsidR="002549C4" w:rsidRPr="00EA56DD">
        <w:rPr>
          <w:rFonts w:ascii="Times New Roman" w:hAnsi="Times New Roman" w:cs="Times New Roman"/>
          <w:i/>
          <w:iCs/>
          <w:sz w:val="24"/>
          <w:szCs w:val="24"/>
        </w:rPr>
        <w:t xml:space="preserve">p </w:t>
      </w:r>
      <w:r w:rsidR="002549C4" w:rsidRPr="00EA56DD">
        <w:rPr>
          <w:rFonts w:ascii="Times New Roman" w:hAnsi="Times New Roman" w:cs="Times New Roman"/>
          <w:sz w:val="24"/>
          <w:szCs w:val="24"/>
        </w:rPr>
        <w:t>&lt; .05</w:t>
      </w:r>
      <w:r w:rsidR="00CD40DB">
        <w:rPr>
          <w:rFonts w:ascii="Times New Roman" w:hAnsi="Times New Roman" w:cs="Times New Roman"/>
          <w:sz w:val="24"/>
          <w:szCs w:val="24"/>
        </w:rPr>
        <w:t>. N</w:t>
      </w:r>
      <w:r w:rsidR="002549C4" w:rsidRPr="00EA56DD">
        <w:rPr>
          <w:rFonts w:ascii="Times New Roman" w:hAnsi="Times New Roman" w:cs="Times New Roman"/>
          <w:sz w:val="24"/>
          <w:szCs w:val="24"/>
        </w:rPr>
        <w:t>o</w:t>
      </w:r>
      <w:r w:rsidR="00CD40DB">
        <w:rPr>
          <w:rFonts w:ascii="Times New Roman" w:hAnsi="Times New Roman" w:cs="Times New Roman"/>
          <w:sz w:val="24"/>
          <w:szCs w:val="24"/>
        </w:rPr>
        <w:t xml:space="preserve"> family-wise correction</w:t>
      </w:r>
      <w:r w:rsidR="002549C4" w:rsidRPr="00EA56DD">
        <w:rPr>
          <w:rFonts w:ascii="Times New Roman" w:hAnsi="Times New Roman" w:cs="Times New Roman"/>
          <w:sz w:val="24"/>
          <w:szCs w:val="24"/>
        </w:rPr>
        <w:t xml:space="preserve"> was made for the multiple analyses conducted to maintain adequate power to detect potentially meaningful effect sizes.</w:t>
      </w:r>
    </w:p>
    <w:p w14:paraId="234F6E45" w14:textId="23E512FE" w:rsidR="00A02AE2" w:rsidRPr="00EA56DD" w:rsidRDefault="00313400"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lastRenderedPageBreak/>
        <w:t>Rates of coaching call complet</w:t>
      </w:r>
      <w:r w:rsidR="00CD40DB">
        <w:rPr>
          <w:rFonts w:ascii="Times New Roman" w:hAnsi="Times New Roman" w:cs="Times New Roman"/>
          <w:sz w:val="24"/>
          <w:szCs w:val="24"/>
        </w:rPr>
        <w:t>ion</w:t>
      </w:r>
      <w:r w:rsidRPr="00EA56DD">
        <w:rPr>
          <w:rFonts w:ascii="Times New Roman" w:hAnsi="Times New Roman" w:cs="Times New Roman"/>
          <w:sz w:val="24"/>
          <w:szCs w:val="24"/>
        </w:rPr>
        <w:t xml:space="preserve"> varied due to participants missing calls, not responding to scheduling requests, or discontinuing all program engagement. </w:t>
      </w:r>
      <w:r w:rsidR="00696D88" w:rsidRPr="00EA56DD">
        <w:rPr>
          <w:rFonts w:ascii="Times New Roman" w:hAnsi="Times New Roman" w:cs="Times New Roman"/>
          <w:sz w:val="24"/>
          <w:szCs w:val="24"/>
        </w:rPr>
        <w:t xml:space="preserve">The mean number of coaching calls completed was </w:t>
      </w:r>
      <w:r w:rsidR="00696D88" w:rsidRPr="00EA56DD">
        <w:rPr>
          <w:rFonts w:ascii="Times New Roman" w:hAnsi="Times New Roman" w:cs="Times New Roman"/>
          <w:bCs/>
          <w:sz w:val="24"/>
          <w:szCs w:val="24"/>
        </w:rPr>
        <w:t>3.66 (SD = 1.92). Of those assigned to receive coaching, 1</w:t>
      </w:r>
      <w:r w:rsidR="00327E9D" w:rsidRPr="00EA56DD">
        <w:rPr>
          <w:rFonts w:ascii="Times New Roman" w:hAnsi="Times New Roman" w:cs="Times New Roman"/>
          <w:bCs/>
          <w:sz w:val="24"/>
          <w:szCs w:val="24"/>
        </w:rPr>
        <w:t>2</w:t>
      </w:r>
      <w:r w:rsidR="00696D88" w:rsidRPr="00EA56DD">
        <w:rPr>
          <w:rFonts w:ascii="Times New Roman" w:hAnsi="Times New Roman" w:cs="Times New Roman"/>
          <w:bCs/>
          <w:sz w:val="24"/>
          <w:szCs w:val="24"/>
        </w:rPr>
        <w:t xml:space="preserve">% did not complete any coaching calls, </w:t>
      </w:r>
      <w:r w:rsidR="00327E9D" w:rsidRPr="00EA56DD">
        <w:rPr>
          <w:rFonts w:ascii="Times New Roman" w:hAnsi="Times New Roman" w:cs="Times New Roman"/>
          <w:bCs/>
          <w:sz w:val="24"/>
          <w:szCs w:val="24"/>
        </w:rPr>
        <w:t>3</w:t>
      </w:r>
      <w:r w:rsidR="00696D88" w:rsidRPr="00EA56DD">
        <w:rPr>
          <w:rFonts w:ascii="Times New Roman" w:hAnsi="Times New Roman" w:cs="Times New Roman"/>
          <w:bCs/>
          <w:sz w:val="24"/>
          <w:szCs w:val="24"/>
        </w:rPr>
        <w:t>%</w:t>
      </w:r>
      <w:r w:rsidR="00696D88" w:rsidRPr="00EA56DD">
        <w:rPr>
          <w:rFonts w:ascii="Times New Roman" w:hAnsi="Times New Roman" w:cs="Times New Roman"/>
          <w:b/>
          <w:bCs/>
          <w:sz w:val="24"/>
          <w:szCs w:val="24"/>
        </w:rPr>
        <w:t xml:space="preserve">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one, 13%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two, 1</w:t>
      </w:r>
      <w:r w:rsidR="00327E9D" w:rsidRPr="00EA56DD">
        <w:rPr>
          <w:rFonts w:ascii="Times New Roman" w:hAnsi="Times New Roman" w:cs="Times New Roman"/>
          <w:sz w:val="24"/>
          <w:szCs w:val="24"/>
        </w:rPr>
        <w:t>2</w:t>
      </w:r>
      <w:r w:rsidR="00696D88" w:rsidRPr="00EA56DD">
        <w:rPr>
          <w:rFonts w:ascii="Times New Roman" w:hAnsi="Times New Roman" w:cs="Times New Roman"/>
          <w:sz w:val="24"/>
          <w:szCs w:val="24"/>
        </w:rPr>
        <w:t xml:space="preserve">%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three, 17%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four, 25%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five, and 1</w:t>
      </w:r>
      <w:r w:rsidR="00327E9D" w:rsidRPr="00EA56DD">
        <w:rPr>
          <w:rFonts w:ascii="Times New Roman" w:hAnsi="Times New Roman" w:cs="Times New Roman"/>
          <w:sz w:val="24"/>
          <w:szCs w:val="24"/>
        </w:rPr>
        <w:t>8</w:t>
      </w:r>
      <w:r w:rsidR="00696D88" w:rsidRPr="00EA56DD">
        <w:rPr>
          <w:rFonts w:ascii="Times New Roman" w:hAnsi="Times New Roman" w:cs="Times New Roman"/>
          <w:sz w:val="24"/>
          <w:szCs w:val="24"/>
        </w:rPr>
        <w:t xml:space="preserve">% </w:t>
      </w:r>
      <w:r w:rsidR="008F551B" w:rsidRPr="00EA56DD">
        <w:rPr>
          <w:rFonts w:ascii="Times New Roman" w:hAnsi="Times New Roman" w:cs="Times New Roman"/>
          <w:sz w:val="24"/>
          <w:szCs w:val="24"/>
        </w:rPr>
        <w:t>completed</w:t>
      </w:r>
      <w:r w:rsidR="00696D88" w:rsidRPr="00EA56DD">
        <w:rPr>
          <w:rFonts w:ascii="Times New Roman" w:hAnsi="Times New Roman" w:cs="Times New Roman"/>
          <w:sz w:val="24"/>
          <w:szCs w:val="24"/>
        </w:rPr>
        <w:t xml:space="preserve"> six.</w:t>
      </w:r>
      <w:r w:rsidRPr="00EA56DD">
        <w:rPr>
          <w:rFonts w:ascii="Times New Roman" w:hAnsi="Times New Roman" w:cs="Times New Roman"/>
          <w:sz w:val="24"/>
          <w:szCs w:val="24"/>
        </w:rPr>
        <w:t xml:space="preserve"> </w:t>
      </w:r>
    </w:p>
    <w:p w14:paraId="0C2B770D" w14:textId="77777777" w:rsidR="00A45D36" w:rsidRPr="00EA56DD" w:rsidRDefault="00A45D36"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Coaching call satisfaction</w:t>
      </w:r>
    </w:p>
    <w:p w14:paraId="7A82D97A" w14:textId="05896AA6" w:rsidR="00A45D36" w:rsidRPr="00EA56DD" w:rsidRDefault="00A45D36"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Participants reported modest satisfaction with the coaching calls as indicated by self-reported overall satisfaction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4.77,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xml:space="preserve">= 1.23, 88% </w:t>
      </w:r>
      <w:r w:rsidRPr="00EA56DD">
        <w:rPr>
          <w:rFonts w:ascii="Times New Roman" w:hAnsi="Times New Roman" w:cs="Times New Roman"/>
          <w:sz w:val="24"/>
          <w:szCs w:val="24"/>
          <w:u w:val="single"/>
        </w:rPr>
        <w:t>&gt;</w:t>
      </w:r>
      <w:r w:rsidRPr="00EA56DD">
        <w:rPr>
          <w:rFonts w:ascii="Times New Roman" w:hAnsi="Times New Roman" w:cs="Times New Roman"/>
          <w:sz w:val="24"/>
          <w:szCs w:val="24"/>
        </w:rPr>
        <w:t xml:space="preserve"> 4 “slightly agree”), perceived helpfulness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4.30,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1.32</w:t>
      </w:r>
      <w:r w:rsidR="00382797" w:rsidRPr="00EA56DD">
        <w:rPr>
          <w:rFonts w:ascii="Times New Roman" w:hAnsi="Times New Roman" w:cs="Times New Roman"/>
          <w:sz w:val="24"/>
          <w:szCs w:val="24"/>
        </w:rPr>
        <w:t>, 7</w:t>
      </w:r>
      <w:r w:rsidRPr="00EA56DD">
        <w:rPr>
          <w:rFonts w:ascii="Times New Roman" w:hAnsi="Times New Roman" w:cs="Times New Roman"/>
          <w:sz w:val="24"/>
          <w:szCs w:val="24"/>
        </w:rPr>
        <w:t xml:space="preserve">8% </w:t>
      </w:r>
      <w:r w:rsidRPr="00EA56DD">
        <w:rPr>
          <w:rFonts w:ascii="Times New Roman" w:hAnsi="Times New Roman" w:cs="Times New Roman"/>
          <w:sz w:val="24"/>
          <w:szCs w:val="24"/>
          <w:u w:val="single"/>
        </w:rPr>
        <w:t>&gt;</w:t>
      </w:r>
      <w:r w:rsidRPr="00EA56DD">
        <w:rPr>
          <w:rFonts w:ascii="Times New Roman" w:hAnsi="Times New Roman" w:cs="Times New Roman"/>
          <w:sz w:val="24"/>
          <w:szCs w:val="24"/>
        </w:rPr>
        <w:t xml:space="preserve"> 4 “slightly agree”), and perceived importance of coaching calls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4.08,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1.49</w:t>
      </w:r>
      <w:r w:rsidR="00382797" w:rsidRPr="00EA56DD">
        <w:rPr>
          <w:rFonts w:ascii="Times New Roman" w:hAnsi="Times New Roman" w:cs="Times New Roman"/>
          <w:sz w:val="24"/>
          <w:szCs w:val="24"/>
        </w:rPr>
        <w:t xml:space="preserve">, 65% </w:t>
      </w:r>
      <w:r w:rsidR="00382797" w:rsidRPr="00EA56DD">
        <w:rPr>
          <w:rFonts w:ascii="Times New Roman" w:hAnsi="Times New Roman" w:cs="Times New Roman"/>
          <w:sz w:val="24"/>
          <w:szCs w:val="24"/>
          <w:u w:val="single"/>
        </w:rPr>
        <w:t>&gt;</w:t>
      </w:r>
      <w:r w:rsidR="00382797" w:rsidRPr="00EA56DD">
        <w:rPr>
          <w:rFonts w:ascii="Times New Roman" w:hAnsi="Times New Roman" w:cs="Times New Roman"/>
          <w:sz w:val="24"/>
          <w:szCs w:val="24"/>
        </w:rPr>
        <w:t xml:space="preserve"> 4 “slightly agree”</w:t>
      </w:r>
      <w:r w:rsidRPr="00EA56DD">
        <w:rPr>
          <w:rFonts w:ascii="Times New Roman" w:hAnsi="Times New Roman" w:cs="Times New Roman"/>
          <w:sz w:val="24"/>
          <w:szCs w:val="24"/>
        </w:rPr>
        <w:t>). Howeve</w:t>
      </w:r>
      <w:r w:rsidR="00382797" w:rsidRPr="00EA56DD">
        <w:rPr>
          <w:rFonts w:ascii="Times New Roman" w:hAnsi="Times New Roman" w:cs="Times New Roman"/>
          <w:sz w:val="24"/>
          <w:szCs w:val="24"/>
        </w:rPr>
        <w:t>r, participants also slightly ag</w:t>
      </w:r>
      <w:r w:rsidRPr="00EA56DD">
        <w:rPr>
          <w:rFonts w:ascii="Times New Roman" w:hAnsi="Times New Roman" w:cs="Times New Roman"/>
          <w:sz w:val="24"/>
          <w:szCs w:val="24"/>
        </w:rPr>
        <w:t>reed on average that “the website would have been just as helpful without any phone coaching”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4.03,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1.57</w:t>
      </w:r>
      <w:r w:rsidR="00382797" w:rsidRPr="00EA56DD">
        <w:rPr>
          <w:rFonts w:ascii="Times New Roman" w:hAnsi="Times New Roman" w:cs="Times New Roman"/>
          <w:sz w:val="24"/>
          <w:szCs w:val="24"/>
        </w:rPr>
        <w:t xml:space="preserve">, 38% </w:t>
      </w:r>
      <w:r w:rsidR="00382797" w:rsidRPr="00EA56DD">
        <w:rPr>
          <w:rFonts w:ascii="Times New Roman" w:hAnsi="Times New Roman" w:cs="Times New Roman"/>
          <w:sz w:val="24"/>
          <w:szCs w:val="24"/>
          <w:u w:val="single"/>
        </w:rPr>
        <w:t>&lt;</w:t>
      </w:r>
      <w:r w:rsidR="00382797" w:rsidRPr="00EA56DD">
        <w:rPr>
          <w:rFonts w:ascii="Times New Roman" w:hAnsi="Times New Roman" w:cs="Times New Roman"/>
          <w:sz w:val="24"/>
          <w:szCs w:val="24"/>
        </w:rPr>
        <w:t xml:space="preserve"> 3 “slightly disagree”</w:t>
      </w:r>
      <w:r w:rsidRPr="00EA56DD">
        <w:rPr>
          <w:rFonts w:ascii="Times New Roman" w:hAnsi="Times New Roman" w:cs="Times New Roman"/>
          <w:sz w:val="24"/>
          <w:szCs w:val="24"/>
        </w:rPr>
        <w:t xml:space="preserve">). Thus, participants appeared to be modestly satisfied with the calls, but did not think they were necessary. </w:t>
      </w:r>
    </w:p>
    <w:p w14:paraId="13F883AD" w14:textId="40F0CD94" w:rsidR="003E1ABF" w:rsidRPr="00EA56DD" w:rsidRDefault="000C51D7" w:rsidP="007B3F99">
      <w:pPr>
        <w:spacing w:after="0" w:line="480" w:lineRule="auto"/>
        <w:ind w:firstLine="720"/>
        <w:rPr>
          <w:rFonts w:ascii="Times New Roman" w:hAnsi="Times New Roman" w:cs="Times New Roman"/>
          <w:sz w:val="24"/>
          <w:szCs w:val="24"/>
        </w:rPr>
      </w:pPr>
      <w:r w:rsidRPr="00EA56DD">
        <w:rPr>
          <w:rFonts w:ascii="Times New Roman" w:hAnsi="Times New Roman" w:cs="Times New Roman"/>
          <w:sz w:val="24"/>
          <w:szCs w:val="24"/>
        </w:rPr>
        <w:t>Participants provide</w:t>
      </w:r>
      <w:r w:rsidR="000B6B84">
        <w:rPr>
          <w:rFonts w:ascii="Times New Roman" w:hAnsi="Times New Roman" w:cs="Times New Roman"/>
          <w:sz w:val="24"/>
          <w:szCs w:val="24"/>
        </w:rPr>
        <w:t>d</w:t>
      </w:r>
      <w:r w:rsidRPr="00EA56DD">
        <w:rPr>
          <w:rFonts w:ascii="Times New Roman" w:hAnsi="Times New Roman" w:cs="Times New Roman"/>
          <w:sz w:val="24"/>
          <w:szCs w:val="24"/>
        </w:rPr>
        <w:t xml:space="preserve"> open feedback on aspects of coaching they </w:t>
      </w:r>
      <w:r w:rsidR="00696D88" w:rsidRPr="00EA56DD">
        <w:rPr>
          <w:rFonts w:ascii="Times New Roman" w:hAnsi="Times New Roman" w:cs="Times New Roman"/>
          <w:sz w:val="24"/>
          <w:szCs w:val="24"/>
        </w:rPr>
        <w:t>did not like. Twenty-three responses were provided and analyzed for themes. The most common themes in open feedback</w:t>
      </w:r>
      <w:r w:rsidR="00C44DD1" w:rsidRPr="00EA56DD">
        <w:rPr>
          <w:rFonts w:ascii="Times New Roman" w:hAnsi="Times New Roman" w:cs="Times New Roman"/>
          <w:sz w:val="24"/>
          <w:szCs w:val="24"/>
        </w:rPr>
        <w:t xml:space="preserve"> about what was disliked</w:t>
      </w:r>
      <w:r w:rsidR="00696D88" w:rsidRPr="00EA56DD">
        <w:rPr>
          <w:rFonts w:ascii="Times New Roman" w:hAnsi="Times New Roman" w:cs="Times New Roman"/>
          <w:sz w:val="24"/>
          <w:szCs w:val="24"/>
        </w:rPr>
        <w:t xml:space="preserve"> were that 1) coaching was unnecessary or did not add benefit relative to the website (</w:t>
      </w:r>
      <w:r w:rsidR="00C44DD1" w:rsidRPr="00EA56DD">
        <w:rPr>
          <w:rFonts w:ascii="Times New Roman" w:hAnsi="Times New Roman" w:cs="Times New Roman"/>
          <w:sz w:val="24"/>
          <w:szCs w:val="24"/>
        </w:rPr>
        <w:t>n = 4</w:t>
      </w:r>
      <w:r w:rsidR="00696D88" w:rsidRPr="00EA56DD">
        <w:rPr>
          <w:rFonts w:ascii="Times New Roman" w:hAnsi="Times New Roman" w:cs="Times New Roman"/>
          <w:sz w:val="24"/>
          <w:szCs w:val="24"/>
        </w:rPr>
        <w:t>), wanting more depth from the coaching calls (</w:t>
      </w:r>
      <w:r w:rsidR="006D3D1E" w:rsidRPr="00EA56DD">
        <w:rPr>
          <w:rFonts w:ascii="Times New Roman" w:hAnsi="Times New Roman" w:cs="Times New Roman"/>
          <w:sz w:val="24"/>
          <w:szCs w:val="24"/>
        </w:rPr>
        <w:t>n = 4</w:t>
      </w:r>
      <w:r w:rsidR="00696D88" w:rsidRPr="00EA56DD">
        <w:rPr>
          <w:rFonts w:ascii="Times New Roman" w:hAnsi="Times New Roman" w:cs="Times New Roman"/>
          <w:sz w:val="24"/>
          <w:szCs w:val="24"/>
        </w:rPr>
        <w:t>), feeling awkward or uncomfortable during coaching (</w:t>
      </w:r>
      <w:r w:rsidR="006D3D1E" w:rsidRPr="00EA56DD">
        <w:rPr>
          <w:rFonts w:ascii="Times New Roman" w:hAnsi="Times New Roman" w:cs="Times New Roman"/>
          <w:sz w:val="24"/>
          <w:szCs w:val="24"/>
        </w:rPr>
        <w:t>n = 4</w:t>
      </w:r>
      <w:r w:rsidR="00696D88" w:rsidRPr="00EA56DD">
        <w:rPr>
          <w:rFonts w:ascii="Times New Roman" w:hAnsi="Times New Roman" w:cs="Times New Roman"/>
          <w:sz w:val="24"/>
          <w:szCs w:val="24"/>
        </w:rPr>
        <w:t>), finding it repetitive (</w:t>
      </w:r>
      <w:r w:rsidR="006D3D1E" w:rsidRPr="00EA56DD">
        <w:rPr>
          <w:rFonts w:ascii="Times New Roman" w:hAnsi="Times New Roman" w:cs="Times New Roman"/>
          <w:sz w:val="24"/>
          <w:szCs w:val="24"/>
        </w:rPr>
        <w:t>n = 3</w:t>
      </w:r>
      <w:r w:rsidR="00696D88" w:rsidRPr="00EA56DD">
        <w:rPr>
          <w:rFonts w:ascii="Times New Roman" w:hAnsi="Times New Roman" w:cs="Times New Roman"/>
          <w:sz w:val="24"/>
          <w:szCs w:val="24"/>
        </w:rPr>
        <w:t>), having difficulty scheduling (</w:t>
      </w:r>
      <w:r w:rsidR="006D3D1E" w:rsidRPr="00EA56DD">
        <w:rPr>
          <w:rFonts w:ascii="Times New Roman" w:hAnsi="Times New Roman" w:cs="Times New Roman"/>
          <w:sz w:val="24"/>
          <w:szCs w:val="24"/>
        </w:rPr>
        <w:t>n = 3</w:t>
      </w:r>
      <w:r w:rsidR="00696D88" w:rsidRPr="00EA56DD">
        <w:rPr>
          <w:rFonts w:ascii="Times New Roman" w:hAnsi="Times New Roman" w:cs="Times New Roman"/>
          <w:sz w:val="24"/>
          <w:szCs w:val="24"/>
        </w:rPr>
        <w:t>), finding that calls did not help (</w:t>
      </w:r>
      <w:r w:rsidR="006D3D1E" w:rsidRPr="00EA56DD">
        <w:rPr>
          <w:rFonts w:ascii="Times New Roman" w:hAnsi="Times New Roman" w:cs="Times New Roman"/>
          <w:sz w:val="24"/>
          <w:szCs w:val="24"/>
        </w:rPr>
        <w:t>n = 3</w:t>
      </w:r>
      <w:r w:rsidR="00696D88" w:rsidRPr="00EA56DD">
        <w:rPr>
          <w:rFonts w:ascii="Times New Roman" w:hAnsi="Times New Roman" w:cs="Times New Roman"/>
          <w:sz w:val="24"/>
          <w:szCs w:val="24"/>
        </w:rPr>
        <w:t>), and feeling unsure about their role and what they should talk about in coaching calls (</w:t>
      </w:r>
      <w:r w:rsidR="006D3D1E" w:rsidRPr="00EA56DD">
        <w:rPr>
          <w:rFonts w:ascii="Times New Roman" w:hAnsi="Times New Roman" w:cs="Times New Roman"/>
          <w:sz w:val="24"/>
          <w:szCs w:val="24"/>
        </w:rPr>
        <w:t>n = 3</w:t>
      </w:r>
      <w:r w:rsidR="00696D88" w:rsidRPr="00EA56DD">
        <w:rPr>
          <w:rFonts w:ascii="Times New Roman" w:hAnsi="Times New Roman" w:cs="Times New Roman"/>
          <w:sz w:val="24"/>
          <w:szCs w:val="24"/>
        </w:rPr>
        <w:t>).</w:t>
      </w:r>
    </w:p>
    <w:p w14:paraId="28031495" w14:textId="421FA5B3" w:rsidR="00A45D36" w:rsidRPr="00EA56DD" w:rsidRDefault="00893CA5"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Coaching</w:t>
      </w:r>
      <w:r w:rsidR="00A45D36" w:rsidRPr="00EA56DD">
        <w:rPr>
          <w:rFonts w:ascii="Times New Roman" w:hAnsi="Times New Roman" w:cs="Times New Roman"/>
          <w:b/>
          <w:sz w:val="24"/>
          <w:szCs w:val="24"/>
        </w:rPr>
        <w:t xml:space="preserve"> effects on program engagement</w:t>
      </w:r>
      <w:r w:rsidR="002E5A05" w:rsidRPr="00EA56DD">
        <w:rPr>
          <w:rFonts w:ascii="Times New Roman" w:hAnsi="Times New Roman" w:cs="Times New Roman"/>
          <w:b/>
          <w:sz w:val="24"/>
          <w:szCs w:val="24"/>
        </w:rPr>
        <w:t xml:space="preserve"> and </w:t>
      </w:r>
      <w:r w:rsidR="0022599A" w:rsidRPr="00EA56DD">
        <w:rPr>
          <w:rFonts w:ascii="Times New Roman" w:hAnsi="Times New Roman" w:cs="Times New Roman"/>
          <w:b/>
          <w:sz w:val="24"/>
          <w:szCs w:val="24"/>
        </w:rPr>
        <w:t>program</w:t>
      </w:r>
      <w:r w:rsidR="002E5A05" w:rsidRPr="00EA56DD">
        <w:rPr>
          <w:rFonts w:ascii="Times New Roman" w:hAnsi="Times New Roman" w:cs="Times New Roman"/>
          <w:b/>
          <w:sz w:val="24"/>
          <w:szCs w:val="24"/>
        </w:rPr>
        <w:t xml:space="preserve"> satisfaction</w:t>
      </w:r>
    </w:p>
    <w:p w14:paraId="19397139" w14:textId="710B7237" w:rsidR="00946C18" w:rsidRPr="00EA56DD" w:rsidRDefault="00946C18" w:rsidP="007B3F99">
      <w:pPr>
        <w:spacing w:after="0" w:line="480" w:lineRule="auto"/>
        <w:rPr>
          <w:rFonts w:ascii="Times New Roman" w:hAnsi="Times New Roman" w:cs="Times New Roman"/>
          <w:sz w:val="24"/>
          <w:szCs w:val="24"/>
        </w:rPr>
      </w:pPr>
      <w:r w:rsidRPr="00EA56DD">
        <w:rPr>
          <w:rFonts w:ascii="Times New Roman" w:hAnsi="Times New Roman" w:cs="Times New Roman"/>
          <w:b/>
          <w:sz w:val="24"/>
          <w:szCs w:val="24"/>
        </w:rPr>
        <w:tab/>
      </w:r>
      <w:r w:rsidRPr="00EA56DD">
        <w:rPr>
          <w:rFonts w:ascii="Times New Roman" w:hAnsi="Times New Roman" w:cs="Times New Roman"/>
          <w:sz w:val="24"/>
          <w:szCs w:val="24"/>
        </w:rPr>
        <w:t>There were no differences between the coaching and non-coaching conditions on number of sessions completed</w:t>
      </w:r>
      <w:r w:rsidR="00C23437" w:rsidRPr="00EA56DD">
        <w:rPr>
          <w:rFonts w:ascii="Times New Roman" w:hAnsi="Times New Roman" w:cs="Times New Roman"/>
          <w:sz w:val="24"/>
          <w:szCs w:val="24"/>
        </w:rPr>
        <w:t xml:space="preserve"> (out of 12 total)</w:t>
      </w:r>
      <w:r w:rsidRPr="00EA56DD">
        <w:rPr>
          <w:rFonts w:ascii="Times New Roman" w:hAnsi="Times New Roman" w:cs="Times New Roman"/>
          <w:sz w:val="24"/>
          <w:szCs w:val="24"/>
        </w:rPr>
        <w:t xml:space="preserve">, </w:t>
      </w:r>
      <w:r w:rsidRPr="00EA56DD">
        <w:rPr>
          <w:rFonts w:ascii="Times New Roman" w:hAnsi="Times New Roman" w:cs="Times New Roman"/>
          <w:i/>
          <w:sz w:val="24"/>
          <w:szCs w:val="24"/>
        </w:rPr>
        <w:t>t</w:t>
      </w:r>
      <w:r w:rsidRPr="00EA56DD">
        <w:rPr>
          <w:rFonts w:ascii="Times New Roman" w:hAnsi="Times New Roman" w:cs="Times New Roman"/>
          <w:sz w:val="24"/>
          <w:szCs w:val="24"/>
        </w:rPr>
        <w:t xml:space="preserve">(134) = .26, </w:t>
      </w:r>
      <w:r w:rsidRPr="00EA56DD">
        <w:rPr>
          <w:rFonts w:ascii="Times New Roman" w:hAnsi="Times New Roman" w:cs="Times New Roman"/>
          <w:i/>
          <w:sz w:val="24"/>
          <w:szCs w:val="24"/>
        </w:rPr>
        <w:t xml:space="preserve">p </w:t>
      </w:r>
      <w:r w:rsidRPr="00EA56DD">
        <w:rPr>
          <w:rFonts w:ascii="Times New Roman" w:hAnsi="Times New Roman" w:cs="Times New Roman"/>
          <w:sz w:val="24"/>
          <w:szCs w:val="24"/>
        </w:rPr>
        <w:t xml:space="preserve">= .798; Coaching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8.51,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xml:space="preserve">= 3.81; </w:t>
      </w:r>
      <w:r w:rsidRPr="00EA56DD">
        <w:rPr>
          <w:rFonts w:ascii="Times New Roman" w:hAnsi="Times New Roman" w:cs="Times New Roman"/>
          <w:sz w:val="24"/>
          <w:szCs w:val="24"/>
        </w:rPr>
        <w:lastRenderedPageBreak/>
        <w:t xml:space="preserve">Non-Coaching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8.34,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4.20</w:t>
      </w:r>
      <w:r w:rsidR="00E757EB" w:rsidRPr="00EA56DD">
        <w:rPr>
          <w:rFonts w:ascii="Times New Roman" w:hAnsi="Times New Roman" w:cs="Times New Roman"/>
          <w:sz w:val="24"/>
          <w:szCs w:val="24"/>
        </w:rPr>
        <w:t xml:space="preserve">, </w:t>
      </w:r>
      <w:r w:rsidR="00E757EB" w:rsidRPr="00EA56DD">
        <w:rPr>
          <w:rFonts w:ascii="Times New Roman" w:hAnsi="Times New Roman" w:cs="Times New Roman"/>
          <w:i/>
          <w:iCs/>
          <w:sz w:val="24"/>
          <w:szCs w:val="24"/>
        </w:rPr>
        <w:t xml:space="preserve">d </w:t>
      </w:r>
      <w:r w:rsidR="00E757EB" w:rsidRPr="00EA56DD">
        <w:rPr>
          <w:rFonts w:ascii="Times New Roman" w:hAnsi="Times New Roman" w:cs="Times New Roman"/>
          <w:sz w:val="24"/>
          <w:szCs w:val="24"/>
        </w:rPr>
        <w:t>= .04</w:t>
      </w:r>
      <w:r w:rsidRPr="00EA56DD">
        <w:rPr>
          <w:rFonts w:ascii="Times New Roman" w:hAnsi="Times New Roman" w:cs="Times New Roman"/>
          <w:sz w:val="24"/>
          <w:szCs w:val="24"/>
        </w:rPr>
        <w:t>.</w:t>
      </w:r>
      <w:r w:rsidR="008871A2" w:rsidRPr="00EA56DD">
        <w:rPr>
          <w:rFonts w:ascii="Times New Roman" w:hAnsi="Times New Roman" w:cs="Times New Roman"/>
          <w:sz w:val="24"/>
          <w:szCs w:val="24"/>
        </w:rPr>
        <w:t xml:space="preserve"> There were </w:t>
      </w:r>
      <w:r w:rsidR="00C23437" w:rsidRPr="00EA56DD">
        <w:rPr>
          <w:rFonts w:ascii="Times New Roman" w:hAnsi="Times New Roman" w:cs="Times New Roman"/>
          <w:sz w:val="24"/>
          <w:szCs w:val="24"/>
        </w:rPr>
        <w:t xml:space="preserve">also </w:t>
      </w:r>
      <w:r w:rsidR="008871A2" w:rsidRPr="00EA56DD">
        <w:rPr>
          <w:rFonts w:ascii="Times New Roman" w:hAnsi="Times New Roman" w:cs="Times New Roman"/>
          <w:sz w:val="24"/>
          <w:szCs w:val="24"/>
        </w:rPr>
        <w:t>no differences between coaching and non-coaching conditions on the rate of participants completing all 12 sessions (</w:t>
      </w:r>
      <w:r w:rsidR="008871A2" w:rsidRPr="00EA56DD">
        <w:rPr>
          <w:rFonts w:ascii="Times New Roman" w:eastAsia="Times New Roman" w:hAnsi="Times New Roman" w:cs="Times New Roman"/>
          <w:sz w:val="24"/>
          <w:szCs w:val="24"/>
        </w:rPr>
        <w:t>χ</w:t>
      </w:r>
      <w:r w:rsidR="008871A2" w:rsidRPr="00EA56DD">
        <w:rPr>
          <w:rFonts w:ascii="Times New Roman" w:eastAsia="Times New Roman" w:hAnsi="Times New Roman" w:cs="Times New Roman"/>
          <w:i/>
          <w:sz w:val="24"/>
          <w:szCs w:val="24"/>
          <w:vertAlign w:val="superscript"/>
        </w:rPr>
        <w:t xml:space="preserve">2 </w:t>
      </w:r>
      <w:r w:rsidR="008871A2" w:rsidRPr="00EA56DD">
        <w:rPr>
          <w:rFonts w:ascii="Times New Roman" w:hAnsi="Times New Roman" w:cs="Times New Roman"/>
          <w:sz w:val="24"/>
          <w:szCs w:val="24"/>
        </w:rPr>
        <w:t xml:space="preserve">= .12, </w:t>
      </w:r>
      <w:r w:rsidR="008871A2" w:rsidRPr="00EA56DD">
        <w:rPr>
          <w:rFonts w:ascii="Times New Roman" w:hAnsi="Times New Roman" w:cs="Times New Roman"/>
          <w:i/>
          <w:sz w:val="24"/>
          <w:szCs w:val="24"/>
        </w:rPr>
        <w:t xml:space="preserve">p </w:t>
      </w:r>
      <w:r w:rsidR="008871A2" w:rsidRPr="00EA56DD">
        <w:rPr>
          <w:rFonts w:ascii="Times New Roman" w:hAnsi="Times New Roman" w:cs="Times New Roman"/>
          <w:sz w:val="24"/>
          <w:szCs w:val="24"/>
        </w:rPr>
        <w:t>= .730; Coaching 43% vs. Non-Coaching 46%), or half (6) of the 12 sessions (</w:t>
      </w:r>
      <w:r w:rsidR="008871A2" w:rsidRPr="00EA56DD">
        <w:rPr>
          <w:rFonts w:ascii="Times New Roman" w:eastAsia="Times New Roman" w:hAnsi="Times New Roman" w:cs="Times New Roman"/>
          <w:sz w:val="24"/>
          <w:szCs w:val="24"/>
        </w:rPr>
        <w:t>χ</w:t>
      </w:r>
      <w:r w:rsidR="008871A2" w:rsidRPr="00EA56DD">
        <w:rPr>
          <w:rFonts w:ascii="Times New Roman" w:eastAsia="Times New Roman" w:hAnsi="Times New Roman" w:cs="Times New Roman"/>
          <w:i/>
          <w:sz w:val="24"/>
          <w:szCs w:val="24"/>
          <w:vertAlign w:val="superscript"/>
        </w:rPr>
        <w:t xml:space="preserve">2 </w:t>
      </w:r>
      <w:r w:rsidR="008871A2" w:rsidRPr="00EA56DD">
        <w:rPr>
          <w:rFonts w:ascii="Times New Roman" w:hAnsi="Times New Roman" w:cs="Times New Roman"/>
          <w:sz w:val="24"/>
          <w:szCs w:val="24"/>
        </w:rPr>
        <w:t xml:space="preserve">= .16, </w:t>
      </w:r>
      <w:r w:rsidR="008871A2" w:rsidRPr="00EA56DD">
        <w:rPr>
          <w:rFonts w:ascii="Times New Roman" w:hAnsi="Times New Roman" w:cs="Times New Roman"/>
          <w:i/>
          <w:sz w:val="24"/>
          <w:szCs w:val="24"/>
        </w:rPr>
        <w:t xml:space="preserve">p </w:t>
      </w:r>
      <w:r w:rsidR="008871A2" w:rsidRPr="00EA56DD">
        <w:rPr>
          <w:rFonts w:ascii="Times New Roman" w:hAnsi="Times New Roman" w:cs="Times New Roman"/>
          <w:sz w:val="24"/>
          <w:szCs w:val="24"/>
        </w:rPr>
        <w:t>= .692</w:t>
      </w:r>
      <w:r w:rsidR="006609C9" w:rsidRPr="00EA56DD">
        <w:rPr>
          <w:rFonts w:ascii="Times New Roman" w:hAnsi="Times New Roman" w:cs="Times New Roman"/>
          <w:sz w:val="24"/>
          <w:szCs w:val="24"/>
        </w:rPr>
        <w:t>; Coaching 76% vs. Non-Coaching 74</w:t>
      </w:r>
      <w:r w:rsidR="008871A2" w:rsidRPr="00EA56DD">
        <w:rPr>
          <w:rFonts w:ascii="Times New Roman" w:hAnsi="Times New Roman" w:cs="Times New Roman"/>
          <w:sz w:val="24"/>
          <w:szCs w:val="24"/>
        </w:rPr>
        <w:t>%).</w:t>
      </w:r>
      <w:r w:rsidR="002E5A05" w:rsidRPr="00EA56DD">
        <w:rPr>
          <w:rFonts w:ascii="Times New Roman" w:hAnsi="Times New Roman" w:cs="Times New Roman"/>
          <w:sz w:val="24"/>
          <w:szCs w:val="24"/>
        </w:rPr>
        <w:t xml:space="preserve"> </w:t>
      </w:r>
    </w:p>
    <w:p w14:paraId="1E5AFDB0" w14:textId="051D4597" w:rsidR="002E5A05" w:rsidRPr="00EA56DD" w:rsidRDefault="002E5A05" w:rsidP="007B3F99">
      <w:pPr>
        <w:spacing w:after="0" w:line="480" w:lineRule="auto"/>
        <w:rPr>
          <w:rFonts w:ascii="Times New Roman" w:hAnsi="Times New Roman" w:cs="Times New Roman"/>
          <w:sz w:val="24"/>
          <w:szCs w:val="24"/>
        </w:rPr>
      </w:pPr>
      <w:r w:rsidRPr="00EA56DD">
        <w:rPr>
          <w:rFonts w:ascii="Times New Roman" w:hAnsi="Times New Roman" w:cs="Times New Roman"/>
          <w:sz w:val="24"/>
          <w:szCs w:val="24"/>
        </w:rPr>
        <w:tab/>
        <w:t xml:space="preserve">There was also no difference between the coaching and non-coaching conditions on self-reported program usability based on the SUS, </w:t>
      </w:r>
      <w:r w:rsidRPr="00EA56DD">
        <w:rPr>
          <w:rFonts w:ascii="Times New Roman" w:hAnsi="Times New Roman" w:cs="Times New Roman"/>
          <w:i/>
          <w:sz w:val="24"/>
          <w:szCs w:val="24"/>
        </w:rPr>
        <w:t>t</w:t>
      </w:r>
      <w:r w:rsidRPr="00EA56DD">
        <w:rPr>
          <w:rFonts w:ascii="Times New Roman" w:hAnsi="Times New Roman" w:cs="Times New Roman"/>
          <w:sz w:val="24"/>
          <w:szCs w:val="24"/>
        </w:rPr>
        <w:t xml:space="preserve">(117) = .56, </w:t>
      </w:r>
      <w:r w:rsidRPr="00EA56DD">
        <w:rPr>
          <w:rFonts w:ascii="Times New Roman" w:hAnsi="Times New Roman" w:cs="Times New Roman"/>
          <w:i/>
          <w:sz w:val="24"/>
          <w:szCs w:val="24"/>
        </w:rPr>
        <w:t xml:space="preserve">p </w:t>
      </w:r>
      <w:r w:rsidRPr="00EA56DD">
        <w:rPr>
          <w:rFonts w:ascii="Times New Roman" w:hAnsi="Times New Roman" w:cs="Times New Roman"/>
          <w:sz w:val="24"/>
          <w:szCs w:val="24"/>
        </w:rPr>
        <w:t xml:space="preserve">= .579; Coaching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86.50,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xml:space="preserve">= 8.94; Non-Coaching </w:t>
      </w:r>
      <w:r w:rsidRPr="00EA56DD">
        <w:rPr>
          <w:rFonts w:ascii="Times New Roman" w:hAnsi="Times New Roman" w:cs="Times New Roman"/>
          <w:i/>
          <w:sz w:val="24"/>
          <w:szCs w:val="24"/>
        </w:rPr>
        <w:t xml:space="preserve">M </w:t>
      </w:r>
      <w:r w:rsidRPr="00EA56DD">
        <w:rPr>
          <w:rFonts w:ascii="Times New Roman" w:hAnsi="Times New Roman" w:cs="Times New Roman"/>
          <w:sz w:val="24"/>
          <w:szCs w:val="24"/>
        </w:rPr>
        <w:t xml:space="preserve">= 85.47, </w:t>
      </w:r>
      <w:r w:rsidRPr="00EA56DD">
        <w:rPr>
          <w:rFonts w:ascii="Times New Roman" w:hAnsi="Times New Roman" w:cs="Times New Roman"/>
          <w:i/>
          <w:sz w:val="24"/>
          <w:szCs w:val="24"/>
        </w:rPr>
        <w:t xml:space="preserve">SD </w:t>
      </w:r>
      <w:r w:rsidRPr="00EA56DD">
        <w:rPr>
          <w:rFonts w:ascii="Times New Roman" w:hAnsi="Times New Roman" w:cs="Times New Roman"/>
          <w:sz w:val="24"/>
          <w:szCs w:val="24"/>
        </w:rPr>
        <w:t>= 11.24</w:t>
      </w:r>
      <w:r w:rsidR="00E757EB" w:rsidRPr="00EA56DD">
        <w:rPr>
          <w:rFonts w:ascii="Times New Roman" w:hAnsi="Times New Roman" w:cs="Times New Roman"/>
          <w:sz w:val="24"/>
          <w:szCs w:val="24"/>
        </w:rPr>
        <w:t xml:space="preserve">, </w:t>
      </w:r>
      <w:r w:rsidR="00E757EB" w:rsidRPr="00EA56DD">
        <w:rPr>
          <w:rFonts w:ascii="Times New Roman" w:hAnsi="Times New Roman" w:cs="Times New Roman"/>
          <w:i/>
          <w:iCs/>
          <w:sz w:val="24"/>
          <w:szCs w:val="24"/>
        </w:rPr>
        <w:t xml:space="preserve">d </w:t>
      </w:r>
      <w:r w:rsidR="00E757EB" w:rsidRPr="00EA56DD">
        <w:rPr>
          <w:rFonts w:ascii="Times New Roman" w:hAnsi="Times New Roman" w:cs="Times New Roman"/>
          <w:sz w:val="24"/>
          <w:szCs w:val="24"/>
        </w:rPr>
        <w:t>= .10</w:t>
      </w:r>
      <w:r w:rsidRPr="00EA56DD">
        <w:rPr>
          <w:rFonts w:ascii="Times New Roman" w:hAnsi="Times New Roman" w:cs="Times New Roman"/>
          <w:sz w:val="24"/>
          <w:szCs w:val="24"/>
        </w:rPr>
        <w:t>. Similarly, there were no differences between the coaching and non-coaching conditions on a series of program satisfaction items including overall satisfaction, perceived helpfulness, ease of use, and intentions to use the program again (</w:t>
      </w:r>
      <w:r w:rsidRPr="00EA56DD">
        <w:rPr>
          <w:rFonts w:ascii="Times New Roman" w:hAnsi="Times New Roman" w:cs="Times New Roman"/>
          <w:i/>
          <w:sz w:val="24"/>
          <w:szCs w:val="24"/>
        </w:rPr>
        <w:t xml:space="preserve">p </w:t>
      </w:r>
      <w:r w:rsidRPr="00EA56DD">
        <w:rPr>
          <w:rFonts w:ascii="Times New Roman" w:hAnsi="Times New Roman" w:cs="Times New Roman"/>
          <w:sz w:val="24"/>
          <w:szCs w:val="24"/>
        </w:rPr>
        <w:t>&gt; .10). Results were equivalent when examining coaching versus non-coaching effects on program engagement or satisfaction separately by website condition</w:t>
      </w:r>
      <w:r w:rsidR="00C44DD1" w:rsidRPr="00EA56DD">
        <w:rPr>
          <w:rFonts w:ascii="Times New Roman" w:hAnsi="Times New Roman" w:cs="Times New Roman"/>
          <w:sz w:val="24"/>
          <w:szCs w:val="24"/>
        </w:rPr>
        <w:t xml:space="preserve"> (Open, Engaged, or </w:t>
      </w:r>
      <w:r w:rsidR="004C6CF8" w:rsidRPr="00EA56DD">
        <w:rPr>
          <w:rFonts w:ascii="Times New Roman" w:hAnsi="Times New Roman" w:cs="Times New Roman"/>
          <w:sz w:val="24"/>
          <w:szCs w:val="24"/>
        </w:rPr>
        <w:t>Full</w:t>
      </w:r>
      <w:r w:rsidR="00C44DD1" w:rsidRPr="00EA56DD">
        <w:rPr>
          <w:rFonts w:ascii="Times New Roman" w:hAnsi="Times New Roman" w:cs="Times New Roman"/>
          <w:sz w:val="24"/>
          <w:szCs w:val="24"/>
        </w:rPr>
        <w:t>)</w:t>
      </w:r>
      <w:r w:rsidRPr="00EA56DD">
        <w:rPr>
          <w:rFonts w:ascii="Times New Roman" w:hAnsi="Times New Roman" w:cs="Times New Roman"/>
          <w:sz w:val="24"/>
          <w:szCs w:val="24"/>
        </w:rPr>
        <w:t>.</w:t>
      </w:r>
    </w:p>
    <w:p w14:paraId="23C3136B" w14:textId="77777777" w:rsidR="002E5A05" w:rsidRPr="00EA56DD" w:rsidRDefault="00CC2F88"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 xml:space="preserve">Coaching effects on </w:t>
      </w:r>
      <w:r w:rsidR="00D9380F" w:rsidRPr="00EA56DD">
        <w:rPr>
          <w:rFonts w:ascii="Times New Roman" w:hAnsi="Times New Roman" w:cs="Times New Roman"/>
          <w:b/>
          <w:sz w:val="24"/>
          <w:szCs w:val="24"/>
        </w:rPr>
        <w:t>mental health</w:t>
      </w:r>
      <w:r w:rsidRPr="00EA56DD">
        <w:rPr>
          <w:rFonts w:ascii="Times New Roman" w:hAnsi="Times New Roman" w:cs="Times New Roman"/>
          <w:b/>
          <w:sz w:val="24"/>
          <w:szCs w:val="24"/>
        </w:rPr>
        <w:t xml:space="preserve"> outcomes </w:t>
      </w:r>
    </w:p>
    <w:p w14:paraId="0DCCB87B" w14:textId="75B44ADE" w:rsidR="00C30FEB" w:rsidRPr="00EA56DD" w:rsidRDefault="002D4EC9" w:rsidP="007B3F99">
      <w:pPr>
        <w:spacing w:after="0" w:line="480" w:lineRule="auto"/>
        <w:rPr>
          <w:rFonts w:ascii="Times New Roman" w:hAnsi="Times New Roman" w:cs="Times New Roman"/>
          <w:sz w:val="24"/>
          <w:szCs w:val="24"/>
        </w:rPr>
      </w:pPr>
      <w:r w:rsidRPr="00EA56DD">
        <w:rPr>
          <w:rFonts w:ascii="Times New Roman" w:hAnsi="Times New Roman" w:cs="Times New Roman"/>
          <w:b/>
          <w:sz w:val="24"/>
          <w:szCs w:val="24"/>
        </w:rPr>
        <w:tab/>
      </w:r>
      <w:r w:rsidRPr="00EA56DD">
        <w:rPr>
          <w:rFonts w:ascii="Times New Roman" w:hAnsi="Times New Roman" w:cs="Times New Roman"/>
          <w:sz w:val="24"/>
          <w:szCs w:val="24"/>
        </w:rPr>
        <w:t xml:space="preserve">A series of MMRM analyses tested for time by coaching condition effects on mental health outcomes and processes of change. Analyses included </w:t>
      </w:r>
      <w:r w:rsidR="00C41C77" w:rsidRPr="00EA56DD">
        <w:rPr>
          <w:rFonts w:ascii="Times New Roman" w:hAnsi="Times New Roman" w:cs="Times New Roman"/>
          <w:sz w:val="24"/>
          <w:szCs w:val="24"/>
        </w:rPr>
        <w:t xml:space="preserve">two </w:t>
      </w:r>
      <w:r w:rsidR="00DF5B01" w:rsidRPr="00EA56DD">
        <w:rPr>
          <w:rFonts w:ascii="Times New Roman" w:hAnsi="Times New Roman" w:cs="Times New Roman"/>
          <w:sz w:val="24"/>
          <w:szCs w:val="24"/>
        </w:rPr>
        <w:t xml:space="preserve">levels for the coaching variable (coaching, non-coaching) and three levels for the time variable </w:t>
      </w:r>
      <w:r w:rsidRPr="00EA56DD">
        <w:rPr>
          <w:rFonts w:ascii="Times New Roman" w:hAnsi="Times New Roman" w:cs="Times New Roman"/>
          <w:sz w:val="24"/>
          <w:szCs w:val="24"/>
        </w:rPr>
        <w:t>(baseline, posttreatment, follow</w:t>
      </w:r>
      <w:r w:rsidR="000517A0" w:rsidRPr="00EA56DD">
        <w:rPr>
          <w:rFonts w:ascii="Times New Roman" w:hAnsi="Times New Roman" w:cs="Times New Roman"/>
          <w:sz w:val="24"/>
          <w:szCs w:val="24"/>
        </w:rPr>
        <w:t>-</w:t>
      </w:r>
      <w:r w:rsidRPr="00EA56DD">
        <w:rPr>
          <w:rFonts w:ascii="Times New Roman" w:hAnsi="Times New Roman" w:cs="Times New Roman"/>
          <w:sz w:val="24"/>
          <w:szCs w:val="24"/>
        </w:rPr>
        <w:t xml:space="preserve">up). </w:t>
      </w:r>
      <w:r w:rsidR="00E968D1" w:rsidRPr="00EA56DD">
        <w:rPr>
          <w:rFonts w:ascii="Times New Roman" w:hAnsi="Times New Roman" w:cs="Times New Roman"/>
          <w:sz w:val="24"/>
          <w:szCs w:val="24"/>
        </w:rPr>
        <w:t xml:space="preserve">The time by condition interaction was not significant for either </w:t>
      </w:r>
      <w:r w:rsidR="00CA012C" w:rsidRPr="00EA56DD">
        <w:rPr>
          <w:rFonts w:ascii="Times New Roman" w:hAnsi="Times New Roman" w:cs="Times New Roman"/>
          <w:sz w:val="24"/>
          <w:szCs w:val="24"/>
        </w:rPr>
        <w:t>mental health symptoms</w:t>
      </w:r>
      <w:r w:rsidR="00E968D1" w:rsidRPr="00EA56DD">
        <w:rPr>
          <w:rFonts w:ascii="Times New Roman" w:hAnsi="Times New Roman" w:cs="Times New Roman"/>
          <w:sz w:val="24"/>
          <w:szCs w:val="24"/>
        </w:rPr>
        <w:t xml:space="preserve"> (CCAPS)</w:t>
      </w:r>
      <w:r w:rsidR="00CA012C" w:rsidRPr="00EA56DD">
        <w:rPr>
          <w:rFonts w:ascii="Times New Roman" w:hAnsi="Times New Roman" w:cs="Times New Roman"/>
          <w:sz w:val="24"/>
          <w:szCs w:val="24"/>
        </w:rPr>
        <w:t xml:space="preserve"> </w:t>
      </w:r>
      <w:r w:rsidR="00E968D1" w:rsidRPr="00EA56DD">
        <w:rPr>
          <w:rFonts w:ascii="Times New Roman" w:hAnsi="Times New Roman" w:cs="Times New Roman"/>
          <w:sz w:val="24"/>
          <w:szCs w:val="24"/>
        </w:rPr>
        <w:t xml:space="preserve">or </w:t>
      </w:r>
      <w:r w:rsidR="00CA012C" w:rsidRPr="00EA56DD">
        <w:rPr>
          <w:rFonts w:ascii="Times New Roman" w:hAnsi="Times New Roman" w:cs="Times New Roman"/>
          <w:sz w:val="24"/>
          <w:szCs w:val="24"/>
        </w:rPr>
        <w:t>positive menta</w:t>
      </w:r>
      <w:r w:rsidR="00C30FEB" w:rsidRPr="00EA56DD">
        <w:rPr>
          <w:rFonts w:ascii="Times New Roman" w:hAnsi="Times New Roman" w:cs="Times New Roman"/>
          <w:sz w:val="24"/>
          <w:szCs w:val="24"/>
        </w:rPr>
        <w:t>l health (</w:t>
      </w:r>
      <w:r w:rsidR="00E968D1" w:rsidRPr="00EA56DD">
        <w:rPr>
          <w:rFonts w:ascii="Times New Roman" w:hAnsi="Times New Roman" w:cs="Times New Roman"/>
          <w:sz w:val="24"/>
          <w:szCs w:val="24"/>
        </w:rPr>
        <w:t>MHC), indicating no difference in outcomes between coaching and non-coaching versions of online ACT (</w:t>
      </w:r>
      <w:r w:rsidR="00C30FEB" w:rsidRPr="00EA56DD">
        <w:rPr>
          <w:rFonts w:ascii="Times New Roman" w:hAnsi="Times New Roman" w:cs="Times New Roman"/>
          <w:sz w:val="24"/>
          <w:szCs w:val="24"/>
        </w:rPr>
        <w:t xml:space="preserve">see Tables 1 and 2). </w:t>
      </w:r>
    </w:p>
    <w:p w14:paraId="76EBCE6A" w14:textId="654E7B87" w:rsidR="00517E6D" w:rsidRPr="00EA56DD" w:rsidRDefault="00D9380F" w:rsidP="007B3F99">
      <w:pPr>
        <w:spacing w:after="0" w:line="480" w:lineRule="auto"/>
        <w:rPr>
          <w:rFonts w:ascii="Times New Roman" w:hAnsi="Times New Roman" w:cs="Times New Roman"/>
          <w:sz w:val="24"/>
          <w:szCs w:val="24"/>
        </w:rPr>
      </w:pPr>
      <w:r w:rsidRPr="00EA56DD">
        <w:rPr>
          <w:rFonts w:ascii="Times New Roman" w:hAnsi="Times New Roman" w:cs="Times New Roman"/>
          <w:sz w:val="24"/>
          <w:szCs w:val="24"/>
        </w:rPr>
        <w:tab/>
      </w:r>
      <w:r w:rsidR="001F75B0" w:rsidRPr="00EA56DD">
        <w:rPr>
          <w:rFonts w:ascii="Times New Roman" w:hAnsi="Times New Roman" w:cs="Times New Roman"/>
          <w:sz w:val="24"/>
          <w:szCs w:val="24"/>
        </w:rPr>
        <w:t xml:space="preserve">Rates of reliable change on the CCAPS distress index </w:t>
      </w:r>
      <w:r w:rsidR="00E968D1" w:rsidRPr="00EA56DD">
        <w:rPr>
          <w:rFonts w:ascii="Times New Roman" w:hAnsi="Times New Roman" w:cs="Times New Roman"/>
          <w:sz w:val="24"/>
          <w:szCs w:val="24"/>
        </w:rPr>
        <w:t xml:space="preserve">at posttreatment </w:t>
      </w:r>
      <w:r w:rsidR="001F75B0" w:rsidRPr="00EA56DD">
        <w:rPr>
          <w:rFonts w:ascii="Times New Roman" w:hAnsi="Times New Roman" w:cs="Times New Roman"/>
          <w:sz w:val="24"/>
          <w:szCs w:val="24"/>
        </w:rPr>
        <w:t xml:space="preserve">were calculated using established reliable change index values for this scale (CCMH, 2012). </w:t>
      </w:r>
      <w:r w:rsidRPr="00EA56DD">
        <w:rPr>
          <w:rFonts w:ascii="Times New Roman" w:hAnsi="Times New Roman" w:cs="Times New Roman"/>
          <w:sz w:val="24"/>
          <w:szCs w:val="24"/>
        </w:rPr>
        <w:t xml:space="preserve">A chi-square test indicated </w:t>
      </w:r>
      <w:r w:rsidR="00E968D1" w:rsidRPr="00EA56DD">
        <w:rPr>
          <w:rFonts w:ascii="Times New Roman" w:hAnsi="Times New Roman" w:cs="Times New Roman"/>
          <w:sz w:val="24"/>
          <w:szCs w:val="24"/>
        </w:rPr>
        <w:t>no</w:t>
      </w:r>
      <w:r w:rsidRPr="00EA56DD">
        <w:rPr>
          <w:rFonts w:ascii="Times New Roman" w:hAnsi="Times New Roman" w:cs="Times New Roman"/>
          <w:sz w:val="24"/>
          <w:szCs w:val="24"/>
        </w:rPr>
        <w:t xml:space="preserve"> difference in the rates of reliable change </w:t>
      </w:r>
      <w:r w:rsidR="00E968D1" w:rsidRPr="00EA56DD">
        <w:rPr>
          <w:rFonts w:ascii="Times New Roman" w:hAnsi="Times New Roman" w:cs="Times New Roman"/>
          <w:sz w:val="24"/>
          <w:szCs w:val="24"/>
        </w:rPr>
        <w:t xml:space="preserve">between </w:t>
      </w:r>
      <w:r w:rsidRPr="00EA56DD">
        <w:rPr>
          <w:rFonts w:ascii="Times New Roman" w:hAnsi="Times New Roman" w:cs="Times New Roman"/>
          <w:sz w:val="24"/>
          <w:szCs w:val="24"/>
        </w:rPr>
        <w:t>the coaching</w:t>
      </w:r>
      <w:r w:rsidR="00C30FEB" w:rsidRPr="00EA56DD">
        <w:rPr>
          <w:rFonts w:ascii="Times New Roman" w:hAnsi="Times New Roman" w:cs="Times New Roman"/>
          <w:sz w:val="24"/>
          <w:szCs w:val="24"/>
        </w:rPr>
        <w:t xml:space="preserve"> (43%)</w:t>
      </w:r>
      <w:r w:rsidR="00E968D1" w:rsidRPr="00EA56DD">
        <w:rPr>
          <w:rFonts w:ascii="Times New Roman" w:hAnsi="Times New Roman" w:cs="Times New Roman"/>
          <w:sz w:val="24"/>
          <w:szCs w:val="24"/>
        </w:rPr>
        <w:t xml:space="preserve"> and</w:t>
      </w:r>
      <w:r w:rsidRPr="00EA56DD">
        <w:rPr>
          <w:rFonts w:ascii="Times New Roman" w:hAnsi="Times New Roman" w:cs="Times New Roman"/>
          <w:sz w:val="24"/>
          <w:szCs w:val="24"/>
        </w:rPr>
        <w:t xml:space="preserve"> non-coaching</w:t>
      </w:r>
      <w:r w:rsidR="00E968D1" w:rsidRPr="00EA56DD">
        <w:rPr>
          <w:rFonts w:ascii="Times New Roman" w:hAnsi="Times New Roman" w:cs="Times New Roman"/>
          <w:sz w:val="24"/>
          <w:szCs w:val="24"/>
        </w:rPr>
        <w:t xml:space="preserve"> conditions</w:t>
      </w:r>
      <w:r w:rsidR="00C30FEB" w:rsidRPr="00EA56DD">
        <w:rPr>
          <w:rFonts w:ascii="Times New Roman" w:hAnsi="Times New Roman" w:cs="Times New Roman"/>
          <w:sz w:val="24"/>
          <w:szCs w:val="24"/>
        </w:rPr>
        <w:t xml:space="preserve"> (32%)</w:t>
      </w:r>
      <w:r w:rsidRPr="00EA56DD">
        <w:rPr>
          <w:rFonts w:ascii="Times New Roman" w:hAnsi="Times New Roman" w:cs="Times New Roman"/>
          <w:sz w:val="24"/>
          <w:szCs w:val="24"/>
        </w:rPr>
        <w:t xml:space="preserve">, </w:t>
      </w:r>
      <w:r w:rsidRPr="00EA56DD">
        <w:rPr>
          <w:rFonts w:ascii="Times New Roman" w:eastAsia="Times New Roman" w:hAnsi="Times New Roman" w:cs="Times New Roman"/>
          <w:sz w:val="24"/>
          <w:szCs w:val="24"/>
        </w:rPr>
        <w:t>χ</w:t>
      </w:r>
      <w:r w:rsidRPr="00EA56DD">
        <w:rPr>
          <w:rFonts w:ascii="Times New Roman" w:eastAsia="Times New Roman" w:hAnsi="Times New Roman" w:cs="Times New Roman"/>
          <w:i/>
          <w:sz w:val="24"/>
          <w:szCs w:val="24"/>
          <w:vertAlign w:val="superscript"/>
        </w:rPr>
        <w:t xml:space="preserve">2 </w:t>
      </w:r>
      <w:r w:rsidRPr="00EA56DD">
        <w:rPr>
          <w:rFonts w:ascii="Times New Roman" w:hAnsi="Times New Roman" w:cs="Times New Roman"/>
          <w:sz w:val="24"/>
          <w:szCs w:val="24"/>
        </w:rPr>
        <w:t xml:space="preserve">= </w:t>
      </w:r>
      <w:r w:rsidR="00E968D1" w:rsidRPr="00EA56DD">
        <w:rPr>
          <w:rFonts w:ascii="Times New Roman" w:hAnsi="Times New Roman" w:cs="Times New Roman"/>
          <w:sz w:val="24"/>
          <w:szCs w:val="24"/>
        </w:rPr>
        <w:t>1</w:t>
      </w:r>
      <w:r w:rsidR="00C30FEB" w:rsidRPr="00EA56DD">
        <w:rPr>
          <w:rFonts w:ascii="Times New Roman" w:hAnsi="Times New Roman" w:cs="Times New Roman"/>
          <w:sz w:val="24"/>
          <w:szCs w:val="24"/>
        </w:rPr>
        <w:t>.3</w:t>
      </w:r>
      <w:r w:rsidR="00E968D1" w:rsidRPr="00EA56DD">
        <w:rPr>
          <w:rFonts w:ascii="Times New Roman" w:hAnsi="Times New Roman" w:cs="Times New Roman"/>
          <w:sz w:val="24"/>
          <w:szCs w:val="24"/>
        </w:rPr>
        <w:t>9</w:t>
      </w:r>
      <w:r w:rsidR="00C30FEB" w:rsidRPr="00EA56DD">
        <w:rPr>
          <w:rFonts w:ascii="Times New Roman" w:hAnsi="Times New Roman" w:cs="Times New Roman"/>
          <w:sz w:val="24"/>
          <w:szCs w:val="24"/>
        </w:rPr>
        <w:t xml:space="preserve">, </w:t>
      </w:r>
      <w:r w:rsidR="00C30FEB" w:rsidRPr="00EA56DD">
        <w:rPr>
          <w:rFonts w:ascii="Times New Roman" w:hAnsi="Times New Roman" w:cs="Times New Roman"/>
          <w:i/>
          <w:sz w:val="24"/>
          <w:szCs w:val="24"/>
        </w:rPr>
        <w:t xml:space="preserve">p </w:t>
      </w:r>
      <w:r w:rsidR="00C30FEB" w:rsidRPr="00EA56DD">
        <w:rPr>
          <w:rFonts w:ascii="Times New Roman" w:hAnsi="Times New Roman" w:cs="Times New Roman"/>
          <w:sz w:val="24"/>
          <w:szCs w:val="24"/>
        </w:rPr>
        <w:t>= .2</w:t>
      </w:r>
      <w:r w:rsidR="00E968D1" w:rsidRPr="00EA56DD">
        <w:rPr>
          <w:rFonts w:ascii="Times New Roman" w:hAnsi="Times New Roman" w:cs="Times New Roman"/>
          <w:sz w:val="24"/>
          <w:szCs w:val="24"/>
        </w:rPr>
        <w:t>4</w:t>
      </w:r>
      <w:r w:rsidR="00517E6D" w:rsidRPr="00EA56DD">
        <w:rPr>
          <w:rFonts w:ascii="Times New Roman" w:hAnsi="Times New Roman" w:cs="Times New Roman"/>
          <w:sz w:val="24"/>
          <w:szCs w:val="24"/>
        </w:rPr>
        <w:t xml:space="preserve">. </w:t>
      </w:r>
    </w:p>
    <w:p w14:paraId="4F5AB650" w14:textId="77777777" w:rsidR="0056294A" w:rsidRPr="00EA56DD" w:rsidRDefault="0056294A"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lastRenderedPageBreak/>
        <w:t xml:space="preserve">Coaching effects on processes of change </w:t>
      </w:r>
    </w:p>
    <w:p w14:paraId="407E5DA9" w14:textId="4F08F832" w:rsidR="00E968D1" w:rsidRPr="00EA56DD" w:rsidRDefault="007916C0" w:rsidP="007B3F99">
      <w:pPr>
        <w:spacing w:after="0" w:line="480" w:lineRule="auto"/>
        <w:rPr>
          <w:rFonts w:ascii="Times New Roman" w:hAnsi="Times New Roman" w:cs="Times New Roman"/>
          <w:sz w:val="24"/>
          <w:szCs w:val="24"/>
        </w:rPr>
      </w:pPr>
      <w:r w:rsidRPr="00EA56DD">
        <w:rPr>
          <w:rFonts w:ascii="Times New Roman" w:hAnsi="Times New Roman" w:cs="Times New Roman"/>
          <w:sz w:val="24"/>
          <w:szCs w:val="24"/>
        </w:rPr>
        <w:tab/>
        <w:t>A similar series of MMRM analyses test</w:t>
      </w:r>
      <w:r w:rsidR="00730706" w:rsidRPr="00EA56DD">
        <w:rPr>
          <w:rFonts w:ascii="Times New Roman" w:hAnsi="Times New Roman" w:cs="Times New Roman"/>
          <w:sz w:val="24"/>
          <w:szCs w:val="24"/>
        </w:rPr>
        <w:t>ed</w:t>
      </w:r>
      <w:r w:rsidRPr="00EA56DD">
        <w:rPr>
          <w:rFonts w:ascii="Times New Roman" w:hAnsi="Times New Roman" w:cs="Times New Roman"/>
          <w:sz w:val="24"/>
          <w:szCs w:val="24"/>
        </w:rPr>
        <w:t xml:space="preserve"> for time by coaching condition effects on process of change measures</w:t>
      </w:r>
      <w:r w:rsidR="00A90937" w:rsidRPr="00EA56DD">
        <w:rPr>
          <w:rFonts w:ascii="Times New Roman" w:hAnsi="Times New Roman" w:cs="Times New Roman"/>
          <w:sz w:val="24"/>
          <w:szCs w:val="24"/>
        </w:rPr>
        <w:t xml:space="preserve"> (see Tables 1 and 2)</w:t>
      </w:r>
      <w:r w:rsidRPr="00EA56DD">
        <w:rPr>
          <w:rFonts w:ascii="Times New Roman" w:hAnsi="Times New Roman" w:cs="Times New Roman"/>
          <w:sz w:val="24"/>
          <w:szCs w:val="24"/>
        </w:rPr>
        <w:t xml:space="preserve">. </w:t>
      </w:r>
      <w:r w:rsidR="00E968D1" w:rsidRPr="00EA56DD">
        <w:rPr>
          <w:rFonts w:ascii="Times New Roman" w:hAnsi="Times New Roman" w:cs="Times New Roman"/>
          <w:sz w:val="24"/>
          <w:szCs w:val="24"/>
        </w:rPr>
        <w:t>A s</w:t>
      </w:r>
      <w:r w:rsidRPr="00EA56DD">
        <w:rPr>
          <w:rFonts w:ascii="Times New Roman" w:hAnsi="Times New Roman" w:cs="Times New Roman"/>
          <w:sz w:val="24"/>
          <w:szCs w:val="24"/>
        </w:rPr>
        <w:t>ignificant time by condition effect w</w:t>
      </w:r>
      <w:r w:rsidR="00E968D1" w:rsidRPr="00EA56DD">
        <w:rPr>
          <w:rFonts w:ascii="Times New Roman" w:hAnsi="Times New Roman" w:cs="Times New Roman"/>
          <w:sz w:val="24"/>
          <w:szCs w:val="24"/>
        </w:rPr>
        <w:t>as</w:t>
      </w:r>
      <w:r w:rsidRPr="00EA56DD">
        <w:rPr>
          <w:rFonts w:ascii="Times New Roman" w:hAnsi="Times New Roman" w:cs="Times New Roman"/>
          <w:sz w:val="24"/>
          <w:szCs w:val="24"/>
        </w:rPr>
        <w:t xml:space="preserve"> found for psychological inflexibility</w:t>
      </w:r>
      <w:r w:rsidR="00CC6882" w:rsidRPr="00EA56DD">
        <w:rPr>
          <w:rFonts w:ascii="Times New Roman" w:hAnsi="Times New Roman" w:cs="Times New Roman"/>
          <w:sz w:val="24"/>
          <w:szCs w:val="24"/>
        </w:rPr>
        <w:t xml:space="preserve"> (AAQ-II)</w:t>
      </w:r>
      <w:r w:rsidR="0048173C" w:rsidRPr="00EA56DD">
        <w:rPr>
          <w:rFonts w:ascii="Times New Roman" w:hAnsi="Times New Roman" w:cs="Times New Roman"/>
          <w:sz w:val="24"/>
          <w:szCs w:val="24"/>
        </w:rPr>
        <w:t xml:space="preserve">, such that participants in the coaching condition improved more than </w:t>
      </w:r>
      <w:r w:rsidR="00C803C2" w:rsidRPr="00EA56DD">
        <w:rPr>
          <w:rFonts w:ascii="Times New Roman" w:hAnsi="Times New Roman" w:cs="Times New Roman"/>
          <w:sz w:val="24"/>
          <w:szCs w:val="24"/>
        </w:rPr>
        <w:t>the non-coaching condition at posttreatment with a significant medium effect size (</w:t>
      </w:r>
      <w:r w:rsidR="00C803C2" w:rsidRPr="00EA56DD">
        <w:rPr>
          <w:rFonts w:ascii="Times New Roman" w:hAnsi="Times New Roman" w:cs="Times New Roman"/>
          <w:i/>
          <w:iCs/>
          <w:sz w:val="24"/>
          <w:szCs w:val="24"/>
        </w:rPr>
        <w:t xml:space="preserve">d </w:t>
      </w:r>
      <w:r w:rsidR="00C803C2" w:rsidRPr="00EA56DD">
        <w:rPr>
          <w:rFonts w:ascii="Times New Roman" w:hAnsi="Times New Roman" w:cs="Times New Roman"/>
          <w:sz w:val="24"/>
          <w:szCs w:val="24"/>
        </w:rPr>
        <w:t>= .59), but this decreased to a non-significant small effect size at follow up (</w:t>
      </w:r>
      <w:r w:rsidR="00C803C2" w:rsidRPr="00EA56DD">
        <w:rPr>
          <w:rFonts w:ascii="Times New Roman" w:hAnsi="Times New Roman" w:cs="Times New Roman"/>
          <w:i/>
          <w:iCs/>
          <w:sz w:val="24"/>
          <w:szCs w:val="24"/>
        </w:rPr>
        <w:t xml:space="preserve">d </w:t>
      </w:r>
      <w:r w:rsidR="00C803C2" w:rsidRPr="00EA56DD">
        <w:rPr>
          <w:rFonts w:ascii="Times New Roman" w:hAnsi="Times New Roman" w:cs="Times New Roman"/>
          <w:sz w:val="24"/>
          <w:szCs w:val="24"/>
        </w:rPr>
        <w:t>= .27)</w:t>
      </w:r>
      <w:r w:rsidR="00A90937" w:rsidRPr="00EA56DD">
        <w:rPr>
          <w:rFonts w:ascii="Times New Roman" w:hAnsi="Times New Roman" w:cs="Times New Roman"/>
          <w:sz w:val="24"/>
          <w:szCs w:val="24"/>
        </w:rPr>
        <w:t>. No time by condition effects were found for other process of change measures (CFQ, PHLMS, VQ, CAQ).</w:t>
      </w:r>
    </w:p>
    <w:p w14:paraId="2F8B17DC" w14:textId="77777777" w:rsidR="00DF5B01" w:rsidRPr="00EA56DD" w:rsidRDefault="00B64813" w:rsidP="007B3F99">
      <w:pPr>
        <w:spacing w:after="0" w:line="480" w:lineRule="auto"/>
        <w:rPr>
          <w:rFonts w:ascii="Times New Roman" w:hAnsi="Times New Roman" w:cs="Times New Roman"/>
          <w:b/>
          <w:sz w:val="24"/>
          <w:szCs w:val="24"/>
        </w:rPr>
      </w:pPr>
      <w:r w:rsidRPr="00EA56DD">
        <w:rPr>
          <w:rFonts w:ascii="Times New Roman" w:hAnsi="Times New Roman" w:cs="Times New Roman"/>
          <w:b/>
          <w:sz w:val="24"/>
          <w:szCs w:val="24"/>
        </w:rPr>
        <w:t>Differences in the effects of coaching by ACT component condition</w:t>
      </w:r>
    </w:p>
    <w:p w14:paraId="7580A0F3" w14:textId="7D0CEC6E" w:rsidR="0056294A" w:rsidRPr="00EA56DD" w:rsidRDefault="00B64813" w:rsidP="00F2286B">
      <w:pPr>
        <w:spacing w:after="0" w:line="480" w:lineRule="auto"/>
        <w:contextualSpacing/>
        <w:rPr>
          <w:rFonts w:ascii="Times New Roman" w:hAnsi="Times New Roman" w:cs="Times New Roman"/>
          <w:sz w:val="24"/>
          <w:szCs w:val="24"/>
        </w:rPr>
      </w:pPr>
      <w:r w:rsidRPr="00EA56DD">
        <w:rPr>
          <w:rFonts w:ascii="Times New Roman" w:hAnsi="Times New Roman" w:cs="Times New Roman"/>
          <w:sz w:val="24"/>
          <w:szCs w:val="24"/>
        </w:rPr>
        <w:tab/>
        <w:t xml:space="preserve">An </w:t>
      </w:r>
      <w:r w:rsidR="0060382F">
        <w:rPr>
          <w:rFonts w:ascii="Times New Roman" w:hAnsi="Times New Roman" w:cs="Times New Roman"/>
          <w:sz w:val="24"/>
          <w:szCs w:val="24"/>
        </w:rPr>
        <w:t>exploratory</w:t>
      </w:r>
      <w:r w:rsidR="0060382F" w:rsidRPr="00EA56DD">
        <w:rPr>
          <w:rFonts w:ascii="Times New Roman" w:hAnsi="Times New Roman" w:cs="Times New Roman"/>
          <w:sz w:val="24"/>
          <w:szCs w:val="24"/>
        </w:rPr>
        <w:t xml:space="preserve"> </w:t>
      </w:r>
      <w:r w:rsidRPr="00EA56DD">
        <w:rPr>
          <w:rFonts w:ascii="Times New Roman" w:hAnsi="Times New Roman" w:cs="Times New Roman"/>
          <w:sz w:val="24"/>
          <w:szCs w:val="24"/>
        </w:rPr>
        <w:t>series of MMRM analyses test</w:t>
      </w:r>
      <w:r w:rsidR="00CC6882" w:rsidRPr="00EA56DD">
        <w:rPr>
          <w:rFonts w:ascii="Times New Roman" w:hAnsi="Times New Roman" w:cs="Times New Roman"/>
          <w:sz w:val="24"/>
          <w:szCs w:val="24"/>
        </w:rPr>
        <w:t>ed</w:t>
      </w:r>
      <w:r w:rsidRPr="00EA56DD">
        <w:rPr>
          <w:rFonts w:ascii="Times New Roman" w:hAnsi="Times New Roman" w:cs="Times New Roman"/>
          <w:sz w:val="24"/>
          <w:szCs w:val="24"/>
        </w:rPr>
        <w:t xml:space="preserve"> whether ACT condition </w:t>
      </w:r>
      <w:r w:rsidR="00056A17" w:rsidRPr="00EA56DD">
        <w:rPr>
          <w:rFonts w:ascii="Times New Roman" w:hAnsi="Times New Roman" w:cs="Times New Roman"/>
          <w:sz w:val="24"/>
          <w:szCs w:val="24"/>
        </w:rPr>
        <w:t xml:space="preserve">(Open, Engaged, Full) </w:t>
      </w:r>
      <w:r w:rsidRPr="00EA56DD">
        <w:rPr>
          <w:rFonts w:ascii="Times New Roman" w:hAnsi="Times New Roman" w:cs="Times New Roman"/>
          <w:sz w:val="24"/>
          <w:szCs w:val="24"/>
        </w:rPr>
        <w:t>moderated the effects of coaching condition on outcome and process variables over time</w:t>
      </w:r>
      <w:r w:rsidR="00C803C2" w:rsidRPr="00EA56DD">
        <w:rPr>
          <w:rFonts w:ascii="Times New Roman" w:hAnsi="Times New Roman" w:cs="Times New Roman"/>
          <w:sz w:val="24"/>
          <w:szCs w:val="24"/>
        </w:rPr>
        <w:t xml:space="preserve"> (Table 2)</w:t>
      </w:r>
      <w:r w:rsidRPr="00EA56DD">
        <w:rPr>
          <w:rFonts w:ascii="Times New Roman" w:hAnsi="Times New Roman" w:cs="Times New Roman"/>
          <w:sz w:val="24"/>
          <w:szCs w:val="24"/>
        </w:rPr>
        <w:t xml:space="preserve">. </w:t>
      </w:r>
      <w:r w:rsidR="00056A17" w:rsidRPr="00EA56DD">
        <w:rPr>
          <w:rFonts w:ascii="Times New Roman" w:hAnsi="Times New Roman" w:cs="Times New Roman"/>
          <w:sz w:val="24"/>
          <w:szCs w:val="24"/>
        </w:rPr>
        <w:t xml:space="preserve">A significant </w:t>
      </w:r>
      <w:r w:rsidRPr="00EA56DD">
        <w:rPr>
          <w:rFonts w:ascii="Times New Roman" w:hAnsi="Times New Roman" w:cs="Times New Roman"/>
          <w:sz w:val="24"/>
          <w:szCs w:val="24"/>
        </w:rPr>
        <w:t xml:space="preserve">time by coaching by ACT </w:t>
      </w:r>
      <w:r w:rsidR="00CC6882" w:rsidRPr="00EA56DD">
        <w:rPr>
          <w:rFonts w:ascii="Times New Roman" w:hAnsi="Times New Roman" w:cs="Times New Roman"/>
          <w:sz w:val="24"/>
          <w:szCs w:val="24"/>
        </w:rPr>
        <w:t>condition</w:t>
      </w:r>
      <w:r w:rsidRPr="00EA56DD">
        <w:rPr>
          <w:rFonts w:ascii="Times New Roman" w:hAnsi="Times New Roman" w:cs="Times New Roman"/>
          <w:sz w:val="24"/>
          <w:szCs w:val="24"/>
        </w:rPr>
        <w:t xml:space="preserve"> interaction </w:t>
      </w:r>
      <w:r w:rsidR="00056A17" w:rsidRPr="00EA56DD">
        <w:rPr>
          <w:rFonts w:ascii="Times New Roman" w:hAnsi="Times New Roman" w:cs="Times New Roman"/>
          <w:sz w:val="24"/>
          <w:szCs w:val="24"/>
        </w:rPr>
        <w:t>was found for psychological inflexibility (AAQ-II</w:t>
      </w:r>
      <w:r w:rsidR="003C48A6" w:rsidRPr="00EA56DD">
        <w:rPr>
          <w:rFonts w:ascii="Times New Roman" w:hAnsi="Times New Roman" w:cs="Times New Roman"/>
          <w:sz w:val="24"/>
          <w:szCs w:val="24"/>
        </w:rPr>
        <w:t>; Figure 1</w:t>
      </w:r>
      <w:r w:rsidR="00056A17" w:rsidRPr="00EA56DD">
        <w:rPr>
          <w:rFonts w:ascii="Times New Roman" w:hAnsi="Times New Roman" w:cs="Times New Roman"/>
          <w:sz w:val="24"/>
          <w:szCs w:val="24"/>
        </w:rPr>
        <w:t xml:space="preserve">). </w:t>
      </w:r>
      <w:r w:rsidR="009D683D" w:rsidRPr="00EA56DD">
        <w:rPr>
          <w:rFonts w:ascii="Times New Roman" w:hAnsi="Times New Roman" w:cs="Times New Roman"/>
          <w:sz w:val="24"/>
          <w:szCs w:val="24"/>
        </w:rPr>
        <w:t>In the Engaged condition (i.e., values and committed action only), a large pre to posttreatment effect size was found between coaching and non-coaching conditions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1.11), which reduced to a small between condition effect at follow up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xml:space="preserve">= .22). In contrast, effect sizes approached zero in the Open condition (i.e., acceptance and </w:t>
      </w:r>
      <w:proofErr w:type="spellStart"/>
      <w:r w:rsidR="009D683D" w:rsidRPr="00EA56DD">
        <w:rPr>
          <w:rFonts w:ascii="Times New Roman" w:hAnsi="Times New Roman" w:cs="Times New Roman"/>
          <w:sz w:val="24"/>
          <w:szCs w:val="24"/>
        </w:rPr>
        <w:t>defusion</w:t>
      </w:r>
      <w:proofErr w:type="spellEnd"/>
      <w:r w:rsidR="009D683D" w:rsidRPr="00EA56DD">
        <w:rPr>
          <w:rFonts w:ascii="Times New Roman" w:hAnsi="Times New Roman" w:cs="Times New Roman"/>
          <w:sz w:val="24"/>
          <w:szCs w:val="24"/>
        </w:rPr>
        <w:t xml:space="preserve"> only) between coaching and non-coaching conditions from pre to posttreatment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xml:space="preserve">= .19) and </w:t>
      </w:r>
      <w:r w:rsidR="0060382F">
        <w:rPr>
          <w:rFonts w:ascii="Times New Roman" w:hAnsi="Times New Roman" w:cs="Times New Roman"/>
          <w:sz w:val="24"/>
          <w:szCs w:val="24"/>
        </w:rPr>
        <w:t xml:space="preserve">pre to </w:t>
      </w:r>
      <w:r w:rsidR="009D683D" w:rsidRPr="00EA56DD">
        <w:rPr>
          <w:rFonts w:ascii="Times New Roman" w:hAnsi="Times New Roman" w:cs="Times New Roman"/>
          <w:sz w:val="24"/>
          <w:szCs w:val="24"/>
        </w:rPr>
        <w:t>follow up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.17). In the Full condition (i.e., combining components), a medium effect size was found for coaching versus non-coaching from pre to posttreatment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.52), which maintained at follow up (</w:t>
      </w:r>
      <w:r w:rsidR="009D683D" w:rsidRPr="00EA56DD">
        <w:rPr>
          <w:rFonts w:ascii="Times New Roman" w:hAnsi="Times New Roman" w:cs="Times New Roman"/>
          <w:i/>
          <w:iCs/>
          <w:sz w:val="24"/>
          <w:szCs w:val="24"/>
        </w:rPr>
        <w:t xml:space="preserve">d </w:t>
      </w:r>
      <w:r w:rsidR="009D683D" w:rsidRPr="00EA56DD">
        <w:rPr>
          <w:rFonts w:ascii="Times New Roman" w:hAnsi="Times New Roman" w:cs="Times New Roman"/>
          <w:sz w:val="24"/>
          <w:szCs w:val="24"/>
        </w:rPr>
        <w:t xml:space="preserve">= .49). Overall, this pattern suggested stronger effects for coaching on the AAQ-II in the Engaged condition and weaker effects in the Open condition. </w:t>
      </w:r>
      <w:r w:rsidR="00056A17" w:rsidRPr="00EA56DD">
        <w:rPr>
          <w:rFonts w:ascii="Times New Roman" w:hAnsi="Times New Roman" w:cs="Times New Roman"/>
          <w:sz w:val="24"/>
          <w:szCs w:val="24"/>
        </w:rPr>
        <w:t>There were no other moderation effects by ACT condition for other</w:t>
      </w:r>
      <w:r w:rsidRPr="00EA56DD">
        <w:rPr>
          <w:rFonts w:ascii="Times New Roman" w:hAnsi="Times New Roman" w:cs="Times New Roman"/>
          <w:sz w:val="24"/>
          <w:szCs w:val="24"/>
        </w:rPr>
        <w:t xml:space="preserve"> outcome or process measures. </w:t>
      </w:r>
    </w:p>
    <w:p w14:paraId="0067EB55" w14:textId="5D706D47" w:rsidR="00620857" w:rsidRPr="00EA56DD" w:rsidRDefault="00620857" w:rsidP="00F2286B">
      <w:pPr>
        <w:spacing w:after="0" w:line="480" w:lineRule="auto"/>
        <w:contextualSpacing/>
        <w:rPr>
          <w:rFonts w:ascii="Times New Roman" w:hAnsi="Times New Roman" w:cs="Times New Roman"/>
          <w:b/>
          <w:bCs/>
          <w:sz w:val="24"/>
          <w:szCs w:val="24"/>
        </w:rPr>
      </w:pPr>
      <w:r w:rsidRPr="00EA56DD">
        <w:rPr>
          <w:rFonts w:ascii="Times New Roman" w:hAnsi="Times New Roman" w:cs="Times New Roman"/>
          <w:b/>
          <w:bCs/>
          <w:sz w:val="24"/>
          <w:szCs w:val="24"/>
        </w:rPr>
        <w:lastRenderedPageBreak/>
        <w:t>Correlations between number of coaching calls and outcomes</w:t>
      </w:r>
    </w:p>
    <w:p w14:paraId="3D1D197B" w14:textId="7DF54A6C" w:rsidR="00620857" w:rsidRPr="00EA56DD" w:rsidRDefault="00703F47" w:rsidP="00F2286B">
      <w:pPr>
        <w:spacing w:after="0" w:line="480" w:lineRule="auto"/>
        <w:contextualSpacing/>
        <w:rPr>
          <w:rFonts w:ascii="Times New Roman" w:hAnsi="Times New Roman" w:cs="Times New Roman"/>
          <w:sz w:val="24"/>
          <w:szCs w:val="24"/>
        </w:rPr>
      </w:pPr>
      <w:r w:rsidRPr="00EA56DD">
        <w:rPr>
          <w:rFonts w:ascii="Times New Roman" w:hAnsi="Times New Roman" w:cs="Times New Roman"/>
          <w:b/>
          <w:bCs/>
          <w:sz w:val="24"/>
          <w:szCs w:val="24"/>
        </w:rPr>
        <w:tab/>
      </w:r>
      <w:r w:rsidRPr="00EA56DD">
        <w:rPr>
          <w:rFonts w:ascii="Times New Roman" w:hAnsi="Times New Roman" w:cs="Times New Roman"/>
          <w:sz w:val="24"/>
          <w:szCs w:val="24"/>
        </w:rPr>
        <w:t>Exploratory</w:t>
      </w:r>
      <w:r w:rsidR="00572AF9" w:rsidRPr="00EA56DD">
        <w:rPr>
          <w:rFonts w:ascii="Times New Roman" w:hAnsi="Times New Roman" w:cs="Times New Roman"/>
          <w:sz w:val="24"/>
          <w:szCs w:val="24"/>
        </w:rPr>
        <w:t xml:space="preserve"> analyses examined whether number of coaching calls related to outcomes in the coaching condition. Zero order correlations indicated that number of coaching calls were significantly related to number of sessions completed (</w:t>
      </w:r>
      <w:proofErr w:type="gramStart"/>
      <w:r w:rsidR="00572AF9" w:rsidRPr="00EA56DD">
        <w:rPr>
          <w:rFonts w:ascii="Times New Roman" w:hAnsi="Times New Roman" w:cs="Times New Roman"/>
          <w:i/>
          <w:iCs/>
          <w:sz w:val="24"/>
          <w:szCs w:val="24"/>
        </w:rPr>
        <w:t>r</w:t>
      </w:r>
      <w:r w:rsidR="00572AF9" w:rsidRPr="00EA56DD">
        <w:rPr>
          <w:rFonts w:ascii="Times New Roman" w:hAnsi="Times New Roman" w:cs="Times New Roman"/>
          <w:sz w:val="24"/>
          <w:szCs w:val="24"/>
        </w:rPr>
        <w:t>[</w:t>
      </w:r>
      <w:proofErr w:type="gramEnd"/>
      <w:r w:rsidR="00572AF9" w:rsidRPr="00EA56DD">
        <w:rPr>
          <w:rFonts w:ascii="Times New Roman" w:hAnsi="Times New Roman" w:cs="Times New Roman"/>
          <w:sz w:val="24"/>
          <w:szCs w:val="24"/>
        </w:rPr>
        <w:t>69]</w:t>
      </w:r>
      <w:r w:rsidR="00572AF9" w:rsidRPr="00EA56DD">
        <w:rPr>
          <w:rFonts w:ascii="Times New Roman" w:hAnsi="Times New Roman" w:cs="Times New Roman"/>
          <w:i/>
          <w:iCs/>
          <w:sz w:val="24"/>
          <w:szCs w:val="24"/>
        </w:rPr>
        <w:t xml:space="preserve"> </w:t>
      </w:r>
      <w:r w:rsidR="00572AF9" w:rsidRPr="00EA56DD">
        <w:rPr>
          <w:rFonts w:ascii="Times New Roman" w:hAnsi="Times New Roman" w:cs="Times New Roman"/>
          <w:sz w:val="24"/>
          <w:szCs w:val="24"/>
        </w:rPr>
        <w:t xml:space="preserve">= .68, </w:t>
      </w:r>
      <w:r w:rsidR="00572AF9" w:rsidRPr="00EA56DD">
        <w:rPr>
          <w:rFonts w:ascii="Times New Roman" w:hAnsi="Times New Roman" w:cs="Times New Roman"/>
          <w:i/>
          <w:iCs/>
          <w:sz w:val="24"/>
          <w:szCs w:val="24"/>
        </w:rPr>
        <w:t xml:space="preserve">p &lt; </w:t>
      </w:r>
      <w:r w:rsidR="00572AF9" w:rsidRPr="00EA56DD">
        <w:rPr>
          <w:rFonts w:ascii="Times New Roman" w:hAnsi="Times New Roman" w:cs="Times New Roman"/>
          <w:sz w:val="24"/>
          <w:szCs w:val="24"/>
        </w:rPr>
        <w:t>.001), such that participants who completed more calls also completed more sessions</w:t>
      </w:r>
      <w:r w:rsidRPr="00EA56DD">
        <w:rPr>
          <w:rFonts w:ascii="Times New Roman" w:hAnsi="Times New Roman" w:cs="Times New Roman"/>
          <w:sz w:val="24"/>
          <w:szCs w:val="24"/>
        </w:rPr>
        <w:t xml:space="preserve">. </w:t>
      </w:r>
      <w:r w:rsidR="00572AF9" w:rsidRPr="00EA56DD">
        <w:rPr>
          <w:rFonts w:ascii="Times New Roman" w:hAnsi="Times New Roman" w:cs="Times New Roman"/>
          <w:sz w:val="24"/>
          <w:szCs w:val="24"/>
        </w:rPr>
        <w:t>Coaching calls did not correlate with any program satisfaction items (</w:t>
      </w:r>
      <w:r w:rsidR="00572AF9" w:rsidRPr="00EA56DD">
        <w:rPr>
          <w:rFonts w:ascii="Times New Roman" w:hAnsi="Times New Roman" w:cs="Times New Roman"/>
          <w:i/>
          <w:iCs/>
          <w:sz w:val="24"/>
          <w:szCs w:val="24"/>
        </w:rPr>
        <w:t xml:space="preserve">p </w:t>
      </w:r>
      <w:r w:rsidR="00572AF9" w:rsidRPr="00EA56DD">
        <w:rPr>
          <w:rFonts w:ascii="Times New Roman" w:hAnsi="Times New Roman" w:cs="Times New Roman"/>
          <w:sz w:val="24"/>
          <w:szCs w:val="24"/>
        </w:rPr>
        <w:t xml:space="preserve">&gt; .10). Partial correlations controlling for relevant baseline outcome/process scores </w:t>
      </w:r>
      <w:r w:rsidR="001D4416">
        <w:rPr>
          <w:rFonts w:ascii="Times New Roman" w:hAnsi="Times New Roman" w:cs="Times New Roman"/>
          <w:sz w:val="24"/>
          <w:szCs w:val="24"/>
        </w:rPr>
        <w:t xml:space="preserve">as well as number of sessions completed </w:t>
      </w:r>
      <w:r w:rsidR="00572AF9" w:rsidRPr="00EA56DD">
        <w:rPr>
          <w:rFonts w:ascii="Times New Roman" w:hAnsi="Times New Roman" w:cs="Times New Roman"/>
          <w:sz w:val="24"/>
          <w:szCs w:val="24"/>
        </w:rPr>
        <w:t>indicated that n</w:t>
      </w:r>
      <w:r w:rsidRPr="00EA56DD">
        <w:rPr>
          <w:rFonts w:ascii="Times New Roman" w:hAnsi="Times New Roman" w:cs="Times New Roman"/>
          <w:sz w:val="24"/>
          <w:szCs w:val="24"/>
        </w:rPr>
        <w:t>umber of coaching calls w</w:t>
      </w:r>
      <w:r w:rsidR="00657CE2">
        <w:rPr>
          <w:rFonts w:ascii="Times New Roman" w:hAnsi="Times New Roman" w:cs="Times New Roman"/>
          <w:sz w:val="24"/>
          <w:szCs w:val="24"/>
        </w:rPr>
        <w:t>as</w:t>
      </w:r>
      <w:r w:rsidRPr="00EA56DD">
        <w:rPr>
          <w:rFonts w:ascii="Times New Roman" w:hAnsi="Times New Roman" w:cs="Times New Roman"/>
          <w:sz w:val="24"/>
          <w:szCs w:val="24"/>
        </w:rPr>
        <w:t xml:space="preserve"> significantly related to posttreatment mental health symptoms (CCAPS; </w:t>
      </w:r>
      <w:r w:rsidRPr="00EA56DD">
        <w:rPr>
          <w:rFonts w:ascii="Times New Roman" w:hAnsi="Times New Roman" w:cs="Times New Roman"/>
          <w:i/>
          <w:iCs/>
          <w:sz w:val="24"/>
          <w:szCs w:val="24"/>
        </w:rPr>
        <w:t>r</w:t>
      </w:r>
      <w:r w:rsidRPr="00EA56DD">
        <w:rPr>
          <w:rFonts w:ascii="Times New Roman" w:hAnsi="Times New Roman" w:cs="Times New Roman"/>
          <w:sz w:val="24"/>
          <w:szCs w:val="24"/>
        </w:rPr>
        <w:t>[</w:t>
      </w:r>
      <w:r w:rsidRPr="005B4989">
        <w:rPr>
          <w:rFonts w:ascii="Times New Roman" w:hAnsi="Times New Roman" w:cs="Times New Roman"/>
          <w:sz w:val="24"/>
          <w:szCs w:val="24"/>
        </w:rPr>
        <w:t>5</w:t>
      </w:r>
      <w:r w:rsidR="001D4416">
        <w:rPr>
          <w:rFonts w:ascii="Times New Roman" w:hAnsi="Times New Roman" w:cs="Times New Roman"/>
          <w:sz w:val="24"/>
          <w:szCs w:val="24"/>
        </w:rPr>
        <w:t>8</w:t>
      </w:r>
      <w:r w:rsidRPr="00EA56DD">
        <w:rPr>
          <w:rFonts w:ascii="Times New Roman" w:hAnsi="Times New Roman" w:cs="Times New Roman"/>
          <w:sz w:val="24"/>
          <w:szCs w:val="24"/>
        </w:rPr>
        <w:t>]</w:t>
      </w:r>
      <w:r w:rsidRPr="00EA56DD">
        <w:rPr>
          <w:rFonts w:ascii="Times New Roman" w:hAnsi="Times New Roman" w:cs="Times New Roman"/>
          <w:i/>
          <w:iCs/>
          <w:sz w:val="24"/>
          <w:szCs w:val="24"/>
        </w:rPr>
        <w:t xml:space="preserve"> </w:t>
      </w:r>
      <w:r w:rsidRPr="00EA56DD">
        <w:rPr>
          <w:rFonts w:ascii="Times New Roman" w:hAnsi="Times New Roman" w:cs="Times New Roman"/>
          <w:sz w:val="24"/>
          <w:szCs w:val="24"/>
        </w:rPr>
        <w:t>= -.3</w:t>
      </w:r>
      <w:r w:rsidR="001D4416">
        <w:rPr>
          <w:rFonts w:ascii="Times New Roman" w:hAnsi="Times New Roman" w:cs="Times New Roman"/>
          <w:sz w:val="24"/>
          <w:szCs w:val="24"/>
        </w:rPr>
        <w:t>0</w:t>
      </w:r>
      <w:r w:rsidRPr="00EA56DD">
        <w:rPr>
          <w:rFonts w:ascii="Times New Roman" w:hAnsi="Times New Roman" w:cs="Times New Roman"/>
          <w:sz w:val="24"/>
          <w:szCs w:val="24"/>
        </w:rPr>
        <w:t xml:space="preserve">, </w:t>
      </w:r>
      <w:r w:rsidRPr="00EA56DD">
        <w:rPr>
          <w:rFonts w:ascii="Times New Roman" w:hAnsi="Times New Roman" w:cs="Times New Roman"/>
          <w:i/>
          <w:iCs/>
          <w:sz w:val="24"/>
          <w:szCs w:val="24"/>
        </w:rPr>
        <w:t xml:space="preserve">p </w:t>
      </w:r>
      <w:r w:rsidRPr="00EA56DD">
        <w:rPr>
          <w:rFonts w:ascii="Times New Roman" w:hAnsi="Times New Roman" w:cs="Times New Roman"/>
          <w:sz w:val="24"/>
          <w:szCs w:val="24"/>
        </w:rPr>
        <w:t>= .0</w:t>
      </w:r>
      <w:r w:rsidR="001D4416">
        <w:rPr>
          <w:rFonts w:ascii="Times New Roman" w:hAnsi="Times New Roman" w:cs="Times New Roman"/>
          <w:sz w:val="24"/>
          <w:szCs w:val="24"/>
        </w:rPr>
        <w:t>2</w:t>
      </w:r>
      <w:r w:rsidRPr="00EA56DD">
        <w:rPr>
          <w:rFonts w:ascii="Times New Roman" w:hAnsi="Times New Roman" w:cs="Times New Roman"/>
          <w:sz w:val="24"/>
          <w:szCs w:val="24"/>
        </w:rPr>
        <w:t xml:space="preserve">), </w:t>
      </w:r>
      <w:r w:rsidR="00572AF9" w:rsidRPr="00EA56DD">
        <w:rPr>
          <w:rFonts w:ascii="Times New Roman" w:hAnsi="Times New Roman" w:cs="Times New Roman"/>
          <w:sz w:val="24"/>
          <w:szCs w:val="24"/>
        </w:rPr>
        <w:t xml:space="preserve">such that participants who completed more calls reported greater improvements in </w:t>
      </w:r>
      <w:r w:rsidR="001D4416">
        <w:rPr>
          <w:rFonts w:ascii="Times New Roman" w:hAnsi="Times New Roman" w:cs="Times New Roman"/>
          <w:sz w:val="24"/>
          <w:szCs w:val="24"/>
        </w:rPr>
        <w:t>mental health</w:t>
      </w:r>
      <w:r w:rsidRPr="00EA56DD">
        <w:rPr>
          <w:rFonts w:ascii="Times New Roman" w:hAnsi="Times New Roman" w:cs="Times New Roman"/>
          <w:sz w:val="24"/>
          <w:szCs w:val="24"/>
        </w:rPr>
        <w:t>.</w:t>
      </w:r>
      <w:r w:rsidR="00572AF9" w:rsidRPr="00EA56DD">
        <w:rPr>
          <w:rFonts w:ascii="Times New Roman" w:hAnsi="Times New Roman" w:cs="Times New Roman"/>
          <w:sz w:val="24"/>
          <w:szCs w:val="24"/>
        </w:rPr>
        <w:t xml:space="preserve"> Coaching calls were not related to other </w:t>
      </w:r>
      <w:r w:rsidR="001C7C5D">
        <w:rPr>
          <w:rFonts w:ascii="Times New Roman" w:hAnsi="Times New Roman" w:cs="Times New Roman"/>
          <w:sz w:val="24"/>
          <w:szCs w:val="24"/>
        </w:rPr>
        <w:t xml:space="preserve">posttreatment </w:t>
      </w:r>
      <w:r w:rsidR="00572AF9" w:rsidRPr="00EA56DD">
        <w:rPr>
          <w:rFonts w:ascii="Times New Roman" w:hAnsi="Times New Roman" w:cs="Times New Roman"/>
          <w:sz w:val="24"/>
          <w:szCs w:val="24"/>
        </w:rPr>
        <w:t>outcome or process variables.</w:t>
      </w:r>
      <w:r w:rsidRPr="00EA56DD">
        <w:rPr>
          <w:rFonts w:ascii="Times New Roman" w:hAnsi="Times New Roman" w:cs="Times New Roman"/>
          <w:i/>
          <w:iCs/>
          <w:sz w:val="24"/>
          <w:szCs w:val="24"/>
        </w:rPr>
        <w:t xml:space="preserve"> </w:t>
      </w:r>
    </w:p>
    <w:p w14:paraId="65BE82A9" w14:textId="55D0875A" w:rsidR="007B3F99" w:rsidRPr="00EA56DD" w:rsidRDefault="00FD7EBC" w:rsidP="00F2286B">
      <w:pPr>
        <w:spacing w:line="480" w:lineRule="auto"/>
        <w:contextualSpacing/>
        <w:jc w:val="center"/>
        <w:rPr>
          <w:rFonts w:ascii="Times New Roman" w:hAnsi="Times New Roman" w:cs="Times New Roman"/>
          <w:b/>
          <w:sz w:val="24"/>
          <w:szCs w:val="24"/>
        </w:rPr>
      </w:pPr>
      <w:r w:rsidRPr="00EA56DD">
        <w:rPr>
          <w:rFonts w:ascii="Times New Roman" w:hAnsi="Times New Roman" w:cs="Times New Roman"/>
          <w:b/>
          <w:sz w:val="24"/>
          <w:szCs w:val="24"/>
        </w:rPr>
        <w:t>Discussion</w:t>
      </w:r>
    </w:p>
    <w:p w14:paraId="3BE55A0B" w14:textId="4921247C" w:rsidR="00893CA5" w:rsidRPr="00EA56DD" w:rsidRDefault="00893CA5" w:rsidP="00F2286B">
      <w:pPr>
        <w:spacing w:line="480" w:lineRule="auto"/>
        <w:contextualSpacing/>
        <w:rPr>
          <w:rFonts w:ascii="Times New Roman" w:hAnsi="Times New Roman" w:cs="Times New Roman"/>
          <w:sz w:val="24"/>
          <w:szCs w:val="24"/>
        </w:rPr>
      </w:pPr>
      <w:r w:rsidRPr="00EA56DD">
        <w:rPr>
          <w:rFonts w:ascii="Times New Roman" w:hAnsi="Times New Roman" w:cs="Times New Roman"/>
          <w:sz w:val="24"/>
          <w:szCs w:val="24"/>
        </w:rPr>
        <w:tab/>
      </w:r>
      <w:r w:rsidR="008C09EF" w:rsidRPr="00EA56DD">
        <w:rPr>
          <w:rFonts w:ascii="Times New Roman" w:hAnsi="Times New Roman" w:cs="Times New Roman"/>
          <w:sz w:val="24"/>
          <w:szCs w:val="24"/>
        </w:rPr>
        <w:t xml:space="preserve">This study examined the effects of phone coaching with an online ACT program for college student mental health. </w:t>
      </w:r>
      <w:r w:rsidR="00F2286B" w:rsidRPr="00EA56DD">
        <w:rPr>
          <w:rFonts w:ascii="Times New Roman" w:hAnsi="Times New Roman" w:cs="Times New Roman"/>
          <w:sz w:val="24"/>
          <w:szCs w:val="24"/>
        </w:rPr>
        <w:t>There were no differences on program engagement</w:t>
      </w:r>
      <w:r w:rsidR="00553102" w:rsidRPr="00EA56DD">
        <w:rPr>
          <w:rFonts w:ascii="Times New Roman" w:hAnsi="Times New Roman" w:cs="Times New Roman"/>
          <w:sz w:val="24"/>
          <w:szCs w:val="24"/>
        </w:rPr>
        <w:t xml:space="preserve">, </w:t>
      </w:r>
      <w:r w:rsidR="00F2286B" w:rsidRPr="00EA56DD">
        <w:rPr>
          <w:rFonts w:ascii="Times New Roman" w:hAnsi="Times New Roman" w:cs="Times New Roman"/>
          <w:sz w:val="24"/>
          <w:szCs w:val="24"/>
        </w:rPr>
        <w:t>program satisfaction</w:t>
      </w:r>
      <w:r w:rsidR="00553102" w:rsidRPr="00EA56DD">
        <w:rPr>
          <w:rFonts w:ascii="Times New Roman" w:hAnsi="Times New Roman" w:cs="Times New Roman"/>
          <w:sz w:val="24"/>
          <w:szCs w:val="24"/>
        </w:rPr>
        <w:t>, mental health outcomes, and almost all psychological flexibility processes</w:t>
      </w:r>
      <w:r w:rsidR="00F2286B" w:rsidRPr="00EA56DD">
        <w:rPr>
          <w:rFonts w:ascii="Times New Roman" w:hAnsi="Times New Roman" w:cs="Times New Roman"/>
          <w:sz w:val="24"/>
          <w:szCs w:val="24"/>
        </w:rPr>
        <w:t xml:space="preserve"> between the phone coaching and non-coaching conditions. </w:t>
      </w:r>
      <w:r w:rsidR="00382048" w:rsidRPr="00EA56DD">
        <w:rPr>
          <w:rFonts w:ascii="Times New Roman" w:hAnsi="Times New Roman" w:cs="Times New Roman"/>
          <w:sz w:val="24"/>
          <w:szCs w:val="24"/>
        </w:rPr>
        <w:t xml:space="preserve">Participants in the coaching </w:t>
      </w:r>
      <w:r w:rsidR="00553102" w:rsidRPr="00EA56DD">
        <w:rPr>
          <w:rFonts w:ascii="Times New Roman" w:hAnsi="Times New Roman" w:cs="Times New Roman"/>
          <w:sz w:val="24"/>
          <w:szCs w:val="24"/>
        </w:rPr>
        <w:t>condition improved more that the non-coaching condition from pre- to posttreatment on a key measure of psychological inflexibility (AAQ-II)</w:t>
      </w:r>
      <w:r w:rsidR="00382048" w:rsidRPr="00EA56DD">
        <w:rPr>
          <w:rFonts w:ascii="Times New Roman" w:hAnsi="Times New Roman" w:cs="Times New Roman"/>
          <w:sz w:val="24"/>
          <w:szCs w:val="24"/>
        </w:rPr>
        <w:t>, but differences were no longer present at follow</w:t>
      </w:r>
      <w:r w:rsidR="0072239D" w:rsidRPr="00EA56DD">
        <w:rPr>
          <w:rFonts w:ascii="Times New Roman" w:hAnsi="Times New Roman" w:cs="Times New Roman"/>
          <w:sz w:val="24"/>
          <w:szCs w:val="24"/>
        </w:rPr>
        <w:t>-</w:t>
      </w:r>
      <w:r w:rsidR="00382048" w:rsidRPr="00EA56DD">
        <w:rPr>
          <w:rFonts w:ascii="Times New Roman" w:hAnsi="Times New Roman" w:cs="Times New Roman"/>
          <w:sz w:val="24"/>
          <w:szCs w:val="24"/>
        </w:rPr>
        <w:t xml:space="preserve">up. </w:t>
      </w:r>
      <w:r w:rsidR="00553102" w:rsidRPr="00EA56DD">
        <w:rPr>
          <w:rFonts w:ascii="Times New Roman" w:hAnsi="Times New Roman" w:cs="Times New Roman"/>
          <w:sz w:val="24"/>
          <w:szCs w:val="24"/>
        </w:rPr>
        <w:t xml:space="preserve">Results for coaching were largely equivalent between versions of the ACT websites, except for psychological inflexibility. </w:t>
      </w:r>
      <w:r w:rsidR="002F7748" w:rsidRPr="00EA56DD">
        <w:rPr>
          <w:rFonts w:ascii="Times New Roman" w:hAnsi="Times New Roman" w:cs="Times New Roman"/>
          <w:sz w:val="24"/>
          <w:szCs w:val="24"/>
        </w:rPr>
        <w:t xml:space="preserve">Overall, results </w:t>
      </w:r>
      <w:r w:rsidR="002D5D5E">
        <w:rPr>
          <w:rFonts w:ascii="Times New Roman" w:hAnsi="Times New Roman" w:cs="Times New Roman"/>
          <w:sz w:val="24"/>
          <w:szCs w:val="24"/>
        </w:rPr>
        <w:t>suggest that</w:t>
      </w:r>
      <w:r w:rsidR="002D5D5E" w:rsidRPr="00EA56DD">
        <w:rPr>
          <w:rFonts w:ascii="Times New Roman" w:hAnsi="Times New Roman" w:cs="Times New Roman"/>
          <w:sz w:val="24"/>
          <w:szCs w:val="24"/>
        </w:rPr>
        <w:t xml:space="preserve"> </w:t>
      </w:r>
      <w:r w:rsidR="002F7748" w:rsidRPr="00EA56DD">
        <w:rPr>
          <w:rFonts w:ascii="Times New Roman" w:hAnsi="Times New Roman" w:cs="Times New Roman"/>
          <w:sz w:val="24"/>
          <w:szCs w:val="24"/>
        </w:rPr>
        <w:t xml:space="preserve">online self-guided ACT with email prompts </w:t>
      </w:r>
      <w:r w:rsidR="002D5D5E">
        <w:rPr>
          <w:rFonts w:ascii="Times New Roman" w:hAnsi="Times New Roman" w:cs="Times New Roman"/>
          <w:sz w:val="24"/>
          <w:szCs w:val="24"/>
        </w:rPr>
        <w:t>is</w:t>
      </w:r>
      <w:r w:rsidR="002D5D5E" w:rsidRPr="00EA56DD">
        <w:rPr>
          <w:rFonts w:ascii="Times New Roman" w:hAnsi="Times New Roman" w:cs="Times New Roman"/>
          <w:sz w:val="24"/>
          <w:szCs w:val="24"/>
        </w:rPr>
        <w:t xml:space="preserve"> </w:t>
      </w:r>
      <w:r w:rsidR="002F7748" w:rsidRPr="00EA56DD">
        <w:rPr>
          <w:rFonts w:ascii="Times New Roman" w:hAnsi="Times New Roman" w:cs="Times New Roman"/>
          <w:sz w:val="24"/>
          <w:szCs w:val="24"/>
        </w:rPr>
        <w:t xml:space="preserve">sufficient for addressing college student mental health, with </w:t>
      </w:r>
      <w:r w:rsidR="00553102" w:rsidRPr="00EA56DD">
        <w:rPr>
          <w:rFonts w:ascii="Times New Roman" w:hAnsi="Times New Roman" w:cs="Times New Roman"/>
          <w:sz w:val="24"/>
          <w:szCs w:val="24"/>
        </w:rPr>
        <w:t xml:space="preserve">little additional benefits from phone coaching. </w:t>
      </w:r>
    </w:p>
    <w:p w14:paraId="5C62B37B" w14:textId="66E7B46F" w:rsidR="00A56C35" w:rsidRPr="00EA56DD" w:rsidRDefault="003545A6" w:rsidP="00A56C35">
      <w:pPr>
        <w:spacing w:line="480" w:lineRule="auto"/>
        <w:ind w:firstLine="720"/>
        <w:contextualSpacing/>
        <w:rPr>
          <w:rFonts w:ascii="Times New Roman" w:hAnsi="Times New Roman" w:cs="Times New Roman"/>
          <w:sz w:val="24"/>
          <w:szCs w:val="24"/>
        </w:rPr>
      </w:pPr>
      <w:r w:rsidRPr="00EA56DD">
        <w:rPr>
          <w:rFonts w:ascii="Times New Roman" w:hAnsi="Times New Roman" w:cs="Times New Roman"/>
          <w:sz w:val="24"/>
          <w:szCs w:val="24"/>
        </w:rPr>
        <w:lastRenderedPageBreak/>
        <w:t>This study adds to the growing literature evaluating methods to improve engagement and outcomes from online interventions. Early</w:t>
      </w:r>
      <w:r w:rsidR="00A56C35" w:rsidRPr="00EA56DD">
        <w:rPr>
          <w:rFonts w:ascii="Times New Roman" w:hAnsi="Times New Roman" w:cs="Times New Roman"/>
          <w:sz w:val="24"/>
          <w:szCs w:val="24"/>
        </w:rPr>
        <w:t xml:space="preserve"> meta-analyses</w:t>
      </w:r>
      <w:r w:rsidRPr="00EA56DD">
        <w:rPr>
          <w:rFonts w:ascii="Times New Roman" w:hAnsi="Times New Roman" w:cs="Times New Roman"/>
          <w:sz w:val="24"/>
          <w:szCs w:val="24"/>
        </w:rPr>
        <w:t xml:space="preserve"> </w:t>
      </w:r>
      <w:r w:rsidR="00A56C35" w:rsidRPr="00EA56DD">
        <w:rPr>
          <w:rFonts w:ascii="Times New Roman" w:hAnsi="Times New Roman" w:cs="Times New Roman"/>
          <w:sz w:val="24"/>
          <w:szCs w:val="24"/>
        </w:rPr>
        <w:t xml:space="preserve">clearly </w:t>
      </w:r>
      <w:r w:rsidRPr="00EA56DD">
        <w:rPr>
          <w:rFonts w:ascii="Times New Roman" w:hAnsi="Times New Roman" w:cs="Times New Roman"/>
          <w:sz w:val="24"/>
          <w:szCs w:val="24"/>
        </w:rPr>
        <w:t>suggested</w:t>
      </w:r>
      <w:r w:rsidR="00A56C35" w:rsidRPr="00EA56DD">
        <w:rPr>
          <w:rFonts w:ascii="Times New Roman" w:hAnsi="Times New Roman" w:cs="Times New Roman"/>
          <w:sz w:val="24"/>
          <w:szCs w:val="24"/>
        </w:rPr>
        <w:t xml:space="preserve"> that the addition of guided support </w:t>
      </w:r>
      <w:r w:rsidR="00870C02" w:rsidRPr="00EA56DD">
        <w:rPr>
          <w:rFonts w:ascii="Times New Roman" w:hAnsi="Times New Roman" w:cs="Times New Roman"/>
          <w:sz w:val="24"/>
          <w:szCs w:val="24"/>
        </w:rPr>
        <w:t xml:space="preserve">is </w:t>
      </w:r>
      <w:r w:rsidR="00A56C35" w:rsidRPr="00EA56DD">
        <w:rPr>
          <w:rFonts w:ascii="Times New Roman" w:hAnsi="Times New Roman" w:cs="Times New Roman"/>
          <w:sz w:val="24"/>
          <w:szCs w:val="24"/>
        </w:rPr>
        <w:t>necessary for online interventions, or at least substantially improve</w:t>
      </w:r>
      <w:r w:rsidR="00870C02" w:rsidRPr="00EA56DD">
        <w:rPr>
          <w:rFonts w:ascii="Times New Roman" w:hAnsi="Times New Roman" w:cs="Times New Roman"/>
          <w:sz w:val="24"/>
          <w:szCs w:val="24"/>
        </w:rPr>
        <w:t>s</w:t>
      </w:r>
      <w:r w:rsidR="00A56C35" w:rsidRPr="00EA56DD">
        <w:rPr>
          <w:rFonts w:ascii="Times New Roman" w:hAnsi="Times New Roman" w:cs="Times New Roman"/>
          <w:sz w:val="24"/>
          <w:szCs w:val="24"/>
        </w:rPr>
        <w:t xml:space="preserve"> outcomes (</w:t>
      </w:r>
      <w:r w:rsidR="00936714" w:rsidRPr="00EA56DD">
        <w:rPr>
          <w:rFonts w:ascii="Times New Roman" w:hAnsi="Times New Roman" w:cs="Times New Roman"/>
          <w:sz w:val="24"/>
          <w:szCs w:val="24"/>
        </w:rPr>
        <w:t xml:space="preserve">e.g., </w:t>
      </w:r>
      <w:r w:rsidR="00936714" w:rsidRPr="00EA56DD">
        <w:rPr>
          <w:rFonts w:ascii="Times New Roman" w:hAnsi="Times New Roman" w:cs="Times New Roman"/>
          <w:noProof/>
          <w:sz w:val="24"/>
          <w:szCs w:val="24"/>
        </w:rPr>
        <w:t xml:space="preserve">Richards &amp; Richardson, 2012; </w:t>
      </w:r>
      <w:proofErr w:type="spellStart"/>
      <w:r w:rsidR="00936714" w:rsidRPr="00EA56DD">
        <w:rPr>
          <w:rFonts w:ascii="Times New Roman" w:hAnsi="Times New Roman" w:cs="Times New Roman"/>
          <w:sz w:val="24"/>
          <w:szCs w:val="24"/>
        </w:rPr>
        <w:t>Spek</w:t>
      </w:r>
      <w:proofErr w:type="spellEnd"/>
      <w:r w:rsidR="00936714" w:rsidRPr="00EA56DD">
        <w:rPr>
          <w:rFonts w:ascii="Times New Roman" w:hAnsi="Times New Roman" w:cs="Times New Roman"/>
          <w:sz w:val="24"/>
          <w:szCs w:val="24"/>
        </w:rPr>
        <w:t xml:space="preserve"> et al., 2007</w:t>
      </w:r>
      <w:r w:rsidR="00A56C35" w:rsidRPr="00EA56DD">
        <w:rPr>
          <w:rFonts w:ascii="Times New Roman" w:hAnsi="Times New Roman" w:cs="Times New Roman"/>
          <w:sz w:val="24"/>
          <w:szCs w:val="24"/>
        </w:rPr>
        <w:t xml:space="preserve">). However, these guided support components add substantial resource costs and complexity for implementation, particularly with synchronous communication methods like phone coaching. </w:t>
      </w:r>
      <w:r w:rsidRPr="00EA56DD">
        <w:rPr>
          <w:rFonts w:ascii="Times New Roman" w:hAnsi="Times New Roman" w:cs="Times New Roman"/>
          <w:sz w:val="24"/>
          <w:szCs w:val="24"/>
        </w:rPr>
        <w:t>M</w:t>
      </w:r>
      <w:r w:rsidR="00A56C35" w:rsidRPr="00EA56DD">
        <w:rPr>
          <w:rFonts w:ascii="Times New Roman" w:hAnsi="Times New Roman" w:cs="Times New Roman"/>
          <w:sz w:val="24"/>
          <w:szCs w:val="24"/>
        </w:rPr>
        <w:t xml:space="preserve">ixed results have been found </w:t>
      </w:r>
      <w:r w:rsidRPr="00EA56DD">
        <w:rPr>
          <w:rFonts w:ascii="Times New Roman" w:hAnsi="Times New Roman" w:cs="Times New Roman"/>
          <w:sz w:val="24"/>
          <w:szCs w:val="24"/>
        </w:rPr>
        <w:t>when studies directly compare</w:t>
      </w:r>
      <w:r w:rsidR="00A56C35" w:rsidRPr="00EA56DD">
        <w:rPr>
          <w:rFonts w:ascii="Times New Roman" w:hAnsi="Times New Roman" w:cs="Times New Roman"/>
          <w:sz w:val="24"/>
          <w:szCs w:val="24"/>
        </w:rPr>
        <w:t xml:space="preserve"> online interventions with or without guided support</w:t>
      </w:r>
      <w:r w:rsidRPr="00EA56DD">
        <w:rPr>
          <w:rFonts w:ascii="Times New Roman" w:hAnsi="Times New Roman" w:cs="Times New Roman"/>
          <w:sz w:val="24"/>
          <w:szCs w:val="24"/>
        </w:rPr>
        <w:t xml:space="preserve"> (Shim et al., 2017)</w:t>
      </w:r>
      <w:r w:rsidR="00A56C35" w:rsidRPr="00EA56DD">
        <w:rPr>
          <w:rFonts w:ascii="Times New Roman" w:hAnsi="Times New Roman" w:cs="Times New Roman"/>
          <w:sz w:val="24"/>
          <w:szCs w:val="24"/>
        </w:rPr>
        <w:t>, indicating the need for evaluating the populations, settings, and treatments for which these resource-intensive methods are necessary to include.</w:t>
      </w:r>
    </w:p>
    <w:p w14:paraId="188B700D" w14:textId="404ED6E7" w:rsidR="003A41C4" w:rsidRPr="00EA56DD" w:rsidRDefault="00382048" w:rsidP="0081470D">
      <w:pPr>
        <w:spacing w:line="480" w:lineRule="auto"/>
        <w:contextualSpacing/>
        <w:rPr>
          <w:rFonts w:ascii="Times New Roman" w:hAnsi="Times New Roman" w:cs="Times New Roman"/>
          <w:sz w:val="24"/>
          <w:szCs w:val="24"/>
        </w:rPr>
      </w:pPr>
      <w:r w:rsidRPr="00EA56DD">
        <w:rPr>
          <w:rFonts w:ascii="Times New Roman" w:hAnsi="Times New Roman" w:cs="Times New Roman"/>
          <w:sz w:val="24"/>
          <w:szCs w:val="24"/>
        </w:rPr>
        <w:tab/>
      </w:r>
      <w:r w:rsidR="005D6689" w:rsidRPr="00EA56DD">
        <w:rPr>
          <w:rFonts w:ascii="Times New Roman" w:hAnsi="Times New Roman" w:cs="Times New Roman"/>
          <w:sz w:val="24"/>
          <w:szCs w:val="24"/>
        </w:rPr>
        <w:t xml:space="preserve">The </w:t>
      </w:r>
      <w:r w:rsidR="00553102" w:rsidRPr="00EA56DD">
        <w:rPr>
          <w:rFonts w:ascii="Times New Roman" w:hAnsi="Times New Roman" w:cs="Times New Roman"/>
          <w:sz w:val="24"/>
          <w:szCs w:val="24"/>
        </w:rPr>
        <w:t>largely null results from phone coaching in the current study might highlight potential factors that could help account for mixed results</w:t>
      </w:r>
      <w:r w:rsidR="008318DB" w:rsidRPr="00EA56DD">
        <w:rPr>
          <w:rFonts w:ascii="Times New Roman" w:hAnsi="Times New Roman" w:cs="Times New Roman"/>
          <w:sz w:val="24"/>
          <w:szCs w:val="24"/>
        </w:rPr>
        <w:t xml:space="preserve"> </w:t>
      </w:r>
      <w:r w:rsidR="00553102" w:rsidRPr="00EA56DD">
        <w:rPr>
          <w:rFonts w:ascii="Times New Roman" w:hAnsi="Times New Roman" w:cs="Times New Roman"/>
          <w:sz w:val="24"/>
          <w:szCs w:val="24"/>
        </w:rPr>
        <w:t>(Shim et al., 2017)</w:t>
      </w:r>
      <w:r w:rsidR="00497EBF" w:rsidRPr="00EA56DD">
        <w:rPr>
          <w:rFonts w:ascii="Times New Roman" w:hAnsi="Times New Roman" w:cs="Times New Roman"/>
          <w:sz w:val="24"/>
          <w:szCs w:val="24"/>
        </w:rPr>
        <w:t>.</w:t>
      </w:r>
      <w:r w:rsidR="00553102" w:rsidRPr="00EA56DD">
        <w:rPr>
          <w:rFonts w:ascii="Times New Roman" w:hAnsi="Times New Roman" w:cs="Times New Roman"/>
          <w:sz w:val="24"/>
          <w:szCs w:val="24"/>
        </w:rPr>
        <w:t xml:space="preserve"> </w:t>
      </w:r>
      <w:r w:rsidR="003A41C4" w:rsidRPr="00EA56DD">
        <w:rPr>
          <w:rFonts w:ascii="Times New Roman" w:hAnsi="Times New Roman" w:cs="Times New Roman"/>
          <w:sz w:val="24"/>
          <w:szCs w:val="24"/>
        </w:rPr>
        <w:t xml:space="preserve">There are a variety of factors that may influence when guided support is needed, and similarly a variety of factors that may account for the limited benefits of phone coaching in this specific study. </w:t>
      </w:r>
      <w:r w:rsidR="00553102" w:rsidRPr="00EA56DD">
        <w:rPr>
          <w:rFonts w:ascii="Times New Roman" w:hAnsi="Times New Roman" w:cs="Times New Roman"/>
          <w:sz w:val="24"/>
          <w:szCs w:val="24"/>
        </w:rPr>
        <w:t xml:space="preserve">One key characteristic was the use of ACT. </w:t>
      </w:r>
      <w:r w:rsidR="003A41C4" w:rsidRPr="00EA56DD">
        <w:rPr>
          <w:rFonts w:ascii="Times New Roman" w:hAnsi="Times New Roman" w:cs="Times New Roman"/>
          <w:sz w:val="24"/>
          <w:szCs w:val="24"/>
        </w:rPr>
        <w:t>It could be that ACT requires less guided support due to factors such as the heavy emphasis on experiential exercises, which may be more engaging to users than psychoeducational content, or values work, which may increase intrinsic motivation to engage in the program. For example, previous studies have found guided support elements with online ACT do not improve outcomes (</w:t>
      </w:r>
      <w:proofErr w:type="spellStart"/>
      <w:r w:rsidR="003A41C4" w:rsidRPr="00EA56DD">
        <w:rPr>
          <w:rFonts w:ascii="Times New Roman" w:hAnsi="Times New Roman" w:cs="Times New Roman"/>
          <w:sz w:val="24"/>
          <w:szCs w:val="24"/>
        </w:rPr>
        <w:t>Fledderus</w:t>
      </w:r>
      <w:proofErr w:type="spellEnd"/>
      <w:r w:rsidR="003A41C4" w:rsidRPr="00EA56DD">
        <w:rPr>
          <w:rFonts w:ascii="Times New Roman" w:hAnsi="Times New Roman" w:cs="Times New Roman"/>
          <w:sz w:val="24"/>
          <w:szCs w:val="24"/>
        </w:rPr>
        <w:t xml:space="preserve"> et al., 2012; Ivanova et al., 2016), and that ACT methods can increase treatment seeking (e.g., </w:t>
      </w:r>
      <w:proofErr w:type="spellStart"/>
      <w:r w:rsidR="003A41C4" w:rsidRPr="00EA56DD">
        <w:rPr>
          <w:rFonts w:ascii="Times New Roman" w:hAnsi="Times New Roman" w:cs="Times New Roman"/>
          <w:sz w:val="24"/>
          <w:szCs w:val="24"/>
        </w:rPr>
        <w:t>Lannin</w:t>
      </w:r>
      <w:proofErr w:type="spellEnd"/>
      <w:r w:rsidR="003A41C4" w:rsidRPr="00EA56DD">
        <w:rPr>
          <w:rFonts w:ascii="Times New Roman" w:hAnsi="Times New Roman" w:cs="Times New Roman"/>
          <w:sz w:val="24"/>
          <w:szCs w:val="24"/>
        </w:rPr>
        <w:t xml:space="preserve">, Vogel &amp; Heath, 2017) and treatment adherence (e.g., Luoma, </w:t>
      </w:r>
      <w:proofErr w:type="spellStart"/>
      <w:r w:rsidR="003A41C4" w:rsidRPr="00EA56DD">
        <w:rPr>
          <w:rFonts w:ascii="Times New Roman" w:hAnsi="Times New Roman" w:cs="Times New Roman"/>
          <w:sz w:val="24"/>
          <w:szCs w:val="24"/>
        </w:rPr>
        <w:t>Kohlenberg</w:t>
      </w:r>
      <w:proofErr w:type="spellEnd"/>
      <w:r w:rsidR="003A41C4" w:rsidRPr="00EA56DD">
        <w:rPr>
          <w:rFonts w:ascii="Times New Roman" w:hAnsi="Times New Roman" w:cs="Times New Roman"/>
          <w:sz w:val="24"/>
          <w:szCs w:val="24"/>
        </w:rPr>
        <w:t>, Hayes &amp; Fletcher, 2012). Research has also suggested that more advanced and engaging program features may reduce the need for guided support (e.g., Ivanova et al., 2016), and it may be that the heavy interactive and tailored focus of the online ACT program reduced the need for phone coaching to maintain engagement. However,</w:t>
      </w:r>
      <w:r w:rsidR="002E1FC4" w:rsidRPr="00EA56DD">
        <w:rPr>
          <w:rFonts w:ascii="Times New Roman" w:hAnsi="Times New Roman" w:cs="Times New Roman"/>
          <w:sz w:val="24"/>
          <w:szCs w:val="24"/>
        </w:rPr>
        <w:t xml:space="preserve"> </w:t>
      </w:r>
      <w:r w:rsidR="008318DB" w:rsidRPr="00EA56DD">
        <w:rPr>
          <w:rFonts w:ascii="Times New Roman" w:hAnsi="Times New Roman" w:cs="Times New Roman"/>
          <w:sz w:val="24"/>
          <w:szCs w:val="24"/>
        </w:rPr>
        <w:lastRenderedPageBreak/>
        <w:t xml:space="preserve">adherence rates </w:t>
      </w:r>
      <w:r w:rsidR="003A41C4" w:rsidRPr="00EA56DD">
        <w:rPr>
          <w:rFonts w:ascii="Times New Roman" w:hAnsi="Times New Roman" w:cs="Times New Roman"/>
          <w:sz w:val="24"/>
          <w:szCs w:val="24"/>
        </w:rPr>
        <w:t>in the current study were relatively modest (approximately 70% of sessions completed on average) and mirrored those found in other online ACT studies (average of 76% sessions completed; Thompson et al., in press),</w:t>
      </w:r>
      <w:r w:rsidR="008318DB" w:rsidRPr="00EA56DD">
        <w:rPr>
          <w:rFonts w:ascii="Times New Roman" w:hAnsi="Times New Roman" w:cs="Times New Roman"/>
          <w:sz w:val="24"/>
          <w:szCs w:val="24"/>
        </w:rPr>
        <w:t xml:space="preserve"> suggesting this explanation is unlikely. </w:t>
      </w:r>
    </w:p>
    <w:p w14:paraId="6AC93527" w14:textId="6B773244" w:rsidR="003A41C4" w:rsidRPr="00EA56DD" w:rsidRDefault="008318DB" w:rsidP="003A41C4">
      <w:pPr>
        <w:spacing w:line="480" w:lineRule="auto"/>
        <w:ind w:firstLine="720"/>
        <w:contextualSpacing/>
        <w:rPr>
          <w:rFonts w:ascii="Times New Roman" w:hAnsi="Times New Roman" w:cs="Times New Roman"/>
          <w:sz w:val="24"/>
          <w:szCs w:val="24"/>
        </w:rPr>
      </w:pPr>
      <w:r w:rsidRPr="00EA56DD">
        <w:rPr>
          <w:rFonts w:ascii="Times New Roman" w:hAnsi="Times New Roman" w:cs="Times New Roman"/>
          <w:sz w:val="24"/>
          <w:szCs w:val="24"/>
        </w:rPr>
        <w:t>Another key characteristic was the</w:t>
      </w:r>
      <w:r w:rsidR="003A41C4" w:rsidRPr="00EA56DD">
        <w:rPr>
          <w:rFonts w:ascii="Times New Roman" w:hAnsi="Times New Roman" w:cs="Times New Roman"/>
          <w:sz w:val="24"/>
          <w:szCs w:val="24"/>
        </w:rPr>
        <w:t xml:space="preserve"> broad </w:t>
      </w:r>
      <w:r w:rsidRPr="00EA56DD">
        <w:rPr>
          <w:rFonts w:ascii="Times New Roman" w:hAnsi="Times New Roman" w:cs="Times New Roman"/>
          <w:sz w:val="24"/>
          <w:szCs w:val="24"/>
        </w:rPr>
        <w:t>college student sample</w:t>
      </w:r>
      <w:r w:rsidR="003A41C4" w:rsidRPr="00EA56DD">
        <w:rPr>
          <w:rFonts w:ascii="Times New Roman" w:hAnsi="Times New Roman" w:cs="Times New Roman"/>
          <w:sz w:val="24"/>
          <w:szCs w:val="24"/>
        </w:rPr>
        <w:t xml:space="preserve">. </w:t>
      </w:r>
      <w:r w:rsidR="00D42F85">
        <w:rPr>
          <w:rFonts w:ascii="Times New Roman" w:hAnsi="Times New Roman" w:cs="Times New Roman"/>
          <w:sz w:val="24"/>
          <w:szCs w:val="24"/>
        </w:rPr>
        <w:t>I</w:t>
      </w:r>
      <w:r w:rsidR="003A41C4" w:rsidRPr="00EA56DD">
        <w:rPr>
          <w:rFonts w:ascii="Times New Roman" w:hAnsi="Times New Roman" w:cs="Times New Roman"/>
          <w:sz w:val="24"/>
          <w:szCs w:val="24"/>
        </w:rPr>
        <w:t>t may be that university students require less personal contact to remain engaged in online interventions. However</w:t>
      </w:r>
      <w:r w:rsidR="002E1FC4" w:rsidRPr="00EA56DD">
        <w:rPr>
          <w:rFonts w:ascii="Times New Roman" w:hAnsi="Times New Roman" w:cs="Times New Roman"/>
          <w:sz w:val="24"/>
          <w:szCs w:val="24"/>
        </w:rPr>
        <w:t xml:space="preserve">, </w:t>
      </w:r>
      <w:r w:rsidR="00D42F85">
        <w:rPr>
          <w:rFonts w:ascii="Times New Roman" w:hAnsi="Times New Roman" w:cs="Times New Roman"/>
          <w:sz w:val="24"/>
          <w:szCs w:val="24"/>
        </w:rPr>
        <w:t xml:space="preserve">some </w:t>
      </w:r>
      <w:r w:rsidRPr="00EA56DD">
        <w:rPr>
          <w:rFonts w:ascii="Times New Roman" w:hAnsi="Times New Roman" w:cs="Times New Roman"/>
          <w:sz w:val="24"/>
          <w:szCs w:val="24"/>
        </w:rPr>
        <w:t xml:space="preserve">previous studies have found greater effects for online interventions </w:t>
      </w:r>
      <w:r w:rsidR="002E1FC4" w:rsidRPr="00EA56DD">
        <w:rPr>
          <w:rFonts w:ascii="Times New Roman" w:hAnsi="Times New Roman" w:cs="Times New Roman"/>
          <w:sz w:val="24"/>
          <w:szCs w:val="24"/>
        </w:rPr>
        <w:t>when adding</w:t>
      </w:r>
      <w:r w:rsidRPr="00EA56DD">
        <w:rPr>
          <w:rFonts w:ascii="Times New Roman" w:hAnsi="Times New Roman" w:cs="Times New Roman"/>
          <w:sz w:val="24"/>
          <w:szCs w:val="24"/>
        </w:rPr>
        <w:t xml:space="preserve"> personalized contact </w:t>
      </w:r>
      <w:r w:rsidR="003A41C4" w:rsidRPr="00EA56DD">
        <w:rPr>
          <w:rFonts w:ascii="Times New Roman" w:hAnsi="Times New Roman" w:cs="Times New Roman"/>
          <w:sz w:val="24"/>
          <w:szCs w:val="24"/>
        </w:rPr>
        <w:t xml:space="preserve">with college students </w:t>
      </w:r>
      <w:r w:rsidRPr="00EA56DD">
        <w:rPr>
          <w:rFonts w:ascii="Times New Roman" w:hAnsi="Times New Roman" w:cs="Times New Roman"/>
          <w:sz w:val="24"/>
          <w:szCs w:val="24"/>
        </w:rPr>
        <w:t xml:space="preserve">(e.g., </w:t>
      </w:r>
      <w:proofErr w:type="spellStart"/>
      <w:r w:rsidRPr="00EA56DD">
        <w:rPr>
          <w:rFonts w:ascii="Times New Roman" w:hAnsi="Times New Roman" w:cs="Times New Roman"/>
          <w:sz w:val="24"/>
          <w:szCs w:val="24"/>
        </w:rPr>
        <w:t>Kass</w:t>
      </w:r>
      <w:proofErr w:type="spellEnd"/>
      <w:r w:rsidRPr="00EA56DD">
        <w:rPr>
          <w:rFonts w:ascii="Times New Roman" w:hAnsi="Times New Roman" w:cs="Times New Roman"/>
          <w:sz w:val="24"/>
          <w:szCs w:val="24"/>
        </w:rPr>
        <w:t xml:space="preserve"> et al., 2014)</w:t>
      </w:r>
      <w:r w:rsidR="002E1FC4" w:rsidRPr="00EA56DD">
        <w:rPr>
          <w:rFonts w:ascii="Times New Roman" w:hAnsi="Times New Roman" w:cs="Times New Roman"/>
          <w:sz w:val="24"/>
          <w:szCs w:val="24"/>
        </w:rPr>
        <w:t>.</w:t>
      </w:r>
      <w:r w:rsidR="003A41C4" w:rsidRPr="00EA56DD">
        <w:rPr>
          <w:rFonts w:ascii="Times New Roman" w:hAnsi="Times New Roman" w:cs="Times New Roman"/>
          <w:sz w:val="24"/>
          <w:szCs w:val="24"/>
        </w:rPr>
        <w:t xml:space="preserve"> </w:t>
      </w:r>
      <w:r w:rsidR="002E1FC4" w:rsidRPr="00EA56DD">
        <w:rPr>
          <w:rFonts w:ascii="Times New Roman" w:hAnsi="Times New Roman" w:cs="Times New Roman"/>
          <w:sz w:val="24"/>
          <w:szCs w:val="24"/>
        </w:rPr>
        <w:t xml:space="preserve">It may </w:t>
      </w:r>
      <w:r w:rsidR="003A41C4" w:rsidRPr="00EA56DD">
        <w:rPr>
          <w:rFonts w:ascii="Times New Roman" w:hAnsi="Times New Roman" w:cs="Times New Roman"/>
          <w:sz w:val="24"/>
          <w:szCs w:val="24"/>
        </w:rPr>
        <w:t xml:space="preserve">also </w:t>
      </w:r>
      <w:r w:rsidR="002E1FC4" w:rsidRPr="00EA56DD">
        <w:rPr>
          <w:rFonts w:ascii="Times New Roman" w:hAnsi="Times New Roman" w:cs="Times New Roman"/>
          <w:sz w:val="24"/>
          <w:szCs w:val="24"/>
        </w:rPr>
        <w:t>be that the phone format is less relevant to college students. For example, when college students were given a choice, 83% chose guided self-help through email rather than phone (</w:t>
      </w:r>
      <w:proofErr w:type="spellStart"/>
      <w:r w:rsidR="002E1FC4" w:rsidRPr="005B4989">
        <w:rPr>
          <w:rFonts w:ascii="Times New Roman" w:hAnsi="Times New Roman" w:cs="Times New Roman"/>
          <w:sz w:val="24"/>
          <w:szCs w:val="24"/>
          <w:shd w:val="clear" w:color="auto" w:fill="FFFFFF"/>
        </w:rPr>
        <w:t>Wojtowicz</w:t>
      </w:r>
      <w:proofErr w:type="spellEnd"/>
      <w:r w:rsidR="002E1FC4" w:rsidRPr="005B4989">
        <w:rPr>
          <w:rFonts w:ascii="Times New Roman" w:hAnsi="Times New Roman" w:cs="Times New Roman"/>
          <w:sz w:val="24"/>
          <w:szCs w:val="24"/>
          <w:shd w:val="clear" w:color="auto" w:fill="FFFFFF"/>
        </w:rPr>
        <w:t>, Day &amp; McGrath, 2013). However, those who chose the phone</w:t>
      </w:r>
      <w:r w:rsidR="00D42F85">
        <w:rPr>
          <w:rFonts w:ascii="Times New Roman" w:hAnsi="Times New Roman" w:cs="Times New Roman"/>
          <w:sz w:val="24"/>
          <w:szCs w:val="24"/>
          <w:shd w:val="clear" w:color="auto" w:fill="FFFFFF"/>
        </w:rPr>
        <w:t xml:space="preserve"> format</w:t>
      </w:r>
      <w:r w:rsidR="002E1FC4" w:rsidRPr="005B4989">
        <w:rPr>
          <w:rFonts w:ascii="Times New Roman" w:hAnsi="Times New Roman" w:cs="Times New Roman"/>
          <w:sz w:val="24"/>
          <w:szCs w:val="24"/>
          <w:shd w:val="clear" w:color="auto" w:fill="FFFFFF"/>
        </w:rPr>
        <w:t xml:space="preserve"> engaged more in the online intervention, </w:t>
      </w:r>
      <w:r w:rsidR="00D42F85">
        <w:rPr>
          <w:rFonts w:ascii="Times New Roman" w:hAnsi="Times New Roman" w:cs="Times New Roman"/>
          <w:sz w:val="24"/>
          <w:szCs w:val="24"/>
          <w:shd w:val="clear" w:color="auto" w:fill="FFFFFF"/>
        </w:rPr>
        <w:t>making the pros and cons of phone coaching with students unclear</w:t>
      </w:r>
      <w:r w:rsidR="002E1FC4" w:rsidRPr="005B4989">
        <w:rPr>
          <w:rFonts w:ascii="Times New Roman" w:hAnsi="Times New Roman" w:cs="Times New Roman"/>
          <w:sz w:val="24"/>
          <w:szCs w:val="24"/>
          <w:shd w:val="clear" w:color="auto" w:fill="FFFFFF"/>
        </w:rPr>
        <w:t>.</w:t>
      </w:r>
      <w:r w:rsidR="0081470D" w:rsidRPr="005B4989">
        <w:rPr>
          <w:rFonts w:ascii="Times New Roman" w:hAnsi="Times New Roman" w:cs="Times New Roman"/>
          <w:sz w:val="24"/>
          <w:szCs w:val="24"/>
          <w:shd w:val="clear" w:color="auto" w:fill="FFFFFF"/>
        </w:rPr>
        <w:t xml:space="preserve"> </w:t>
      </w:r>
      <w:bookmarkStart w:id="0" w:name="_Hlk46602782"/>
      <w:r w:rsidR="00D24C73" w:rsidRPr="00EA56DD">
        <w:rPr>
          <w:rFonts w:ascii="Times New Roman" w:hAnsi="Times New Roman" w:cs="Times New Roman"/>
          <w:sz w:val="24"/>
          <w:szCs w:val="24"/>
        </w:rPr>
        <w:t xml:space="preserve">Although the study required meeting a clinical cutoff on at least one dimension of mental health symptoms based on the CCAPS, it may also be that this sample had more mild to moderate symptoms, which reviews have suggested may require less guided support (Newman et al., 2011). Consistent with this, a previous ACT trial found no benefit from added coaching with subthreshold depression (e.g., </w:t>
      </w:r>
      <w:proofErr w:type="spellStart"/>
      <w:r w:rsidR="00D24C73" w:rsidRPr="00EA56DD">
        <w:rPr>
          <w:rFonts w:ascii="Times New Roman" w:hAnsi="Times New Roman" w:cs="Times New Roman"/>
          <w:sz w:val="24"/>
          <w:szCs w:val="24"/>
        </w:rPr>
        <w:t>Fledderus</w:t>
      </w:r>
      <w:proofErr w:type="spellEnd"/>
      <w:r w:rsidR="00D24C73" w:rsidRPr="00EA56DD">
        <w:rPr>
          <w:rFonts w:ascii="Times New Roman" w:hAnsi="Times New Roman" w:cs="Times New Roman"/>
          <w:sz w:val="24"/>
          <w:szCs w:val="24"/>
        </w:rPr>
        <w:t xml:space="preserve"> et al., 2012).</w:t>
      </w:r>
    </w:p>
    <w:p w14:paraId="56B3345E" w14:textId="29F1F97E" w:rsidR="0081470D" w:rsidRPr="005B4989" w:rsidRDefault="0081470D" w:rsidP="005B4989">
      <w:pPr>
        <w:spacing w:line="480" w:lineRule="auto"/>
        <w:ind w:firstLine="720"/>
        <w:contextualSpacing/>
        <w:rPr>
          <w:rFonts w:ascii="Times New Roman" w:hAnsi="Times New Roman" w:cs="Times New Roman"/>
          <w:color w:val="5B9BD5" w:themeColor="accent1"/>
          <w:sz w:val="24"/>
          <w:szCs w:val="24"/>
        </w:rPr>
      </w:pPr>
      <w:r w:rsidRPr="00EA56DD">
        <w:rPr>
          <w:rFonts w:ascii="Times New Roman" w:hAnsi="Times New Roman" w:cs="Times New Roman"/>
          <w:sz w:val="24"/>
          <w:szCs w:val="24"/>
        </w:rPr>
        <w:t>Of not</w:t>
      </w:r>
      <w:r w:rsidR="00D24C73" w:rsidRPr="00EA56DD">
        <w:rPr>
          <w:rFonts w:ascii="Times New Roman" w:hAnsi="Times New Roman" w:cs="Times New Roman"/>
          <w:sz w:val="24"/>
          <w:szCs w:val="24"/>
        </w:rPr>
        <w:t>e</w:t>
      </w:r>
      <w:r w:rsidRPr="00EA56DD">
        <w:rPr>
          <w:rFonts w:ascii="Times New Roman" w:hAnsi="Times New Roman" w:cs="Times New Roman"/>
          <w:sz w:val="24"/>
          <w:szCs w:val="24"/>
        </w:rPr>
        <w:t xml:space="preserve">, a variety of other potential factors </w:t>
      </w:r>
      <w:r w:rsidR="00484E33" w:rsidRPr="00EA56DD">
        <w:rPr>
          <w:rFonts w:ascii="Times New Roman" w:hAnsi="Times New Roman" w:cs="Times New Roman"/>
          <w:sz w:val="24"/>
          <w:szCs w:val="24"/>
        </w:rPr>
        <w:t xml:space="preserve">relevant to this and other studies, </w:t>
      </w:r>
      <w:r w:rsidRPr="00EA56DD">
        <w:rPr>
          <w:rFonts w:ascii="Times New Roman" w:hAnsi="Times New Roman" w:cs="Times New Roman"/>
          <w:sz w:val="24"/>
          <w:szCs w:val="24"/>
        </w:rPr>
        <w:t>including level of expertise, human versus automated support, delivery mode, and intensity of support</w:t>
      </w:r>
      <w:r w:rsidR="00484E33" w:rsidRPr="00EA56DD">
        <w:rPr>
          <w:rFonts w:ascii="Times New Roman" w:hAnsi="Times New Roman" w:cs="Times New Roman"/>
          <w:sz w:val="24"/>
          <w:szCs w:val="24"/>
        </w:rPr>
        <w:t>,</w:t>
      </w:r>
      <w:r w:rsidRPr="00EA56DD">
        <w:rPr>
          <w:rFonts w:ascii="Times New Roman" w:hAnsi="Times New Roman" w:cs="Times New Roman"/>
          <w:sz w:val="24"/>
          <w:szCs w:val="24"/>
        </w:rPr>
        <w:t xml:space="preserve"> do not seem to consistently predict differences in the efficacy of coaching based on the limited studies that have tested these factors directly (Shim et al., 2017). Thus, although the unique features of this study might ultimately support identification of predictors for coaching effectiveness, there are no obvious explanations based on the existing literature.</w:t>
      </w:r>
      <w:r w:rsidR="00484E33" w:rsidRPr="00EA56DD">
        <w:rPr>
          <w:rFonts w:ascii="Times New Roman" w:hAnsi="Times New Roman" w:cs="Times New Roman"/>
          <w:sz w:val="24"/>
          <w:szCs w:val="24"/>
        </w:rPr>
        <w:t xml:space="preserve"> Future research is needed to </w:t>
      </w:r>
      <w:proofErr w:type="gramStart"/>
      <w:r w:rsidR="00484E33" w:rsidRPr="00EA56DD">
        <w:rPr>
          <w:rFonts w:ascii="Times New Roman" w:hAnsi="Times New Roman" w:cs="Times New Roman"/>
          <w:sz w:val="24"/>
          <w:szCs w:val="24"/>
        </w:rPr>
        <w:t>more systematically evaluate</w:t>
      </w:r>
      <w:proofErr w:type="gramEnd"/>
      <w:r w:rsidR="00484E33" w:rsidRPr="00EA56DD">
        <w:rPr>
          <w:rFonts w:ascii="Times New Roman" w:hAnsi="Times New Roman" w:cs="Times New Roman"/>
          <w:sz w:val="24"/>
          <w:szCs w:val="24"/>
        </w:rPr>
        <w:t xml:space="preserve"> who, when, and in what format coaching can augment online interventions for college student mental health. </w:t>
      </w:r>
      <w:r w:rsidR="00197174" w:rsidRPr="00EA56DD">
        <w:rPr>
          <w:rFonts w:ascii="Times New Roman" w:hAnsi="Times New Roman" w:cs="Times New Roman"/>
          <w:sz w:val="24"/>
          <w:szCs w:val="24"/>
        </w:rPr>
        <w:t xml:space="preserve">Many of the current coaching approaches </w:t>
      </w:r>
      <w:r w:rsidR="00197174" w:rsidRPr="00EA56DD">
        <w:rPr>
          <w:rFonts w:ascii="Times New Roman" w:hAnsi="Times New Roman" w:cs="Times New Roman"/>
          <w:sz w:val="24"/>
          <w:szCs w:val="24"/>
        </w:rPr>
        <w:lastRenderedPageBreak/>
        <w:t xml:space="preserve">are </w:t>
      </w:r>
      <w:proofErr w:type="gramStart"/>
      <w:r w:rsidR="00197174" w:rsidRPr="00EA56DD">
        <w:rPr>
          <w:rFonts w:ascii="Times New Roman" w:hAnsi="Times New Roman" w:cs="Times New Roman"/>
          <w:sz w:val="24"/>
          <w:szCs w:val="24"/>
        </w:rPr>
        <w:t>fairly general</w:t>
      </w:r>
      <w:proofErr w:type="gramEnd"/>
      <w:r w:rsidR="00197174" w:rsidRPr="00EA56DD">
        <w:rPr>
          <w:rFonts w:ascii="Times New Roman" w:hAnsi="Times New Roman" w:cs="Times New Roman"/>
          <w:sz w:val="24"/>
          <w:szCs w:val="24"/>
        </w:rPr>
        <w:t xml:space="preserve"> and do not tailor to individual participants and contexts. Such a “one size fits all” approach is unlikely to be maximally effective and may contribute to the weak and inconsistent results from coaching</w:t>
      </w:r>
      <w:r w:rsidR="00197174">
        <w:rPr>
          <w:rFonts w:ascii="Times New Roman" w:hAnsi="Times New Roman" w:cs="Times New Roman"/>
          <w:sz w:val="24"/>
          <w:szCs w:val="24"/>
        </w:rPr>
        <w:t>.</w:t>
      </w:r>
      <w:r w:rsidR="00197174" w:rsidRPr="00EA56DD">
        <w:rPr>
          <w:rFonts w:ascii="Times New Roman" w:hAnsi="Times New Roman" w:cs="Times New Roman"/>
          <w:sz w:val="24"/>
          <w:szCs w:val="24"/>
        </w:rPr>
        <w:t xml:space="preserve"> </w:t>
      </w:r>
      <w:r w:rsidR="00197174" w:rsidRPr="00EA56DD">
        <w:rPr>
          <w:rFonts w:ascii="Times New Roman" w:hAnsi="Times New Roman" w:cs="Times New Roman"/>
          <w:color w:val="5B9BD5" w:themeColor="accent1"/>
          <w:sz w:val="24"/>
          <w:szCs w:val="24"/>
        </w:rPr>
        <w:t xml:space="preserve"> </w:t>
      </w:r>
      <w:r w:rsidR="00197174">
        <w:rPr>
          <w:rFonts w:ascii="Times New Roman" w:hAnsi="Times New Roman" w:cs="Times New Roman"/>
          <w:sz w:val="24"/>
          <w:szCs w:val="24"/>
        </w:rPr>
        <w:t xml:space="preserve">Trials </w:t>
      </w:r>
      <w:r w:rsidR="00484E33" w:rsidRPr="00EA56DD">
        <w:rPr>
          <w:rFonts w:ascii="Times New Roman" w:hAnsi="Times New Roman" w:cs="Times New Roman"/>
          <w:sz w:val="24"/>
          <w:szCs w:val="24"/>
        </w:rPr>
        <w:t>with large</w:t>
      </w:r>
      <w:r w:rsidR="00197174">
        <w:rPr>
          <w:rFonts w:ascii="Times New Roman" w:hAnsi="Times New Roman" w:cs="Times New Roman"/>
          <w:sz w:val="24"/>
          <w:szCs w:val="24"/>
        </w:rPr>
        <w:t>r</w:t>
      </w:r>
      <w:r w:rsidR="00484E33" w:rsidRPr="00EA56DD">
        <w:rPr>
          <w:rFonts w:ascii="Times New Roman" w:hAnsi="Times New Roman" w:cs="Times New Roman"/>
          <w:sz w:val="24"/>
          <w:szCs w:val="24"/>
        </w:rPr>
        <w:t xml:space="preserve"> samples could examine predictors and moderators of coaching effectiveness to </w:t>
      </w:r>
      <w:r w:rsidR="00197174">
        <w:rPr>
          <w:rFonts w:ascii="Times New Roman" w:hAnsi="Times New Roman" w:cs="Times New Roman"/>
          <w:sz w:val="24"/>
          <w:szCs w:val="24"/>
        </w:rPr>
        <w:t xml:space="preserve">further </w:t>
      </w:r>
      <w:r w:rsidR="00484E33" w:rsidRPr="00EA56DD">
        <w:rPr>
          <w:rFonts w:ascii="Times New Roman" w:hAnsi="Times New Roman" w:cs="Times New Roman"/>
          <w:sz w:val="24"/>
          <w:szCs w:val="24"/>
        </w:rPr>
        <w:t xml:space="preserve">guide such efforts. </w:t>
      </w:r>
      <w:bookmarkEnd w:id="0"/>
    </w:p>
    <w:p w14:paraId="54C48F1A" w14:textId="1DB0E2BF" w:rsidR="004468FD" w:rsidRDefault="00197174" w:rsidP="0081470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may also be</w:t>
      </w:r>
      <w:r w:rsidR="008C4D1C" w:rsidRPr="00EA56DD">
        <w:rPr>
          <w:rFonts w:ascii="Times New Roman" w:hAnsi="Times New Roman" w:cs="Times New Roman"/>
          <w:sz w:val="24"/>
          <w:szCs w:val="24"/>
        </w:rPr>
        <w:t xml:space="preserve"> that the phone coaching provided in this study specifically was less effective. </w:t>
      </w:r>
      <w:r w:rsidR="009C50E4">
        <w:rPr>
          <w:rFonts w:ascii="Times New Roman" w:hAnsi="Times New Roman" w:cs="Times New Roman"/>
          <w:sz w:val="24"/>
          <w:szCs w:val="24"/>
        </w:rPr>
        <w:t>This p</w:t>
      </w:r>
      <w:r w:rsidR="008C4D1C" w:rsidRPr="00EA56DD">
        <w:rPr>
          <w:rFonts w:ascii="Times New Roman" w:hAnsi="Times New Roman" w:cs="Times New Roman"/>
          <w:sz w:val="24"/>
          <w:szCs w:val="24"/>
        </w:rPr>
        <w:t xml:space="preserve">hone coaching </w:t>
      </w:r>
      <w:r w:rsidR="009C50E4">
        <w:rPr>
          <w:rFonts w:ascii="Times New Roman" w:hAnsi="Times New Roman" w:cs="Times New Roman"/>
          <w:sz w:val="24"/>
          <w:szCs w:val="24"/>
        </w:rPr>
        <w:t xml:space="preserve">protocol </w:t>
      </w:r>
      <w:r w:rsidR="008C4D1C" w:rsidRPr="00EA56DD">
        <w:rPr>
          <w:rFonts w:ascii="Times New Roman" w:hAnsi="Times New Roman" w:cs="Times New Roman"/>
          <w:sz w:val="24"/>
          <w:szCs w:val="24"/>
        </w:rPr>
        <w:t>was based on a well-established protocol (</w:t>
      </w:r>
      <w:proofErr w:type="spellStart"/>
      <w:r w:rsidR="008C4D1C" w:rsidRPr="00EA56DD">
        <w:rPr>
          <w:rFonts w:ascii="Times New Roman" w:hAnsi="Times New Roman" w:cs="Times New Roman"/>
          <w:bCs/>
          <w:noProof/>
          <w:sz w:val="24"/>
          <w:szCs w:val="24"/>
        </w:rPr>
        <w:t>Duffecy</w:t>
      </w:r>
      <w:proofErr w:type="spellEnd"/>
      <w:r w:rsidR="008C4D1C" w:rsidRPr="00EA56DD">
        <w:rPr>
          <w:rFonts w:ascii="Times New Roman" w:hAnsi="Times New Roman" w:cs="Times New Roman"/>
          <w:bCs/>
          <w:noProof/>
          <w:sz w:val="24"/>
          <w:szCs w:val="24"/>
        </w:rPr>
        <w:t xml:space="preserve"> et al., 2011</w:t>
      </w:r>
      <w:r w:rsidR="008C4D1C" w:rsidRPr="00EA56DD">
        <w:rPr>
          <w:rFonts w:ascii="Times New Roman" w:hAnsi="Times New Roman" w:cs="Times New Roman"/>
          <w:sz w:val="24"/>
          <w:szCs w:val="24"/>
        </w:rPr>
        <w:t>) and underlying supportive accountability model (Mohr et al., 2011)</w:t>
      </w:r>
      <w:r w:rsidR="00C70A1E">
        <w:rPr>
          <w:rFonts w:ascii="Times New Roman" w:hAnsi="Times New Roman" w:cs="Times New Roman"/>
          <w:sz w:val="24"/>
          <w:szCs w:val="24"/>
        </w:rPr>
        <w:t>. W</w:t>
      </w:r>
      <w:r w:rsidR="008C4D1C" w:rsidRPr="00EA56DD">
        <w:rPr>
          <w:rFonts w:ascii="Times New Roman" w:hAnsi="Times New Roman" w:cs="Times New Roman"/>
          <w:sz w:val="24"/>
          <w:szCs w:val="24"/>
        </w:rPr>
        <w:t xml:space="preserve">e </w:t>
      </w:r>
      <w:r w:rsidR="009C50E4">
        <w:rPr>
          <w:rFonts w:ascii="Times New Roman" w:hAnsi="Times New Roman" w:cs="Times New Roman"/>
          <w:sz w:val="24"/>
          <w:szCs w:val="24"/>
        </w:rPr>
        <w:t xml:space="preserve">have </w:t>
      </w:r>
      <w:r w:rsidR="008C4D1C" w:rsidRPr="00EA56DD">
        <w:rPr>
          <w:rFonts w:ascii="Times New Roman" w:hAnsi="Times New Roman" w:cs="Times New Roman"/>
          <w:sz w:val="24"/>
          <w:szCs w:val="24"/>
        </w:rPr>
        <w:t>found</w:t>
      </w:r>
      <w:r w:rsidR="00C70A1E">
        <w:rPr>
          <w:rFonts w:ascii="Times New Roman" w:hAnsi="Times New Roman" w:cs="Times New Roman"/>
          <w:sz w:val="24"/>
          <w:szCs w:val="24"/>
        </w:rPr>
        <w:t xml:space="preserve"> this phone coaching protocol</w:t>
      </w:r>
      <w:r w:rsidR="008C4D1C" w:rsidRPr="00EA56DD">
        <w:rPr>
          <w:rFonts w:ascii="Times New Roman" w:hAnsi="Times New Roman" w:cs="Times New Roman"/>
          <w:sz w:val="24"/>
          <w:szCs w:val="24"/>
        </w:rPr>
        <w:t xml:space="preserve"> </w:t>
      </w:r>
      <w:r w:rsidR="009C50E4">
        <w:rPr>
          <w:rFonts w:ascii="Times New Roman" w:hAnsi="Times New Roman" w:cs="Times New Roman"/>
          <w:sz w:val="24"/>
          <w:szCs w:val="24"/>
        </w:rPr>
        <w:t xml:space="preserve">effective in multiple RCTs with </w:t>
      </w:r>
      <w:r w:rsidR="00C70A1E">
        <w:rPr>
          <w:rFonts w:ascii="Times New Roman" w:hAnsi="Times New Roman" w:cs="Times New Roman"/>
          <w:sz w:val="24"/>
          <w:szCs w:val="24"/>
        </w:rPr>
        <w:t xml:space="preserve">overweight/obese adults when combined with self-guided ACT interventions </w:t>
      </w:r>
      <w:r w:rsidR="008C4D1C" w:rsidRPr="00EA56DD">
        <w:rPr>
          <w:rFonts w:ascii="Times New Roman" w:hAnsi="Times New Roman" w:cs="Times New Roman"/>
          <w:sz w:val="24"/>
          <w:szCs w:val="24"/>
        </w:rPr>
        <w:t>(</w:t>
      </w:r>
      <w:r w:rsidR="008C4D1C" w:rsidRPr="00EA56DD">
        <w:rPr>
          <w:rFonts w:ascii="Times New Roman" w:hAnsi="Times New Roman" w:cs="Times New Roman"/>
          <w:i/>
          <w:sz w:val="24"/>
          <w:szCs w:val="24"/>
        </w:rPr>
        <w:t>citation removed</w:t>
      </w:r>
      <w:r w:rsidR="008C4D1C" w:rsidRPr="00EA56DD">
        <w:rPr>
          <w:rFonts w:ascii="Times New Roman" w:hAnsi="Times New Roman" w:cs="Times New Roman"/>
          <w:sz w:val="24"/>
          <w:szCs w:val="24"/>
        </w:rPr>
        <w:t>).</w:t>
      </w:r>
      <w:r w:rsidR="000E4AA4" w:rsidRPr="00EA56DD">
        <w:rPr>
          <w:rFonts w:ascii="Times New Roman" w:hAnsi="Times New Roman" w:cs="Times New Roman"/>
          <w:sz w:val="24"/>
          <w:szCs w:val="24"/>
        </w:rPr>
        <w:t xml:space="preserve"> </w:t>
      </w:r>
      <w:r w:rsidR="00C70A1E">
        <w:rPr>
          <w:rFonts w:ascii="Times New Roman" w:hAnsi="Times New Roman" w:cs="Times New Roman"/>
          <w:sz w:val="24"/>
          <w:szCs w:val="24"/>
        </w:rPr>
        <w:t xml:space="preserve">For example, a </w:t>
      </w:r>
      <w:r w:rsidR="009C50E4">
        <w:rPr>
          <w:rFonts w:ascii="Times New Roman" w:hAnsi="Times New Roman" w:cs="Times New Roman"/>
          <w:sz w:val="24"/>
          <w:szCs w:val="24"/>
        </w:rPr>
        <w:t>RCT compared online ACT with this phone coaching protocol relative to a waitlist condition in a sample of 79 overweight adults, with improvements in dietary behaviors from ACT plus coaching relative to waitlist</w:t>
      </w:r>
      <w:r w:rsidR="002E70B5">
        <w:rPr>
          <w:rFonts w:ascii="Times New Roman" w:hAnsi="Times New Roman" w:cs="Times New Roman"/>
          <w:sz w:val="24"/>
          <w:szCs w:val="24"/>
        </w:rPr>
        <w:t xml:space="preserve"> </w:t>
      </w:r>
      <w:r w:rsidR="009C50E4" w:rsidRPr="00EA56DD">
        <w:rPr>
          <w:rFonts w:ascii="Times New Roman" w:hAnsi="Times New Roman" w:cs="Times New Roman"/>
          <w:sz w:val="24"/>
          <w:szCs w:val="24"/>
        </w:rPr>
        <w:t>(</w:t>
      </w:r>
      <w:r w:rsidR="009C50E4" w:rsidRPr="00EA56DD">
        <w:rPr>
          <w:rFonts w:ascii="Times New Roman" w:hAnsi="Times New Roman" w:cs="Times New Roman"/>
          <w:i/>
          <w:sz w:val="24"/>
          <w:szCs w:val="24"/>
        </w:rPr>
        <w:t>citation removed</w:t>
      </w:r>
      <w:r w:rsidR="009C50E4" w:rsidRPr="00EA56DD">
        <w:rPr>
          <w:rFonts w:ascii="Times New Roman" w:hAnsi="Times New Roman" w:cs="Times New Roman"/>
          <w:sz w:val="24"/>
          <w:szCs w:val="24"/>
        </w:rPr>
        <w:t xml:space="preserve">). </w:t>
      </w:r>
      <w:r w:rsidR="009C50E4">
        <w:rPr>
          <w:rFonts w:ascii="Times New Roman" w:hAnsi="Times New Roman" w:cs="Times New Roman"/>
          <w:sz w:val="24"/>
          <w:szCs w:val="24"/>
        </w:rPr>
        <w:t xml:space="preserve"> Of note, p</w:t>
      </w:r>
      <w:r w:rsidR="009C50E4" w:rsidRPr="00EA56DD">
        <w:rPr>
          <w:rFonts w:ascii="Times New Roman" w:hAnsi="Times New Roman" w:cs="Times New Roman"/>
          <w:sz w:val="24"/>
          <w:szCs w:val="24"/>
        </w:rPr>
        <w:t xml:space="preserve">articipants reported being satisfied with phone coaching in this study, although they also reported that </w:t>
      </w:r>
      <w:r w:rsidR="009C50E4">
        <w:rPr>
          <w:rFonts w:ascii="Times New Roman" w:hAnsi="Times New Roman" w:cs="Times New Roman"/>
          <w:sz w:val="24"/>
          <w:szCs w:val="24"/>
        </w:rPr>
        <w:t>the website would have been just as helpful without phone coaching</w:t>
      </w:r>
      <w:r w:rsidR="009C50E4" w:rsidRPr="00EA56DD">
        <w:rPr>
          <w:rFonts w:ascii="Times New Roman" w:hAnsi="Times New Roman" w:cs="Times New Roman"/>
          <w:sz w:val="24"/>
          <w:szCs w:val="24"/>
        </w:rPr>
        <w:t xml:space="preserve">. </w:t>
      </w:r>
      <w:r w:rsidR="009C50E4">
        <w:rPr>
          <w:rFonts w:ascii="Times New Roman" w:hAnsi="Times New Roman" w:cs="Times New Roman"/>
          <w:sz w:val="24"/>
          <w:szCs w:val="24"/>
        </w:rPr>
        <w:t xml:space="preserve">Another </w:t>
      </w:r>
      <w:r w:rsidR="00C70A1E">
        <w:rPr>
          <w:rFonts w:ascii="Times New Roman" w:hAnsi="Times New Roman" w:cs="Times New Roman"/>
          <w:sz w:val="24"/>
          <w:szCs w:val="24"/>
        </w:rPr>
        <w:t xml:space="preserve">RCT compared an ACT self-help book with this phone coaching protocol, </w:t>
      </w:r>
      <w:r w:rsidR="002E70B5">
        <w:rPr>
          <w:rFonts w:ascii="Times New Roman" w:hAnsi="Times New Roman" w:cs="Times New Roman"/>
          <w:sz w:val="24"/>
          <w:szCs w:val="24"/>
        </w:rPr>
        <w:t xml:space="preserve">ACT </w:t>
      </w:r>
      <w:r w:rsidR="00C70A1E">
        <w:rPr>
          <w:rFonts w:ascii="Times New Roman" w:hAnsi="Times New Roman" w:cs="Times New Roman"/>
          <w:sz w:val="24"/>
          <w:szCs w:val="24"/>
        </w:rPr>
        <w:t>without phone coaching, and a waitlist condition</w:t>
      </w:r>
      <w:r w:rsidR="009C50E4">
        <w:rPr>
          <w:rFonts w:ascii="Times New Roman" w:hAnsi="Times New Roman" w:cs="Times New Roman"/>
          <w:sz w:val="24"/>
          <w:szCs w:val="24"/>
        </w:rPr>
        <w:t xml:space="preserve"> in a sample of 55 adults high in weight self-stigma </w:t>
      </w:r>
      <w:r w:rsidR="009C50E4" w:rsidRPr="00EA56DD">
        <w:rPr>
          <w:rFonts w:ascii="Times New Roman" w:hAnsi="Times New Roman" w:cs="Times New Roman"/>
          <w:sz w:val="24"/>
          <w:szCs w:val="24"/>
        </w:rPr>
        <w:t>(</w:t>
      </w:r>
      <w:r w:rsidR="009C50E4" w:rsidRPr="00EA56DD">
        <w:rPr>
          <w:rFonts w:ascii="Times New Roman" w:hAnsi="Times New Roman" w:cs="Times New Roman"/>
          <w:i/>
          <w:sz w:val="24"/>
          <w:szCs w:val="24"/>
        </w:rPr>
        <w:t>citation removed</w:t>
      </w:r>
      <w:r w:rsidR="009C50E4" w:rsidRPr="00EA56DD">
        <w:rPr>
          <w:rFonts w:ascii="Times New Roman" w:hAnsi="Times New Roman" w:cs="Times New Roman"/>
          <w:sz w:val="24"/>
          <w:szCs w:val="24"/>
        </w:rPr>
        <w:t>)</w:t>
      </w:r>
      <w:r w:rsidR="009C50E4">
        <w:rPr>
          <w:rFonts w:ascii="Times New Roman" w:hAnsi="Times New Roman" w:cs="Times New Roman"/>
          <w:sz w:val="24"/>
          <w:szCs w:val="24"/>
        </w:rPr>
        <w:t>.</w:t>
      </w:r>
      <w:r w:rsidR="00C70A1E">
        <w:rPr>
          <w:rFonts w:ascii="Times New Roman" w:hAnsi="Times New Roman" w:cs="Times New Roman"/>
          <w:sz w:val="24"/>
          <w:szCs w:val="24"/>
        </w:rPr>
        <w:t xml:space="preserve"> </w:t>
      </w:r>
      <w:r w:rsidR="00BA6441">
        <w:rPr>
          <w:rFonts w:ascii="Times New Roman" w:hAnsi="Times New Roman" w:cs="Times New Roman"/>
          <w:sz w:val="24"/>
          <w:szCs w:val="24"/>
        </w:rPr>
        <w:t xml:space="preserve">In this study, ACT with or without phone coaching largely performed similarly, although in a few cases stronger effects were found when phone coaching was added. </w:t>
      </w:r>
      <w:r w:rsidR="009C50E4">
        <w:rPr>
          <w:rFonts w:ascii="Times New Roman" w:hAnsi="Times New Roman" w:cs="Times New Roman"/>
          <w:sz w:val="24"/>
          <w:szCs w:val="24"/>
        </w:rPr>
        <w:t xml:space="preserve">Thus, there is promising support for this phone coaching protocol, but also some mixed findings, in line with the current study results. </w:t>
      </w:r>
    </w:p>
    <w:p w14:paraId="7B1DCE2F" w14:textId="1010511C" w:rsidR="001865DB" w:rsidRPr="00EA56DD" w:rsidRDefault="004468FD" w:rsidP="0081470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Other research </w:t>
      </w:r>
      <w:r w:rsidR="002E70B5">
        <w:rPr>
          <w:rFonts w:ascii="Times New Roman" w:hAnsi="Times New Roman" w:cs="Times New Roman"/>
          <w:sz w:val="24"/>
          <w:szCs w:val="24"/>
        </w:rPr>
        <w:t>has evaluated</w:t>
      </w:r>
      <w:r>
        <w:rPr>
          <w:rFonts w:ascii="Times New Roman" w:hAnsi="Times New Roman" w:cs="Times New Roman"/>
          <w:sz w:val="24"/>
          <w:szCs w:val="24"/>
        </w:rPr>
        <w:t xml:space="preserve"> protocol</w:t>
      </w:r>
      <w:r w:rsidR="002E70B5">
        <w:rPr>
          <w:rFonts w:ascii="Times New Roman" w:hAnsi="Times New Roman" w:cs="Times New Roman"/>
          <w:sz w:val="24"/>
          <w:szCs w:val="24"/>
        </w:rPr>
        <w:t>s</w:t>
      </w:r>
      <w:r>
        <w:rPr>
          <w:rFonts w:ascii="Times New Roman" w:hAnsi="Times New Roman" w:cs="Times New Roman"/>
          <w:sz w:val="24"/>
          <w:szCs w:val="24"/>
        </w:rPr>
        <w:t xml:space="preserve"> </w:t>
      </w:r>
      <w:r w:rsidR="002E70B5">
        <w:rPr>
          <w:rFonts w:ascii="Times New Roman" w:hAnsi="Times New Roman" w:cs="Times New Roman"/>
          <w:sz w:val="24"/>
          <w:szCs w:val="24"/>
        </w:rPr>
        <w:t xml:space="preserve">that more actively integrate ACT into coaching </w:t>
      </w:r>
      <w:r>
        <w:rPr>
          <w:rFonts w:ascii="Times New Roman" w:hAnsi="Times New Roman" w:cs="Times New Roman"/>
          <w:sz w:val="24"/>
          <w:szCs w:val="24"/>
        </w:rPr>
        <w:t>(</w:t>
      </w:r>
      <w:proofErr w:type="spellStart"/>
      <w:r w:rsidR="00D972C2" w:rsidRPr="00EA56DD">
        <w:rPr>
          <w:rFonts w:ascii="Times New Roman" w:hAnsi="Times New Roman" w:cs="Times New Roman"/>
          <w:sz w:val="24"/>
          <w:szCs w:val="24"/>
        </w:rPr>
        <w:t>Fledderus</w:t>
      </w:r>
      <w:proofErr w:type="spellEnd"/>
      <w:r w:rsidR="00D972C2" w:rsidRPr="00EA56DD">
        <w:rPr>
          <w:rFonts w:ascii="Times New Roman" w:hAnsi="Times New Roman" w:cs="Times New Roman"/>
          <w:sz w:val="24"/>
          <w:szCs w:val="24"/>
        </w:rPr>
        <w:t xml:space="preserve"> et al., 2012; Ivanova et al., 2016</w:t>
      </w:r>
      <w:r w:rsidR="00D972C2">
        <w:rPr>
          <w:rFonts w:ascii="Times New Roman" w:hAnsi="Times New Roman" w:cs="Times New Roman"/>
          <w:sz w:val="24"/>
          <w:szCs w:val="24"/>
        </w:rPr>
        <w:t xml:space="preserve">; </w:t>
      </w:r>
      <w:proofErr w:type="spellStart"/>
      <w:r w:rsidR="00D972C2" w:rsidRPr="008C4B82">
        <w:rPr>
          <w:rFonts w:ascii="Times New Roman" w:hAnsi="Times New Roman" w:cs="Times New Roman"/>
          <w:sz w:val="24"/>
          <w:szCs w:val="24"/>
        </w:rPr>
        <w:t>Räsänen</w:t>
      </w:r>
      <w:proofErr w:type="spellEnd"/>
      <w:r w:rsidR="00D972C2" w:rsidRPr="008C4B82">
        <w:rPr>
          <w:rFonts w:ascii="Times New Roman" w:hAnsi="Times New Roman" w:cs="Times New Roman"/>
          <w:sz w:val="24"/>
          <w:szCs w:val="24"/>
        </w:rPr>
        <w:t xml:space="preserve"> et al., 2016</w:t>
      </w:r>
      <w:r>
        <w:rPr>
          <w:rFonts w:ascii="Times New Roman" w:hAnsi="Times New Roman" w:cs="Times New Roman"/>
          <w:sz w:val="24"/>
          <w:szCs w:val="24"/>
        </w:rPr>
        <w:t xml:space="preserve">). For example, an alternate coaching protocol </w:t>
      </w:r>
      <w:r w:rsidR="002E70B5">
        <w:rPr>
          <w:rFonts w:ascii="Times New Roman" w:hAnsi="Times New Roman" w:cs="Times New Roman"/>
          <w:sz w:val="24"/>
          <w:szCs w:val="24"/>
        </w:rPr>
        <w:t>has coaches</w:t>
      </w:r>
      <w:r>
        <w:rPr>
          <w:rFonts w:ascii="Times New Roman" w:hAnsi="Times New Roman" w:cs="Times New Roman"/>
          <w:sz w:val="24"/>
          <w:szCs w:val="24"/>
        </w:rPr>
        <w:t xml:space="preserve"> develop case conceptualization</w:t>
      </w:r>
      <w:r w:rsidR="002E70B5">
        <w:rPr>
          <w:rFonts w:ascii="Times New Roman" w:hAnsi="Times New Roman" w:cs="Times New Roman"/>
          <w:sz w:val="24"/>
          <w:szCs w:val="24"/>
        </w:rPr>
        <w:t>s</w:t>
      </w:r>
      <w:r>
        <w:rPr>
          <w:rFonts w:ascii="Times New Roman" w:hAnsi="Times New Roman" w:cs="Times New Roman"/>
          <w:sz w:val="24"/>
          <w:szCs w:val="24"/>
        </w:rPr>
        <w:t xml:space="preserve"> with participants that inform tailored suggestions for using </w:t>
      </w:r>
      <w:r w:rsidR="002E70B5">
        <w:rPr>
          <w:rFonts w:ascii="Times New Roman" w:hAnsi="Times New Roman" w:cs="Times New Roman"/>
          <w:sz w:val="24"/>
          <w:szCs w:val="24"/>
        </w:rPr>
        <w:t xml:space="preserve">ACT </w:t>
      </w:r>
      <w:r>
        <w:rPr>
          <w:rFonts w:ascii="Times New Roman" w:hAnsi="Times New Roman" w:cs="Times New Roman"/>
          <w:sz w:val="24"/>
          <w:szCs w:val="24"/>
        </w:rPr>
        <w:t>and provid</w:t>
      </w:r>
      <w:r w:rsidR="002E70B5">
        <w:rPr>
          <w:rFonts w:ascii="Times New Roman" w:hAnsi="Times New Roman" w:cs="Times New Roman"/>
          <w:sz w:val="24"/>
          <w:szCs w:val="24"/>
        </w:rPr>
        <w:t>e</w:t>
      </w:r>
      <w:r>
        <w:rPr>
          <w:rFonts w:ascii="Times New Roman" w:hAnsi="Times New Roman" w:cs="Times New Roman"/>
          <w:sz w:val="24"/>
          <w:szCs w:val="24"/>
        </w:rPr>
        <w:t xml:space="preserve"> weekly feedback based on ACT principles </w:t>
      </w:r>
      <w:r>
        <w:rPr>
          <w:rFonts w:ascii="Times New Roman" w:hAnsi="Times New Roman" w:cs="Times New Roman"/>
          <w:sz w:val="24"/>
          <w:szCs w:val="24"/>
        </w:rPr>
        <w:lastRenderedPageBreak/>
        <w:t>(</w:t>
      </w:r>
      <w:proofErr w:type="spellStart"/>
      <w:r w:rsidR="00D972C2" w:rsidRPr="00847350">
        <w:rPr>
          <w:rFonts w:ascii="Times New Roman" w:hAnsi="Times New Roman" w:cs="Times New Roman"/>
          <w:sz w:val="24"/>
          <w:szCs w:val="24"/>
        </w:rPr>
        <w:t>Räsänen</w:t>
      </w:r>
      <w:proofErr w:type="spellEnd"/>
      <w:r w:rsidR="00D972C2" w:rsidRPr="00847350">
        <w:rPr>
          <w:rFonts w:ascii="Times New Roman" w:hAnsi="Times New Roman" w:cs="Times New Roman"/>
          <w:sz w:val="24"/>
          <w:szCs w:val="24"/>
        </w:rPr>
        <w:t xml:space="preserve"> et al., 2016</w:t>
      </w:r>
      <w:r>
        <w:rPr>
          <w:rFonts w:ascii="Times New Roman" w:hAnsi="Times New Roman" w:cs="Times New Roman"/>
          <w:sz w:val="24"/>
          <w:szCs w:val="24"/>
        </w:rPr>
        <w:t xml:space="preserve">). Although the </w:t>
      </w:r>
      <w:r w:rsidR="002E70B5">
        <w:rPr>
          <w:rFonts w:ascii="Times New Roman" w:hAnsi="Times New Roman" w:cs="Times New Roman"/>
          <w:sz w:val="24"/>
          <w:szCs w:val="24"/>
        </w:rPr>
        <w:t>isolated</w:t>
      </w:r>
      <w:r>
        <w:rPr>
          <w:rFonts w:ascii="Times New Roman" w:hAnsi="Times New Roman" w:cs="Times New Roman"/>
          <w:sz w:val="24"/>
          <w:szCs w:val="24"/>
        </w:rPr>
        <w:t xml:space="preserve"> effects of this coaching protocol have not been evaluated, </w:t>
      </w:r>
      <w:r w:rsidR="002E70B5">
        <w:rPr>
          <w:rFonts w:ascii="Times New Roman" w:hAnsi="Times New Roman" w:cs="Times New Roman"/>
          <w:sz w:val="24"/>
          <w:szCs w:val="24"/>
        </w:rPr>
        <w:t>combining this</w:t>
      </w:r>
      <w:r>
        <w:rPr>
          <w:rFonts w:ascii="Times New Roman" w:hAnsi="Times New Roman" w:cs="Times New Roman"/>
          <w:sz w:val="24"/>
          <w:szCs w:val="24"/>
        </w:rPr>
        <w:t xml:space="preserve"> coaching with online ACT </w:t>
      </w:r>
      <w:r w:rsidR="002E70B5">
        <w:rPr>
          <w:rFonts w:ascii="Times New Roman" w:hAnsi="Times New Roman" w:cs="Times New Roman"/>
          <w:sz w:val="24"/>
          <w:szCs w:val="24"/>
        </w:rPr>
        <w:t xml:space="preserve">for college student mental health </w:t>
      </w:r>
      <w:r>
        <w:rPr>
          <w:rFonts w:ascii="Times New Roman" w:hAnsi="Times New Roman" w:cs="Times New Roman"/>
          <w:sz w:val="24"/>
          <w:szCs w:val="24"/>
        </w:rPr>
        <w:t>has been found efficacious (</w:t>
      </w:r>
      <w:proofErr w:type="spellStart"/>
      <w:r w:rsidR="00D972C2" w:rsidRPr="00847350">
        <w:rPr>
          <w:rFonts w:ascii="Times New Roman" w:hAnsi="Times New Roman" w:cs="Times New Roman"/>
          <w:sz w:val="24"/>
          <w:szCs w:val="24"/>
        </w:rPr>
        <w:t>Räsänen</w:t>
      </w:r>
      <w:proofErr w:type="spellEnd"/>
      <w:r w:rsidR="00D972C2" w:rsidRPr="00847350">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00D972C2">
        <w:rPr>
          <w:rFonts w:ascii="Times New Roman" w:hAnsi="Times New Roman" w:cs="Times New Roman"/>
          <w:sz w:val="24"/>
          <w:szCs w:val="24"/>
        </w:rPr>
        <w:t>Two other studies have tested the additive effects of coaching protocols that integrate ACT, although less intensively. These studies have found that a coaching condition</w:t>
      </w:r>
      <w:r w:rsidR="002E70B5">
        <w:rPr>
          <w:rFonts w:ascii="Times New Roman" w:hAnsi="Times New Roman" w:cs="Times New Roman"/>
          <w:sz w:val="24"/>
          <w:szCs w:val="24"/>
        </w:rPr>
        <w:t>,</w:t>
      </w:r>
      <w:r w:rsidR="00D972C2">
        <w:rPr>
          <w:rFonts w:ascii="Times New Roman" w:hAnsi="Times New Roman" w:cs="Times New Roman"/>
          <w:sz w:val="24"/>
          <w:szCs w:val="24"/>
        </w:rPr>
        <w:t xml:space="preserve"> which included discussing experiences practicing ACT strategies, how to apply ACT strategies, and answering questions about ACT</w:t>
      </w:r>
      <w:r w:rsidR="002E70B5">
        <w:rPr>
          <w:rFonts w:ascii="Times New Roman" w:hAnsi="Times New Roman" w:cs="Times New Roman"/>
          <w:sz w:val="24"/>
          <w:szCs w:val="24"/>
        </w:rPr>
        <w:t>,</w:t>
      </w:r>
      <w:r w:rsidR="00D972C2">
        <w:rPr>
          <w:rFonts w:ascii="Times New Roman" w:hAnsi="Times New Roman" w:cs="Times New Roman"/>
          <w:sz w:val="24"/>
          <w:szCs w:val="24"/>
        </w:rPr>
        <w:t xml:space="preserve"> did not </w:t>
      </w:r>
      <w:r w:rsidR="002E70B5">
        <w:rPr>
          <w:rFonts w:ascii="Times New Roman" w:hAnsi="Times New Roman" w:cs="Times New Roman"/>
          <w:sz w:val="24"/>
          <w:szCs w:val="24"/>
        </w:rPr>
        <w:t>improve outcomes</w:t>
      </w:r>
      <w:r w:rsidR="00D972C2">
        <w:rPr>
          <w:rFonts w:ascii="Times New Roman" w:hAnsi="Times New Roman" w:cs="Times New Roman"/>
          <w:sz w:val="24"/>
          <w:szCs w:val="24"/>
        </w:rPr>
        <w:t xml:space="preserve"> relative to a more self-guided intervention (</w:t>
      </w:r>
      <w:proofErr w:type="spellStart"/>
      <w:r w:rsidR="00D972C2" w:rsidRPr="00EA56DD">
        <w:rPr>
          <w:rFonts w:ascii="Times New Roman" w:hAnsi="Times New Roman" w:cs="Times New Roman"/>
          <w:sz w:val="24"/>
          <w:szCs w:val="24"/>
        </w:rPr>
        <w:t>Fledderus</w:t>
      </w:r>
      <w:proofErr w:type="spellEnd"/>
      <w:r w:rsidR="00D972C2" w:rsidRPr="00EA56DD">
        <w:rPr>
          <w:rFonts w:ascii="Times New Roman" w:hAnsi="Times New Roman" w:cs="Times New Roman"/>
          <w:sz w:val="24"/>
          <w:szCs w:val="24"/>
        </w:rPr>
        <w:t xml:space="preserve"> et al., 2012; Ivanova et al., 2016</w:t>
      </w:r>
      <w:r w:rsidR="00D972C2">
        <w:rPr>
          <w:rFonts w:ascii="Times New Roman" w:hAnsi="Times New Roman" w:cs="Times New Roman"/>
          <w:sz w:val="24"/>
          <w:szCs w:val="24"/>
        </w:rPr>
        <w:t xml:space="preserve">). </w:t>
      </w:r>
      <w:r w:rsidR="002E70B5">
        <w:rPr>
          <w:rFonts w:ascii="Times New Roman" w:hAnsi="Times New Roman" w:cs="Times New Roman"/>
          <w:sz w:val="24"/>
          <w:szCs w:val="24"/>
        </w:rPr>
        <w:t>That said, we are not aware of any studies testing coaching protocols that explicitly apply ACT to target adherence. Future research might continue to adapt and directly test coaching protocols that integrate ACT strategies to target adherence</w:t>
      </w:r>
      <w:r w:rsidR="000E4AA4" w:rsidRPr="00EA56DD">
        <w:rPr>
          <w:rFonts w:ascii="Times New Roman" w:hAnsi="Times New Roman" w:cs="Times New Roman"/>
          <w:sz w:val="24"/>
          <w:szCs w:val="24"/>
        </w:rPr>
        <w:t xml:space="preserve"> (e.g., values work to increase motivation, targeting cognitive affective barriers with acceptance and </w:t>
      </w:r>
      <w:proofErr w:type="spellStart"/>
      <w:r w:rsidR="000E4AA4" w:rsidRPr="00EA56DD">
        <w:rPr>
          <w:rFonts w:ascii="Times New Roman" w:hAnsi="Times New Roman" w:cs="Times New Roman"/>
          <w:sz w:val="24"/>
          <w:szCs w:val="24"/>
        </w:rPr>
        <w:t>defusion</w:t>
      </w:r>
      <w:proofErr w:type="spellEnd"/>
      <w:r w:rsidR="00197174">
        <w:rPr>
          <w:rFonts w:ascii="Times New Roman" w:hAnsi="Times New Roman" w:cs="Times New Roman"/>
          <w:sz w:val="24"/>
          <w:szCs w:val="24"/>
        </w:rPr>
        <w:t>)</w:t>
      </w:r>
      <w:r w:rsidR="002E70B5">
        <w:rPr>
          <w:rFonts w:ascii="Times New Roman" w:hAnsi="Times New Roman" w:cs="Times New Roman"/>
          <w:sz w:val="24"/>
          <w:szCs w:val="24"/>
        </w:rPr>
        <w:t>.</w:t>
      </w:r>
    </w:p>
    <w:p w14:paraId="1D6F3E92" w14:textId="3FA7017F" w:rsidR="00D24C73" w:rsidRPr="00EA56DD" w:rsidRDefault="00D24C73" w:rsidP="005B4989">
      <w:pPr>
        <w:spacing w:line="480" w:lineRule="auto"/>
        <w:ind w:firstLine="720"/>
        <w:contextualSpacing/>
        <w:rPr>
          <w:rFonts w:ascii="Times New Roman" w:hAnsi="Times New Roman" w:cs="Times New Roman"/>
          <w:sz w:val="24"/>
          <w:szCs w:val="24"/>
        </w:rPr>
      </w:pPr>
      <w:r w:rsidRPr="00EA56DD">
        <w:rPr>
          <w:rFonts w:ascii="Times New Roman" w:hAnsi="Times New Roman" w:cs="Times New Roman"/>
          <w:sz w:val="24"/>
          <w:szCs w:val="24"/>
        </w:rPr>
        <w:t xml:space="preserve">Adherence to coaching was </w:t>
      </w:r>
      <w:proofErr w:type="gramStart"/>
      <w:r w:rsidRPr="00EA56DD">
        <w:rPr>
          <w:rFonts w:ascii="Times New Roman" w:hAnsi="Times New Roman" w:cs="Times New Roman"/>
          <w:sz w:val="24"/>
          <w:szCs w:val="24"/>
        </w:rPr>
        <w:t>fairly modest</w:t>
      </w:r>
      <w:proofErr w:type="gramEnd"/>
      <w:r w:rsidRPr="00EA56DD">
        <w:rPr>
          <w:rFonts w:ascii="Times New Roman" w:hAnsi="Times New Roman" w:cs="Times New Roman"/>
          <w:sz w:val="24"/>
          <w:szCs w:val="24"/>
        </w:rPr>
        <w:t>, which might also have limited effects.</w:t>
      </w:r>
      <w:r w:rsidR="00197174">
        <w:rPr>
          <w:rFonts w:ascii="Times New Roman" w:hAnsi="Times New Roman" w:cs="Times New Roman"/>
          <w:sz w:val="24"/>
          <w:szCs w:val="24"/>
        </w:rPr>
        <w:t xml:space="preserve"> </w:t>
      </w:r>
      <w:r w:rsidRPr="00EA56DD">
        <w:rPr>
          <w:rFonts w:ascii="Times New Roman" w:hAnsi="Times New Roman" w:cs="Times New Roman"/>
          <w:sz w:val="24"/>
          <w:szCs w:val="24"/>
        </w:rPr>
        <w:t xml:space="preserve">Previous research indicates that a greater degree of coaching contact predicts greater outcomes (e.g., </w:t>
      </w:r>
      <w:proofErr w:type="spellStart"/>
      <w:r w:rsidRPr="00EA56DD">
        <w:rPr>
          <w:rFonts w:ascii="Times New Roman" w:hAnsi="Times New Roman" w:cs="Times New Roman"/>
          <w:sz w:val="24"/>
          <w:szCs w:val="24"/>
        </w:rPr>
        <w:t>Dryman</w:t>
      </w:r>
      <w:proofErr w:type="spellEnd"/>
      <w:r w:rsidRPr="00EA56DD">
        <w:rPr>
          <w:rFonts w:ascii="Times New Roman" w:hAnsi="Times New Roman" w:cs="Times New Roman"/>
          <w:sz w:val="24"/>
          <w:szCs w:val="24"/>
        </w:rPr>
        <w:t xml:space="preserve">, McTeague, </w:t>
      </w:r>
      <w:proofErr w:type="spellStart"/>
      <w:r w:rsidRPr="00EA56DD">
        <w:rPr>
          <w:rFonts w:ascii="Times New Roman" w:hAnsi="Times New Roman" w:cs="Times New Roman"/>
          <w:sz w:val="24"/>
          <w:szCs w:val="24"/>
        </w:rPr>
        <w:t>Olino</w:t>
      </w:r>
      <w:proofErr w:type="spellEnd"/>
      <w:r w:rsidRPr="00EA56DD">
        <w:rPr>
          <w:rFonts w:ascii="Times New Roman" w:hAnsi="Times New Roman" w:cs="Times New Roman"/>
          <w:sz w:val="24"/>
          <w:szCs w:val="24"/>
        </w:rPr>
        <w:t xml:space="preserve"> &amp; Heimberg, 2017). Similarly, we found number of calls correlated with number of sessions completed</w:t>
      </w:r>
      <w:r w:rsidR="00B21A95">
        <w:rPr>
          <w:rFonts w:ascii="Times New Roman" w:hAnsi="Times New Roman" w:cs="Times New Roman"/>
          <w:sz w:val="24"/>
          <w:szCs w:val="24"/>
        </w:rPr>
        <w:t xml:space="preserve"> and improvements in</w:t>
      </w:r>
      <w:r w:rsidRPr="00EA56DD">
        <w:rPr>
          <w:rFonts w:ascii="Times New Roman" w:hAnsi="Times New Roman" w:cs="Times New Roman"/>
          <w:sz w:val="24"/>
          <w:szCs w:val="24"/>
        </w:rPr>
        <w:t xml:space="preserve"> mental health symptoms. Greater adherence to coaching calls may have </w:t>
      </w:r>
      <w:r w:rsidR="00197174">
        <w:rPr>
          <w:rFonts w:ascii="Times New Roman" w:hAnsi="Times New Roman" w:cs="Times New Roman"/>
          <w:sz w:val="24"/>
          <w:szCs w:val="24"/>
        </w:rPr>
        <w:t>resulted</w:t>
      </w:r>
      <w:r w:rsidRPr="00EA56DD">
        <w:rPr>
          <w:rFonts w:ascii="Times New Roman" w:hAnsi="Times New Roman" w:cs="Times New Roman"/>
          <w:sz w:val="24"/>
          <w:szCs w:val="24"/>
        </w:rPr>
        <w:t xml:space="preserve"> </w:t>
      </w:r>
      <w:r w:rsidR="00197174">
        <w:rPr>
          <w:rFonts w:ascii="Times New Roman" w:hAnsi="Times New Roman" w:cs="Times New Roman"/>
          <w:sz w:val="24"/>
          <w:szCs w:val="24"/>
        </w:rPr>
        <w:t>in</w:t>
      </w:r>
      <w:r w:rsidRPr="00EA56DD">
        <w:rPr>
          <w:rFonts w:ascii="Times New Roman" w:hAnsi="Times New Roman" w:cs="Times New Roman"/>
          <w:sz w:val="24"/>
          <w:szCs w:val="24"/>
        </w:rPr>
        <w:t xml:space="preserve"> larger effects in the coaching condition.</w:t>
      </w:r>
    </w:p>
    <w:p w14:paraId="66DD7A96" w14:textId="2BDADC41" w:rsidR="008C4D1C" w:rsidRPr="00EA56DD" w:rsidRDefault="00556DFE" w:rsidP="00F2286B">
      <w:pPr>
        <w:spacing w:line="480" w:lineRule="auto"/>
        <w:contextualSpacing/>
        <w:rPr>
          <w:rFonts w:ascii="Times New Roman" w:hAnsi="Times New Roman" w:cs="Times New Roman"/>
          <w:sz w:val="24"/>
          <w:szCs w:val="24"/>
        </w:rPr>
      </w:pPr>
      <w:r w:rsidRPr="00EA56DD">
        <w:rPr>
          <w:rFonts w:ascii="Times New Roman" w:hAnsi="Times New Roman" w:cs="Times New Roman"/>
          <w:sz w:val="24"/>
          <w:szCs w:val="24"/>
        </w:rPr>
        <w:tab/>
        <w:t xml:space="preserve">Although there was largely no effect from coaching, it is worth noting that a key process of change for ACT, the AAQ-II, </w:t>
      </w:r>
      <w:r w:rsidR="00A57366" w:rsidRPr="00EA56DD">
        <w:rPr>
          <w:rFonts w:ascii="Times New Roman" w:hAnsi="Times New Roman" w:cs="Times New Roman"/>
          <w:sz w:val="24"/>
          <w:szCs w:val="24"/>
        </w:rPr>
        <w:t>improved more in the coaching versus non-coaching condition. The AAQ-II was the strongest mediator for the treatment effects of ACT in this trial (</w:t>
      </w:r>
      <w:r w:rsidR="00A57366" w:rsidRPr="00EA56DD">
        <w:rPr>
          <w:rFonts w:ascii="Times New Roman" w:hAnsi="Times New Roman" w:cs="Times New Roman"/>
          <w:i/>
          <w:iCs/>
          <w:sz w:val="24"/>
          <w:szCs w:val="24"/>
        </w:rPr>
        <w:t>citation removed</w:t>
      </w:r>
      <w:r w:rsidR="00A57366" w:rsidRPr="00EA56DD">
        <w:rPr>
          <w:rFonts w:ascii="Times New Roman" w:hAnsi="Times New Roman" w:cs="Times New Roman"/>
          <w:sz w:val="24"/>
          <w:szCs w:val="24"/>
        </w:rPr>
        <w:t xml:space="preserve">), further highlighting the significance of coaching augmenting effects from pre- to posttreatment. That said, by follow up there was only a non-significant small effect, suggesting the benefits from phone coaching were fleeting. </w:t>
      </w:r>
      <w:r w:rsidR="001865DB" w:rsidRPr="00EA56DD">
        <w:rPr>
          <w:rFonts w:ascii="Times New Roman" w:hAnsi="Times New Roman" w:cs="Times New Roman"/>
          <w:sz w:val="24"/>
          <w:szCs w:val="24"/>
        </w:rPr>
        <w:t xml:space="preserve">Interestingly, this was moderated by website condition, such that effects from pre- to posttreatment were particularly large in the Engaged </w:t>
      </w:r>
      <w:r w:rsidR="001865DB" w:rsidRPr="00EA56DD">
        <w:rPr>
          <w:rFonts w:ascii="Times New Roman" w:hAnsi="Times New Roman" w:cs="Times New Roman"/>
          <w:sz w:val="24"/>
          <w:szCs w:val="24"/>
        </w:rPr>
        <w:lastRenderedPageBreak/>
        <w:t xml:space="preserve">condition (targeting values and committed action) and were particularly weak in the Open condition (targeting acceptance and </w:t>
      </w:r>
      <w:proofErr w:type="spellStart"/>
      <w:r w:rsidR="001865DB" w:rsidRPr="00EA56DD">
        <w:rPr>
          <w:rFonts w:ascii="Times New Roman" w:hAnsi="Times New Roman" w:cs="Times New Roman"/>
          <w:sz w:val="24"/>
          <w:szCs w:val="24"/>
        </w:rPr>
        <w:t>defusion</w:t>
      </w:r>
      <w:proofErr w:type="spellEnd"/>
      <w:r w:rsidR="001865DB" w:rsidRPr="00EA56DD">
        <w:rPr>
          <w:rFonts w:ascii="Times New Roman" w:hAnsi="Times New Roman" w:cs="Times New Roman"/>
          <w:sz w:val="24"/>
          <w:szCs w:val="24"/>
        </w:rPr>
        <w:t xml:space="preserve">). This maps onto </w:t>
      </w:r>
      <w:r w:rsidR="00165157">
        <w:rPr>
          <w:rFonts w:ascii="Times New Roman" w:hAnsi="Times New Roman" w:cs="Times New Roman"/>
          <w:sz w:val="24"/>
          <w:szCs w:val="24"/>
        </w:rPr>
        <w:t>other trial results</w:t>
      </w:r>
      <w:r w:rsidR="001865DB" w:rsidRPr="00EA56DD">
        <w:rPr>
          <w:rFonts w:ascii="Times New Roman" w:hAnsi="Times New Roman" w:cs="Times New Roman"/>
          <w:sz w:val="24"/>
          <w:szCs w:val="24"/>
        </w:rPr>
        <w:t xml:space="preserve"> in which the </w:t>
      </w:r>
      <w:r w:rsidR="00165157">
        <w:rPr>
          <w:rFonts w:ascii="Times New Roman" w:hAnsi="Times New Roman" w:cs="Times New Roman"/>
          <w:sz w:val="24"/>
          <w:szCs w:val="24"/>
        </w:rPr>
        <w:t xml:space="preserve">AAQ-II did not improve or mediate treatment effects in the Open condition </w:t>
      </w:r>
      <w:r w:rsidR="001865DB" w:rsidRPr="00EA56DD">
        <w:rPr>
          <w:rFonts w:ascii="Times New Roman" w:hAnsi="Times New Roman" w:cs="Times New Roman"/>
          <w:sz w:val="24"/>
          <w:szCs w:val="24"/>
        </w:rPr>
        <w:t>(</w:t>
      </w:r>
      <w:r w:rsidR="001865DB" w:rsidRPr="00EA56DD">
        <w:rPr>
          <w:rFonts w:ascii="Times New Roman" w:hAnsi="Times New Roman" w:cs="Times New Roman"/>
          <w:i/>
          <w:iCs/>
          <w:sz w:val="24"/>
          <w:szCs w:val="24"/>
        </w:rPr>
        <w:t>citation removed</w:t>
      </w:r>
      <w:r w:rsidR="001865DB" w:rsidRPr="00EA56DD">
        <w:rPr>
          <w:rFonts w:ascii="Times New Roman" w:hAnsi="Times New Roman" w:cs="Times New Roman"/>
          <w:sz w:val="24"/>
          <w:szCs w:val="24"/>
        </w:rPr>
        <w:t xml:space="preserve">). </w:t>
      </w:r>
      <w:r w:rsidR="00165157">
        <w:rPr>
          <w:rFonts w:ascii="Times New Roman" w:hAnsi="Times New Roman" w:cs="Times New Roman"/>
          <w:sz w:val="24"/>
          <w:szCs w:val="24"/>
        </w:rPr>
        <w:t>T</w:t>
      </w:r>
      <w:r w:rsidR="001865DB" w:rsidRPr="00EA56DD">
        <w:rPr>
          <w:rFonts w:ascii="Times New Roman" w:hAnsi="Times New Roman" w:cs="Times New Roman"/>
          <w:sz w:val="24"/>
          <w:szCs w:val="24"/>
        </w:rPr>
        <w:t>he poor effects on the AAQ-II in the Open condition may have been due to coaching not augmenting intervention outcomes for this variable. It is possible that coaching may be less relevant when targeting the Open components of ACT alone, although the mechanism accounting for that is unclear.</w:t>
      </w:r>
    </w:p>
    <w:p w14:paraId="53EE8D85" w14:textId="52A4FC57" w:rsidR="003545A6" w:rsidRPr="00EA56DD" w:rsidRDefault="00672EAC" w:rsidP="005B498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D23528" w:rsidRPr="00EA56DD">
        <w:rPr>
          <w:rFonts w:ascii="Times New Roman" w:hAnsi="Times New Roman" w:cs="Times New Roman"/>
          <w:sz w:val="24"/>
          <w:szCs w:val="24"/>
        </w:rPr>
        <w:t xml:space="preserve">he </w:t>
      </w:r>
      <w:r>
        <w:rPr>
          <w:rFonts w:ascii="Times New Roman" w:hAnsi="Times New Roman" w:cs="Times New Roman"/>
          <w:sz w:val="24"/>
          <w:szCs w:val="24"/>
        </w:rPr>
        <w:t>non-coaching</w:t>
      </w:r>
      <w:r w:rsidR="00BF71F1" w:rsidRPr="00EA56DD">
        <w:rPr>
          <w:rFonts w:ascii="Times New Roman" w:hAnsi="Times New Roman" w:cs="Times New Roman"/>
          <w:sz w:val="24"/>
          <w:szCs w:val="24"/>
        </w:rPr>
        <w:t xml:space="preserve"> </w:t>
      </w:r>
      <w:r w:rsidR="00D23528" w:rsidRPr="00EA56DD">
        <w:rPr>
          <w:rFonts w:ascii="Times New Roman" w:hAnsi="Times New Roman" w:cs="Times New Roman"/>
          <w:sz w:val="24"/>
          <w:szCs w:val="24"/>
        </w:rPr>
        <w:t>condition still received email prompts, which could be automated. Previous research suggests that including automated emails increases program adherence and treatment outcomes relative to self-guided programs without email prompts (</w:t>
      </w:r>
      <w:proofErr w:type="spellStart"/>
      <w:r w:rsidR="00D23528" w:rsidRPr="00EA56DD">
        <w:rPr>
          <w:rFonts w:ascii="Times New Roman" w:hAnsi="Times New Roman" w:cs="Times New Roman"/>
          <w:sz w:val="24"/>
          <w:szCs w:val="24"/>
        </w:rPr>
        <w:t>Titov</w:t>
      </w:r>
      <w:proofErr w:type="spellEnd"/>
      <w:r w:rsidR="00D23528" w:rsidRPr="00EA56DD">
        <w:rPr>
          <w:rFonts w:ascii="Times New Roman" w:hAnsi="Times New Roman" w:cs="Times New Roman"/>
          <w:sz w:val="24"/>
          <w:szCs w:val="24"/>
        </w:rPr>
        <w:t xml:space="preserve"> et al., 2013). </w:t>
      </w:r>
      <w:r>
        <w:rPr>
          <w:rFonts w:ascii="Times New Roman" w:hAnsi="Times New Roman" w:cs="Times New Roman"/>
          <w:sz w:val="24"/>
          <w:szCs w:val="24"/>
        </w:rPr>
        <w:t>S</w:t>
      </w:r>
      <w:r w:rsidR="0001710B" w:rsidRPr="00EA56DD">
        <w:rPr>
          <w:rFonts w:ascii="Times New Roman" w:hAnsi="Times New Roman" w:cs="Times New Roman"/>
          <w:sz w:val="24"/>
          <w:szCs w:val="24"/>
        </w:rPr>
        <w:t>imple</w:t>
      </w:r>
      <w:r>
        <w:rPr>
          <w:rFonts w:ascii="Times New Roman" w:hAnsi="Times New Roman" w:cs="Times New Roman"/>
          <w:sz w:val="24"/>
          <w:szCs w:val="24"/>
        </w:rPr>
        <w:t>, automated</w:t>
      </w:r>
      <w:r w:rsidR="0001710B" w:rsidRPr="00EA56DD">
        <w:rPr>
          <w:rFonts w:ascii="Times New Roman" w:hAnsi="Times New Roman" w:cs="Times New Roman"/>
          <w:sz w:val="24"/>
          <w:szCs w:val="24"/>
        </w:rPr>
        <w:t xml:space="preserve"> email prompts </w:t>
      </w:r>
      <w:r w:rsidR="000D0B7F" w:rsidRPr="00EA56DD">
        <w:rPr>
          <w:rFonts w:ascii="Times New Roman" w:hAnsi="Times New Roman" w:cs="Times New Roman"/>
          <w:sz w:val="24"/>
          <w:szCs w:val="24"/>
        </w:rPr>
        <w:t xml:space="preserve">may be sufficient </w:t>
      </w:r>
      <w:r w:rsidR="0001710B" w:rsidRPr="00EA56DD">
        <w:rPr>
          <w:rFonts w:ascii="Times New Roman" w:hAnsi="Times New Roman" w:cs="Times New Roman"/>
          <w:sz w:val="24"/>
          <w:szCs w:val="24"/>
        </w:rPr>
        <w:t xml:space="preserve">for online interventions for college student mental health. </w:t>
      </w:r>
      <w:r w:rsidR="002549C4" w:rsidRPr="00EA56DD">
        <w:rPr>
          <w:rFonts w:ascii="Times New Roman" w:hAnsi="Times New Roman" w:cs="Times New Roman"/>
          <w:sz w:val="24"/>
          <w:szCs w:val="24"/>
        </w:rPr>
        <w:t>Future research could explore how in</w:t>
      </w:r>
      <w:r>
        <w:rPr>
          <w:rFonts w:ascii="Times New Roman" w:hAnsi="Times New Roman" w:cs="Times New Roman"/>
          <w:sz w:val="24"/>
          <w:szCs w:val="24"/>
        </w:rPr>
        <w:t>-</w:t>
      </w:r>
      <w:r w:rsidR="002549C4" w:rsidRPr="00EA56DD">
        <w:rPr>
          <w:rFonts w:ascii="Times New Roman" w:hAnsi="Times New Roman" w:cs="Times New Roman"/>
          <w:sz w:val="24"/>
          <w:szCs w:val="24"/>
        </w:rPr>
        <w:t>depth coaching could</w:t>
      </w:r>
      <w:r>
        <w:rPr>
          <w:rFonts w:ascii="Times New Roman" w:hAnsi="Times New Roman" w:cs="Times New Roman"/>
          <w:sz w:val="24"/>
          <w:szCs w:val="24"/>
        </w:rPr>
        <w:t xml:space="preserve"> also</w:t>
      </w:r>
      <w:r w:rsidR="002549C4" w:rsidRPr="00EA56DD">
        <w:rPr>
          <w:rFonts w:ascii="Times New Roman" w:hAnsi="Times New Roman" w:cs="Times New Roman"/>
          <w:sz w:val="24"/>
          <w:szCs w:val="24"/>
        </w:rPr>
        <w:t xml:space="preserve"> be automated </w:t>
      </w:r>
      <w:r>
        <w:rPr>
          <w:rFonts w:ascii="Times New Roman" w:hAnsi="Times New Roman" w:cs="Times New Roman"/>
          <w:sz w:val="24"/>
          <w:szCs w:val="24"/>
        </w:rPr>
        <w:t xml:space="preserve">through a </w:t>
      </w:r>
      <w:r w:rsidR="002549C4" w:rsidRPr="00EA56DD">
        <w:rPr>
          <w:rFonts w:ascii="Times New Roman" w:hAnsi="Times New Roman" w:cs="Times New Roman"/>
          <w:sz w:val="24"/>
          <w:szCs w:val="24"/>
        </w:rPr>
        <w:t xml:space="preserve">chatbot that leverages natural language processing and machine learning to increase adherence (e.g., </w:t>
      </w:r>
      <w:proofErr w:type="spellStart"/>
      <w:r w:rsidR="002549C4" w:rsidRPr="00EA56DD">
        <w:rPr>
          <w:rFonts w:ascii="Times New Roman" w:hAnsi="Times New Roman" w:cs="Times New Roman"/>
          <w:sz w:val="24"/>
          <w:szCs w:val="24"/>
        </w:rPr>
        <w:t>Perski</w:t>
      </w:r>
      <w:proofErr w:type="spellEnd"/>
      <w:r w:rsidR="002549C4" w:rsidRPr="00EA56DD">
        <w:rPr>
          <w:rFonts w:ascii="Times New Roman" w:hAnsi="Times New Roman" w:cs="Times New Roman"/>
          <w:sz w:val="24"/>
          <w:szCs w:val="24"/>
        </w:rPr>
        <w:t>, Crane, Beard &amp; Brown, 2019).</w:t>
      </w:r>
      <w:r w:rsidR="00D60101">
        <w:rPr>
          <w:rFonts w:ascii="Times New Roman" w:hAnsi="Times New Roman" w:cs="Times New Roman"/>
          <w:sz w:val="24"/>
          <w:szCs w:val="24"/>
        </w:rPr>
        <w:t xml:space="preserve"> </w:t>
      </w:r>
      <w:r w:rsidR="00A2039E" w:rsidRPr="00EA56DD">
        <w:rPr>
          <w:rFonts w:ascii="Times New Roman" w:hAnsi="Times New Roman" w:cs="Times New Roman"/>
          <w:sz w:val="24"/>
          <w:szCs w:val="24"/>
        </w:rPr>
        <w:t>Universities are struggling to meet the high demand for mental health services among their students, but also have limited available resources to provide guided self-help (</w:t>
      </w:r>
      <w:r w:rsidR="000456B4" w:rsidRPr="00EA56DD">
        <w:rPr>
          <w:rFonts w:ascii="Times New Roman" w:hAnsi="Times New Roman" w:cs="Times New Roman"/>
          <w:sz w:val="24"/>
          <w:szCs w:val="24"/>
        </w:rPr>
        <w:t>e.g.,</w:t>
      </w:r>
      <w:r w:rsidR="00614321" w:rsidRPr="00EA56DD">
        <w:rPr>
          <w:rFonts w:ascii="Times New Roman" w:hAnsi="Times New Roman" w:cs="Times New Roman"/>
          <w:sz w:val="24"/>
          <w:szCs w:val="24"/>
        </w:rPr>
        <w:t xml:space="preserve"> </w:t>
      </w:r>
      <w:r w:rsidR="00614321" w:rsidRPr="00EA56DD">
        <w:rPr>
          <w:rFonts w:ascii="Times New Roman" w:hAnsi="Times New Roman" w:cs="Times New Roman"/>
          <w:noProof/>
          <w:sz w:val="24"/>
          <w:szCs w:val="24"/>
        </w:rPr>
        <w:t>LeViness, Bershad, &amp; Gorman, 2017</w:t>
      </w:r>
      <w:r w:rsidR="00A2039E" w:rsidRPr="00EA56DD">
        <w:rPr>
          <w:rFonts w:ascii="Times New Roman" w:hAnsi="Times New Roman" w:cs="Times New Roman"/>
          <w:sz w:val="24"/>
          <w:szCs w:val="24"/>
        </w:rPr>
        <w:t xml:space="preserve">). Online programs that are highly scalable and require minimal resources to implement are needed, and thus preferably can be delivered without requiring resource intensive phone coaching procedures. </w:t>
      </w:r>
      <w:r w:rsidR="003545A6" w:rsidRPr="00EA56DD">
        <w:rPr>
          <w:rFonts w:ascii="Times New Roman" w:hAnsi="Times New Roman" w:cs="Times New Roman"/>
          <w:sz w:val="24"/>
          <w:szCs w:val="24"/>
        </w:rPr>
        <w:t xml:space="preserve"> </w:t>
      </w:r>
    </w:p>
    <w:p w14:paraId="58190EA1" w14:textId="4DBB91EF" w:rsidR="000D0B7F" w:rsidRPr="00EA56DD" w:rsidRDefault="00475FE3" w:rsidP="00455649">
      <w:pPr>
        <w:spacing w:line="480" w:lineRule="auto"/>
        <w:ind w:firstLine="720"/>
        <w:contextualSpacing/>
        <w:rPr>
          <w:rFonts w:ascii="Times New Roman" w:hAnsi="Times New Roman" w:cs="Times New Roman"/>
          <w:sz w:val="24"/>
          <w:szCs w:val="24"/>
        </w:rPr>
      </w:pPr>
      <w:r w:rsidRPr="00EA56DD">
        <w:rPr>
          <w:rFonts w:ascii="Times New Roman" w:hAnsi="Times New Roman" w:cs="Times New Roman"/>
          <w:sz w:val="24"/>
          <w:szCs w:val="24"/>
        </w:rPr>
        <w:t xml:space="preserve">There were limitations to the study that may have reduced the effectiveness of phone coaching or the ability to evaluate </w:t>
      </w:r>
      <w:r w:rsidR="004042D5">
        <w:rPr>
          <w:rFonts w:ascii="Times New Roman" w:hAnsi="Times New Roman" w:cs="Times New Roman"/>
          <w:sz w:val="24"/>
          <w:szCs w:val="24"/>
        </w:rPr>
        <w:t>its effects</w:t>
      </w:r>
      <w:r w:rsidRPr="00EA56DD">
        <w:rPr>
          <w:rFonts w:ascii="Times New Roman" w:hAnsi="Times New Roman" w:cs="Times New Roman"/>
          <w:sz w:val="24"/>
          <w:szCs w:val="24"/>
        </w:rPr>
        <w:t xml:space="preserve">. </w:t>
      </w:r>
      <w:r w:rsidR="00556DFE" w:rsidRPr="00EA56DD">
        <w:rPr>
          <w:rFonts w:ascii="Times New Roman" w:hAnsi="Times New Roman" w:cs="Times New Roman"/>
          <w:sz w:val="24"/>
          <w:szCs w:val="24"/>
        </w:rPr>
        <w:t>T</w:t>
      </w:r>
      <w:r w:rsidRPr="00EA56DD">
        <w:rPr>
          <w:rFonts w:ascii="Times New Roman" w:hAnsi="Times New Roman" w:cs="Times New Roman"/>
          <w:sz w:val="24"/>
          <w:szCs w:val="24"/>
        </w:rPr>
        <w:t xml:space="preserve">he study did not include a fidelity or competence assessment for phone coaching. Thus, it is unclear the degree to which graduate students adhered to the protocol and implemented it effectively. In addition, only two graduate students provided coaching, which might have </w:t>
      </w:r>
      <w:r w:rsidR="004042D5">
        <w:rPr>
          <w:rFonts w:ascii="Times New Roman" w:hAnsi="Times New Roman" w:cs="Times New Roman"/>
          <w:sz w:val="24"/>
          <w:szCs w:val="24"/>
        </w:rPr>
        <w:t>compounded</w:t>
      </w:r>
      <w:r w:rsidR="004042D5" w:rsidRPr="00EA56DD">
        <w:rPr>
          <w:rFonts w:ascii="Times New Roman" w:hAnsi="Times New Roman" w:cs="Times New Roman"/>
          <w:sz w:val="24"/>
          <w:szCs w:val="24"/>
        </w:rPr>
        <w:t xml:space="preserve"> </w:t>
      </w:r>
      <w:r w:rsidRPr="00EA56DD">
        <w:rPr>
          <w:rFonts w:ascii="Times New Roman" w:hAnsi="Times New Roman" w:cs="Times New Roman"/>
          <w:sz w:val="24"/>
          <w:szCs w:val="24"/>
        </w:rPr>
        <w:t xml:space="preserve">any potential fidelity issues present. </w:t>
      </w:r>
      <w:r w:rsidR="00556DFE" w:rsidRPr="00EA56DD">
        <w:rPr>
          <w:rFonts w:ascii="Times New Roman" w:hAnsi="Times New Roman" w:cs="Times New Roman"/>
          <w:sz w:val="24"/>
          <w:szCs w:val="24"/>
        </w:rPr>
        <w:t xml:space="preserve">Although the </w:t>
      </w:r>
      <w:r w:rsidR="00556DFE" w:rsidRPr="00EA56DD">
        <w:rPr>
          <w:rFonts w:ascii="Times New Roman" w:hAnsi="Times New Roman" w:cs="Times New Roman"/>
          <w:sz w:val="24"/>
          <w:szCs w:val="24"/>
        </w:rPr>
        <w:lastRenderedPageBreak/>
        <w:t>sample was relatively large (</w:t>
      </w:r>
      <w:r w:rsidR="00556DFE" w:rsidRPr="00EA56DD">
        <w:rPr>
          <w:rFonts w:ascii="Times New Roman" w:hAnsi="Times New Roman" w:cs="Times New Roman"/>
          <w:i/>
          <w:iCs/>
          <w:sz w:val="24"/>
          <w:szCs w:val="24"/>
        </w:rPr>
        <w:t xml:space="preserve">n </w:t>
      </w:r>
      <w:r w:rsidR="00556DFE" w:rsidRPr="00EA56DD">
        <w:rPr>
          <w:rFonts w:ascii="Times New Roman" w:hAnsi="Times New Roman" w:cs="Times New Roman"/>
          <w:sz w:val="24"/>
          <w:szCs w:val="24"/>
        </w:rPr>
        <w:t xml:space="preserve">= 136), it was not adequately powered to detect small effect sizes, which would still be meaningful from a public health perspective. Consistent with this, non-significant small effect sizes were consistently observed favoring the coaching condition on most variables. </w:t>
      </w:r>
      <w:r w:rsidR="004042D5">
        <w:rPr>
          <w:rFonts w:ascii="Times New Roman" w:hAnsi="Times New Roman" w:cs="Times New Roman"/>
          <w:sz w:val="24"/>
          <w:szCs w:val="24"/>
        </w:rPr>
        <w:t xml:space="preserve">Effect sizes </w:t>
      </w:r>
      <w:r w:rsidR="00556DFE" w:rsidRPr="00EA56DD">
        <w:rPr>
          <w:rFonts w:ascii="Times New Roman" w:hAnsi="Times New Roman" w:cs="Times New Roman"/>
          <w:sz w:val="24"/>
          <w:szCs w:val="24"/>
        </w:rPr>
        <w:t xml:space="preserve">might have been further limited by the relatively low adherence rates to coaching calls. </w:t>
      </w:r>
    </w:p>
    <w:p w14:paraId="77D92B38" w14:textId="0AD9C6CA" w:rsidR="00D7506D" w:rsidRPr="00EA56DD" w:rsidRDefault="00D7506D" w:rsidP="00F2286B">
      <w:pPr>
        <w:spacing w:line="480" w:lineRule="auto"/>
        <w:contextualSpacing/>
        <w:rPr>
          <w:rFonts w:ascii="Times New Roman" w:hAnsi="Times New Roman" w:cs="Times New Roman"/>
          <w:sz w:val="24"/>
          <w:szCs w:val="24"/>
        </w:rPr>
      </w:pPr>
      <w:r w:rsidRPr="00EA56DD">
        <w:rPr>
          <w:rFonts w:ascii="Times New Roman" w:hAnsi="Times New Roman" w:cs="Times New Roman"/>
          <w:sz w:val="24"/>
          <w:szCs w:val="24"/>
        </w:rPr>
        <w:tab/>
      </w:r>
      <w:r w:rsidR="00455649" w:rsidRPr="00EA56DD">
        <w:rPr>
          <w:rFonts w:ascii="Times New Roman" w:hAnsi="Times New Roman" w:cs="Times New Roman"/>
          <w:sz w:val="24"/>
          <w:szCs w:val="24"/>
        </w:rPr>
        <w:t xml:space="preserve">Overall, this study suggests that online interventions, and more specifically online ACT for college student mental health, may not always require more intensive guided support features. This study adds to a growing body of research that online ACT may be effective and engaging </w:t>
      </w:r>
      <w:proofErr w:type="gramStart"/>
      <w:r w:rsidR="00455649" w:rsidRPr="00EA56DD">
        <w:rPr>
          <w:rFonts w:ascii="Times New Roman" w:hAnsi="Times New Roman" w:cs="Times New Roman"/>
          <w:sz w:val="24"/>
          <w:szCs w:val="24"/>
        </w:rPr>
        <w:t>through the use of</w:t>
      </w:r>
      <w:proofErr w:type="gramEnd"/>
      <w:r w:rsidR="00455649" w:rsidRPr="00EA56DD">
        <w:rPr>
          <w:rFonts w:ascii="Times New Roman" w:hAnsi="Times New Roman" w:cs="Times New Roman"/>
          <w:sz w:val="24"/>
          <w:szCs w:val="24"/>
        </w:rPr>
        <w:t xml:space="preserve"> simple automated emails, and that more intensive coaching may have modest additional benefits. </w:t>
      </w:r>
    </w:p>
    <w:p w14:paraId="29D1333A" w14:textId="682D2435" w:rsidR="00AA657D" w:rsidRPr="00EA56DD" w:rsidRDefault="00AA657D">
      <w:pPr>
        <w:rPr>
          <w:rFonts w:ascii="Times New Roman" w:hAnsi="Times New Roman" w:cs="Times New Roman"/>
          <w:b/>
          <w:sz w:val="24"/>
          <w:szCs w:val="24"/>
        </w:rPr>
      </w:pPr>
      <w:r w:rsidRPr="00EA56DD">
        <w:rPr>
          <w:rFonts w:ascii="Times New Roman" w:hAnsi="Times New Roman" w:cs="Times New Roman"/>
          <w:b/>
          <w:sz w:val="24"/>
          <w:szCs w:val="24"/>
        </w:rPr>
        <w:br w:type="page"/>
      </w:r>
    </w:p>
    <w:p w14:paraId="08AA8980" w14:textId="77777777" w:rsidR="00AA657D" w:rsidRPr="00EA56DD" w:rsidRDefault="00AA657D" w:rsidP="00AA657D">
      <w:pPr>
        <w:pStyle w:val="NormalWeb"/>
        <w:spacing w:before="0" w:beforeAutospacing="0" w:after="0" w:afterAutospacing="0" w:line="480" w:lineRule="auto"/>
        <w:jc w:val="center"/>
        <w:rPr>
          <w:b/>
        </w:rPr>
      </w:pPr>
      <w:r w:rsidRPr="00EA56DD">
        <w:rPr>
          <w:b/>
        </w:rPr>
        <w:lastRenderedPageBreak/>
        <w:t>Disclosure of interest</w:t>
      </w:r>
    </w:p>
    <w:p w14:paraId="26D3066F" w14:textId="11699752" w:rsidR="007B3F99" w:rsidRPr="00EA56DD" w:rsidRDefault="00AA657D" w:rsidP="00AA657D">
      <w:pPr>
        <w:spacing w:after="0" w:line="480" w:lineRule="auto"/>
        <w:rPr>
          <w:rFonts w:ascii="Times New Roman" w:hAnsi="Times New Roman" w:cs="Times New Roman"/>
          <w:b/>
          <w:sz w:val="24"/>
          <w:szCs w:val="24"/>
        </w:rPr>
      </w:pPr>
      <w:r w:rsidRPr="00EA56DD">
        <w:rPr>
          <w:rFonts w:ascii="Times New Roman" w:hAnsi="Times New Roman" w:cs="Times New Roman"/>
          <w:iCs/>
          <w:sz w:val="24"/>
          <w:szCs w:val="24"/>
        </w:rPr>
        <w:t>The authors report no conflict of interest</w:t>
      </w:r>
      <w:r w:rsidRPr="00EA56DD">
        <w:rPr>
          <w:rFonts w:ascii="Times New Roman" w:hAnsi="Times New Roman" w:cs="Times New Roman"/>
          <w:sz w:val="24"/>
          <w:szCs w:val="24"/>
        </w:rPr>
        <w:t>.</w:t>
      </w:r>
    </w:p>
    <w:p w14:paraId="793EAB20" w14:textId="77777777" w:rsidR="007B3F99" w:rsidRPr="00EA56DD" w:rsidRDefault="007B3F99" w:rsidP="007B3F99">
      <w:pPr>
        <w:spacing w:line="480" w:lineRule="auto"/>
        <w:rPr>
          <w:rFonts w:ascii="Times New Roman" w:hAnsi="Times New Roman" w:cs="Times New Roman"/>
          <w:b/>
          <w:sz w:val="24"/>
          <w:szCs w:val="24"/>
        </w:rPr>
      </w:pPr>
      <w:r w:rsidRPr="00EA56DD">
        <w:rPr>
          <w:rFonts w:ascii="Times New Roman" w:hAnsi="Times New Roman" w:cs="Times New Roman"/>
          <w:b/>
          <w:sz w:val="24"/>
          <w:szCs w:val="24"/>
        </w:rPr>
        <w:br w:type="page"/>
      </w:r>
    </w:p>
    <w:p w14:paraId="7437D758" w14:textId="77777777" w:rsidR="007B3F99" w:rsidRPr="00EA56DD" w:rsidRDefault="007B3F99" w:rsidP="007B3F99">
      <w:pPr>
        <w:pStyle w:val="EndNoteBibliographyTitle"/>
        <w:spacing w:line="480" w:lineRule="auto"/>
        <w:rPr>
          <w:rFonts w:ascii="Times New Roman" w:hAnsi="Times New Roman" w:cs="Times New Roman"/>
          <w:noProof/>
          <w:sz w:val="24"/>
          <w:szCs w:val="24"/>
        </w:rPr>
      </w:pPr>
      <w:r w:rsidRPr="00EA56DD">
        <w:rPr>
          <w:rFonts w:ascii="Times New Roman" w:hAnsi="Times New Roman" w:cs="Times New Roman"/>
          <w:sz w:val="24"/>
          <w:szCs w:val="24"/>
        </w:rPr>
        <w:lastRenderedPageBreak/>
        <w:fldChar w:fldCharType="begin"/>
      </w:r>
      <w:r w:rsidRPr="00EA56DD">
        <w:rPr>
          <w:rFonts w:ascii="Times New Roman" w:hAnsi="Times New Roman" w:cs="Times New Roman"/>
          <w:sz w:val="24"/>
          <w:szCs w:val="24"/>
        </w:rPr>
        <w:instrText xml:space="preserve"> ADDIN EN.REFLIST </w:instrText>
      </w:r>
      <w:r w:rsidRPr="00EA56DD">
        <w:rPr>
          <w:rFonts w:ascii="Times New Roman" w:hAnsi="Times New Roman" w:cs="Times New Roman"/>
          <w:sz w:val="24"/>
          <w:szCs w:val="24"/>
        </w:rPr>
        <w:fldChar w:fldCharType="separate"/>
      </w:r>
      <w:r w:rsidRPr="00EA56DD">
        <w:rPr>
          <w:rFonts w:ascii="Times New Roman" w:hAnsi="Times New Roman" w:cs="Times New Roman"/>
          <w:noProof/>
          <w:sz w:val="24"/>
          <w:szCs w:val="24"/>
        </w:rPr>
        <w:t>References</w:t>
      </w:r>
    </w:p>
    <w:p w14:paraId="5AEEB1A4" w14:textId="4DF20F43" w:rsidR="0036462C" w:rsidRPr="00EA56DD" w:rsidRDefault="0036462C" w:rsidP="0036462C">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sz w:val="24"/>
          <w:szCs w:val="24"/>
        </w:rPr>
        <w:t xml:space="preserve">Aardoom, J.J., Dingemans, A.E., Spinhoven, P., van Ginkel, J.R., de Rooij, M. &amp; van Furth, E.F. (2016). Web-based fully automated self-help with different levels of therapist support for individuals with eating disorder symptoms: A randomized controlled trial. </w:t>
      </w:r>
      <w:r w:rsidRPr="00EA56DD">
        <w:rPr>
          <w:rFonts w:ascii="Times New Roman" w:hAnsi="Times New Roman" w:cs="Times New Roman"/>
          <w:i/>
          <w:sz w:val="24"/>
          <w:szCs w:val="24"/>
        </w:rPr>
        <w:t>Journal of Medical Internet Research, 18</w:t>
      </w:r>
      <w:r w:rsidRPr="00EA56DD">
        <w:rPr>
          <w:rFonts w:ascii="Times New Roman" w:hAnsi="Times New Roman" w:cs="Times New Roman"/>
          <w:sz w:val="24"/>
          <w:szCs w:val="24"/>
        </w:rPr>
        <w:t>, e159.</w:t>
      </w:r>
    </w:p>
    <w:p w14:paraId="5C3E46C8" w14:textId="55B8F634"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Bond, F.W., Hayes, S.C., Baer, R.A., Carpenter, K.M., Guenole, N., Orcutt, H.K., . . . Zettle, R.D. (2011). Preliminary psychometric properties of the Acceptance and Action Questionnaire-II: A revised measure of psychological inflexibility and experiential avoidance. </w:t>
      </w:r>
      <w:r w:rsidRPr="00EA56DD">
        <w:rPr>
          <w:rFonts w:ascii="Times New Roman" w:hAnsi="Times New Roman" w:cs="Times New Roman"/>
          <w:i/>
          <w:noProof/>
          <w:sz w:val="24"/>
          <w:szCs w:val="24"/>
        </w:rPr>
        <w:t>Behavior Therapy, 42</w:t>
      </w:r>
      <w:r w:rsidRPr="00EA56DD">
        <w:rPr>
          <w:rFonts w:ascii="Times New Roman" w:hAnsi="Times New Roman" w:cs="Times New Roman"/>
          <w:noProof/>
          <w:sz w:val="24"/>
          <w:szCs w:val="24"/>
        </w:rPr>
        <w:t>(4), 676-688. doi:10.1016/j.beth.2011.03.007</w:t>
      </w:r>
    </w:p>
    <w:p w14:paraId="6BB4508C" w14:textId="6FD4D8D2" w:rsidR="00452E7B" w:rsidRPr="00EA56DD" w:rsidRDefault="00452E7B" w:rsidP="00452E7B">
      <w:pPr>
        <w:tabs>
          <w:tab w:val="left" w:pos="720"/>
        </w:tabs>
        <w:spacing w:line="480" w:lineRule="auto"/>
        <w:ind w:left="720" w:hanging="720"/>
        <w:contextualSpacing/>
        <w:rPr>
          <w:rFonts w:ascii="Times New Roman" w:hAnsi="Times New Roman" w:cs="Times New Roman"/>
          <w:sz w:val="24"/>
          <w:szCs w:val="24"/>
        </w:rPr>
      </w:pPr>
      <w:r w:rsidRPr="00EA56DD">
        <w:rPr>
          <w:rFonts w:ascii="Times New Roman" w:hAnsi="Times New Roman" w:cs="Times New Roman"/>
          <w:sz w:val="24"/>
          <w:szCs w:val="24"/>
        </w:rPr>
        <w:t xml:space="preserve">Brooke, J. (1996). SUS: a “quick and dirty‟ usability scale. In P.W. Jordan, B. Thomas, B.A. Weerdmeester, and I.L. McClelland (Eds.) </w:t>
      </w:r>
      <w:r w:rsidRPr="00EA56DD">
        <w:rPr>
          <w:rFonts w:ascii="Times New Roman" w:hAnsi="Times New Roman" w:cs="Times New Roman"/>
          <w:i/>
          <w:sz w:val="24"/>
          <w:szCs w:val="24"/>
        </w:rPr>
        <w:t>Usability Evaluation in Industry</w:t>
      </w:r>
      <w:r w:rsidRPr="00EA56DD">
        <w:rPr>
          <w:rFonts w:ascii="Times New Roman" w:hAnsi="Times New Roman" w:cs="Times New Roman"/>
          <w:sz w:val="24"/>
          <w:szCs w:val="24"/>
        </w:rPr>
        <w:t xml:space="preserve"> (189-194). London: Taylor and Francis.</w:t>
      </w:r>
    </w:p>
    <w:p w14:paraId="173C0E36" w14:textId="28FEC668" w:rsidR="00D07DA1" w:rsidRPr="00EA56DD" w:rsidRDefault="007B3F99" w:rsidP="00D07DA1">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Cardaciotto, L., Herbert, J.D., Forman, E.M., Moitra, E., &amp; Farrow, V. (2008). The assessment of present-moment awareness and acceptance: the Philadelphia Mindfulness Scale. </w:t>
      </w:r>
      <w:r w:rsidRPr="00EA56DD">
        <w:rPr>
          <w:rFonts w:ascii="Times New Roman" w:hAnsi="Times New Roman" w:cs="Times New Roman"/>
          <w:i/>
          <w:noProof/>
          <w:sz w:val="24"/>
          <w:szCs w:val="24"/>
        </w:rPr>
        <w:t>Assessment, 15</w:t>
      </w:r>
      <w:r w:rsidRPr="00EA56DD">
        <w:rPr>
          <w:rFonts w:ascii="Times New Roman" w:hAnsi="Times New Roman" w:cs="Times New Roman"/>
          <w:noProof/>
          <w:sz w:val="24"/>
          <w:szCs w:val="24"/>
        </w:rPr>
        <w:t>(2), 204-223. doi:10.1177/1073191107311467</w:t>
      </w:r>
    </w:p>
    <w:p w14:paraId="56ADD48A" w14:textId="20E85D81" w:rsidR="0036462C" w:rsidRPr="00EA56DD" w:rsidRDefault="0036462C" w:rsidP="0036462C">
      <w:pPr>
        <w:pStyle w:val="EndNoteBibliography"/>
        <w:spacing w:after="0"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Dear, B., Gandy, M., Karin, E., Staples, L.G., Johnston, L., Fogliati, V.J. … Titov, N. (2015). The Pain Course: a randomised controlled trial examining an internet delivered pain management program when provided with different levels of clinician support. </w:t>
      </w:r>
      <w:r w:rsidRPr="00EA56DD">
        <w:rPr>
          <w:rFonts w:ascii="Times New Roman" w:hAnsi="Times New Roman" w:cs="Times New Roman"/>
          <w:i/>
          <w:sz w:val="24"/>
          <w:szCs w:val="24"/>
        </w:rPr>
        <w:t>Pain, 156</w:t>
      </w:r>
      <w:r w:rsidRPr="00EA56DD">
        <w:rPr>
          <w:rFonts w:ascii="Times New Roman" w:hAnsi="Times New Roman" w:cs="Times New Roman"/>
          <w:sz w:val="24"/>
          <w:szCs w:val="24"/>
        </w:rPr>
        <w:t>, 1920-1935.</w:t>
      </w:r>
    </w:p>
    <w:p w14:paraId="0D57D371" w14:textId="021FEAFC" w:rsidR="00455649" w:rsidRPr="00EA56DD" w:rsidRDefault="00455649" w:rsidP="0036462C">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sz w:val="24"/>
          <w:szCs w:val="24"/>
        </w:rPr>
        <w:t xml:space="preserve">Dryman, M.T., McTeague, L.M., Olino, T.M., &amp; Heimberg, R.G. (2017). Evaluation of an open-access CBT-based Internet program for social anxiety: Patterns of use, retention, and outcomes. </w:t>
      </w:r>
      <w:r w:rsidRPr="00EA56DD">
        <w:rPr>
          <w:rStyle w:val="Emphasis"/>
          <w:rFonts w:ascii="Times New Roman" w:hAnsi="Times New Roman" w:cs="Times New Roman"/>
          <w:sz w:val="24"/>
          <w:szCs w:val="24"/>
        </w:rPr>
        <w:t>Journal of Consulting and Clinical Psychology, 85</w:t>
      </w:r>
      <w:r w:rsidRPr="00EA56DD">
        <w:rPr>
          <w:rFonts w:ascii="Times New Roman" w:hAnsi="Times New Roman" w:cs="Times New Roman"/>
          <w:sz w:val="24"/>
          <w:szCs w:val="24"/>
        </w:rPr>
        <w:t>(10), 988-999.</w:t>
      </w:r>
    </w:p>
    <w:p w14:paraId="77BD3F2A" w14:textId="77777777"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lastRenderedPageBreak/>
        <w:t xml:space="preserve">Duffecy, J., Kinsinger, S., Ludman, E., &amp; Mohr, D. (2011). Telephone coaching to support adherence to internet interventions (TeleCoach): Coach Manual. </w:t>
      </w:r>
    </w:p>
    <w:p w14:paraId="322D2911" w14:textId="5ECFA75E"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Fledderus, M., Bohlmeijer, E.T., Pieterse, M.E., &amp; Schreurs, K.M.G. (2012). Acceptance and commitment therapy as guided self-help for psychological distress and positive mental health: a randomized controlled trial. </w:t>
      </w:r>
      <w:r w:rsidRPr="00EA56DD">
        <w:rPr>
          <w:rFonts w:ascii="Times New Roman" w:hAnsi="Times New Roman" w:cs="Times New Roman"/>
          <w:i/>
          <w:noProof/>
          <w:sz w:val="24"/>
          <w:szCs w:val="24"/>
        </w:rPr>
        <w:t xml:space="preserve">Psychological </w:t>
      </w:r>
      <w:r w:rsidR="0027148B" w:rsidRPr="00EA56DD">
        <w:rPr>
          <w:rFonts w:ascii="Times New Roman" w:hAnsi="Times New Roman" w:cs="Times New Roman"/>
          <w:i/>
          <w:noProof/>
          <w:sz w:val="24"/>
          <w:szCs w:val="24"/>
        </w:rPr>
        <w:t>M</w:t>
      </w:r>
      <w:r w:rsidRPr="00EA56DD">
        <w:rPr>
          <w:rFonts w:ascii="Times New Roman" w:hAnsi="Times New Roman" w:cs="Times New Roman"/>
          <w:i/>
          <w:noProof/>
          <w:sz w:val="24"/>
          <w:szCs w:val="24"/>
        </w:rPr>
        <w:t>edicine, 42</w:t>
      </w:r>
      <w:r w:rsidRPr="00EA56DD">
        <w:rPr>
          <w:rFonts w:ascii="Times New Roman" w:hAnsi="Times New Roman" w:cs="Times New Roman"/>
          <w:noProof/>
          <w:sz w:val="24"/>
          <w:szCs w:val="24"/>
        </w:rPr>
        <w:t xml:space="preserve">(3), 485-495. </w:t>
      </w:r>
    </w:p>
    <w:p w14:paraId="0ADA3D45" w14:textId="5EB20CED"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Gillanders, D.T., Bolderston, H., Bond, F.W., Dempster, M., Flaxman, P.E., Campbell, L., . . . Remington, B. (2014). The development and initial validation of the Cognitive Fusion Questionnaire. </w:t>
      </w:r>
      <w:r w:rsidRPr="00EA56DD">
        <w:rPr>
          <w:rFonts w:ascii="Times New Roman" w:hAnsi="Times New Roman" w:cs="Times New Roman"/>
          <w:i/>
          <w:noProof/>
          <w:sz w:val="24"/>
          <w:szCs w:val="24"/>
        </w:rPr>
        <w:t>Behavior Therapy, 45</w:t>
      </w:r>
      <w:r w:rsidRPr="00EA56DD">
        <w:rPr>
          <w:rFonts w:ascii="Times New Roman" w:hAnsi="Times New Roman" w:cs="Times New Roman"/>
          <w:noProof/>
          <w:sz w:val="24"/>
          <w:szCs w:val="24"/>
        </w:rPr>
        <w:t>, 83-101. doi:10.1016/j.beth.2013.09.001</w:t>
      </w:r>
    </w:p>
    <w:p w14:paraId="67EE5457" w14:textId="7100EA04" w:rsidR="00BD1FDB" w:rsidRPr="00EA56DD" w:rsidRDefault="00BD1FDB" w:rsidP="00BD1FDB">
      <w:pPr>
        <w:spacing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Hayes, S.C., Strosahl, K., &amp; Wilson, K.G. (2012). </w:t>
      </w:r>
      <w:r w:rsidRPr="00EA56DD">
        <w:rPr>
          <w:rFonts w:ascii="Times New Roman" w:hAnsi="Times New Roman" w:cs="Times New Roman"/>
          <w:i/>
          <w:sz w:val="24"/>
          <w:szCs w:val="24"/>
        </w:rPr>
        <w:t>Acceptance and commitment therapy: The process and practice of mindful change</w:t>
      </w:r>
      <w:r w:rsidRPr="00EA56DD">
        <w:rPr>
          <w:rFonts w:ascii="Times New Roman" w:hAnsi="Times New Roman" w:cs="Times New Roman"/>
          <w:sz w:val="24"/>
          <w:szCs w:val="24"/>
        </w:rPr>
        <w:t xml:space="preserve"> (2nd ed.). New York: Guilford Press.</w:t>
      </w:r>
    </w:p>
    <w:p w14:paraId="4B948A69" w14:textId="2755604E" w:rsidR="00D07DA1" w:rsidRPr="00EA56DD" w:rsidRDefault="00D07DA1" w:rsidP="00D07DA1">
      <w:pPr>
        <w:pStyle w:val="EndNoteBibliography"/>
        <w:spacing w:after="0"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Ivanova, E., Lindner, P., Ly, K.H., Dahlin, M., Vernmark, K., Andersson, G. &amp; Carlbring, P. (2016). Guided and unguided Acceptance and Commitment Therapy for social anxiety disorder and/or panic disorder provided via the Internet and a smartphone application: A randomized controlled trial. </w:t>
      </w:r>
      <w:r w:rsidRPr="00EA56DD">
        <w:rPr>
          <w:rFonts w:ascii="Times New Roman" w:hAnsi="Times New Roman" w:cs="Times New Roman"/>
          <w:i/>
          <w:sz w:val="24"/>
          <w:szCs w:val="24"/>
        </w:rPr>
        <w:t>Journal of Anxiety Disorders, 44</w:t>
      </w:r>
      <w:r w:rsidRPr="00EA56DD">
        <w:rPr>
          <w:rFonts w:ascii="Times New Roman" w:hAnsi="Times New Roman" w:cs="Times New Roman"/>
          <w:sz w:val="24"/>
          <w:szCs w:val="24"/>
        </w:rPr>
        <w:t>, 27-35.</w:t>
      </w:r>
    </w:p>
    <w:p w14:paraId="115C5772" w14:textId="05394984" w:rsidR="00EB6033" w:rsidRPr="00EA56DD" w:rsidRDefault="00EB6033" w:rsidP="00D07DA1">
      <w:pPr>
        <w:pStyle w:val="EndNoteBibliography"/>
        <w:spacing w:after="0" w:line="480" w:lineRule="auto"/>
        <w:ind w:left="720" w:hanging="720"/>
        <w:rPr>
          <w:rFonts w:ascii="Times New Roman" w:hAnsi="Times New Roman" w:cs="Times New Roman"/>
          <w:noProof/>
          <w:sz w:val="24"/>
          <w:szCs w:val="24"/>
        </w:rPr>
      </w:pPr>
      <w:r w:rsidRPr="005B4989">
        <w:rPr>
          <w:rFonts w:ascii="Times New Roman" w:hAnsi="Times New Roman" w:cs="Times New Roman"/>
          <w:color w:val="222222"/>
          <w:sz w:val="24"/>
          <w:szCs w:val="24"/>
          <w:shd w:val="clear" w:color="auto" w:fill="FFFFFF"/>
        </w:rPr>
        <w:t>Kass, A.E., Trockel, M., Safer, D.L., Sinton, M.M., Cunning, D., Rizk, M.T., ... &amp; Wilfley, D.E. (2014). Internet-based preventive intervention for reducing eating disorder risk: A randomized controlled trial comparing guided with unguided self-help. </w:t>
      </w:r>
      <w:r w:rsidRPr="005B4989">
        <w:rPr>
          <w:rFonts w:ascii="Times New Roman" w:hAnsi="Times New Roman" w:cs="Times New Roman"/>
          <w:i/>
          <w:iCs/>
          <w:color w:val="222222"/>
          <w:sz w:val="24"/>
          <w:szCs w:val="24"/>
          <w:shd w:val="clear" w:color="auto" w:fill="FFFFFF"/>
        </w:rPr>
        <w:t xml:space="preserve">Behaviour </w:t>
      </w:r>
      <w:r w:rsidRPr="00EA56DD">
        <w:rPr>
          <w:rFonts w:ascii="Times New Roman" w:hAnsi="Times New Roman" w:cs="Times New Roman"/>
          <w:i/>
          <w:iCs/>
          <w:color w:val="222222"/>
          <w:sz w:val="24"/>
          <w:szCs w:val="24"/>
          <w:shd w:val="clear" w:color="auto" w:fill="FFFFFF"/>
        </w:rPr>
        <w:t>R</w:t>
      </w:r>
      <w:r w:rsidRPr="005B4989">
        <w:rPr>
          <w:rFonts w:ascii="Times New Roman" w:hAnsi="Times New Roman" w:cs="Times New Roman"/>
          <w:i/>
          <w:iCs/>
          <w:color w:val="222222"/>
          <w:sz w:val="24"/>
          <w:szCs w:val="24"/>
          <w:shd w:val="clear" w:color="auto" w:fill="FFFFFF"/>
        </w:rPr>
        <w:t xml:space="preserve">esearch and </w:t>
      </w:r>
      <w:r w:rsidRPr="00EA56DD">
        <w:rPr>
          <w:rFonts w:ascii="Times New Roman" w:hAnsi="Times New Roman" w:cs="Times New Roman"/>
          <w:i/>
          <w:iCs/>
          <w:color w:val="222222"/>
          <w:sz w:val="24"/>
          <w:szCs w:val="24"/>
          <w:shd w:val="clear" w:color="auto" w:fill="FFFFFF"/>
        </w:rPr>
        <w:t>T</w:t>
      </w:r>
      <w:r w:rsidRPr="005B4989">
        <w:rPr>
          <w:rFonts w:ascii="Times New Roman" w:hAnsi="Times New Roman" w:cs="Times New Roman"/>
          <w:i/>
          <w:iCs/>
          <w:color w:val="222222"/>
          <w:sz w:val="24"/>
          <w:szCs w:val="24"/>
          <w:shd w:val="clear" w:color="auto" w:fill="FFFFFF"/>
        </w:rPr>
        <w:t>herapy</w:t>
      </w:r>
      <w:r w:rsidRPr="005B4989">
        <w:rPr>
          <w:rFonts w:ascii="Times New Roman" w:hAnsi="Times New Roman" w:cs="Times New Roman"/>
          <w:color w:val="222222"/>
          <w:sz w:val="24"/>
          <w:szCs w:val="24"/>
          <w:shd w:val="clear" w:color="auto" w:fill="FFFFFF"/>
        </w:rPr>
        <w:t>, </w:t>
      </w:r>
      <w:r w:rsidRPr="005B4989">
        <w:rPr>
          <w:rFonts w:ascii="Times New Roman" w:hAnsi="Times New Roman" w:cs="Times New Roman"/>
          <w:i/>
          <w:iCs/>
          <w:color w:val="222222"/>
          <w:sz w:val="24"/>
          <w:szCs w:val="24"/>
          <w:shd w:val="clear" w:color="auto" w:fill="FFFFFF"/>
        </w:rPr>
        <w:t>63</w:t>
      </w:r>
      <w:r w:rsidRPr="005B4989">
        <w:rPr>
          <w:rFonts w:ascii="Times New Roman" w:hAnsi="Times New Roman" w:cs="Times New Roman"/>
          <w:color w:val="222222"/>
          <w:sz w:val="24"/>
          <w:szCs w:val="24"/>
          <w:shd w:val="clear" w:color="auto" w:fill="FFFFFF"/>
        </w:rPr>
        <w:t>, 90-98.</w:t>
      </w:r>
    </w:p>
    <w:p w14:paraId="5D4FA23C" w14:textId="15DBA55D" w:rsidR="00614321" w:rsidRPr="00EA56DD" w:rsidRDefault="007B3F99" w:rsidP="000456B4">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Keyes, C.L. (2006). The subjective well-being of America's youth: Toward a comprehensive assessment. </w:t>
      </w:r>
      <w:r w:rsidRPr="00EA56DD">
        <w:rPr>
          <w:rFonts w:ascii="Times New Roman" w:hAnsi="Times New Roman" w:cs="Times New Roman"/>
          <w:i/>
          <w:noProof/>
          <w:sz w:val="24"/>
          <w:szCs w:val="24"/>
        </w:rPr>
        <w:t>Adolescent &amp; Family Health</w:t>
      </w:r>
      <w:r w:rsidR="00EB6033" w:rsidRPr="00EA56DD">
        <w:rPr>
          <w:rFonts w:ascii="Times New Roman" w:hAnsi="Times New Roman" w:cs="Times New Roman"/>
          <w:i/>
          <w:noProof/>
          <w:sz w:val="24"/>
          <w:szCs w:val="24"/>
        </w:rPr>
        <w:t>, 4</w:t>
      </w:r>
      <w:r w:rsidR="00EB6033" w:rsidRPr="005B4989">
        <w:rPr>
          <w:rFonts w:ascii="Times New Roman" w:hAnsi="Times New Roman" w:cs="Times New Roman"/>
          <w:iCs/>
          <w:noProof/>
          <w:sz w:val="24"/>
          <w:szCs w:val="24"/>
        </w:rPr>
        <w:t>(1), 3–11</w:t>
      </w:r>
      <w:r w:rsidRPr="00EA56DD">
        <w:rPr>
          <w:rFonts w:ascii="Times New Roman" w:hAnsi="Times New Roman" w:cs="Times New Roman"/>
          <w:noProof/>
          <w:sz w:val="24"/>
          <w:szCs w:val="24"/>
        </w:rPr>
        <w:t xml:space="preserve">. </w:t>
      </w:r>
    </w:p>
    <w:p w14:paraId="490EF8CA" w14:textId="4E5AF33A" w:rsidR="00614321" w:rsidRPr="00EA56DD" w:rsidRDefault="00614321" w:rsidP="00614321">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sz w:val="24"/>
          <w:szCs w:val="24"/>
        </w:rPr>
        <w:t xml:space="preserve">Lannin, D.G., Vogel, D.L., &amp; Heath, P.J. (2017). Can reflecting on personal values online increase positive beliefs about counseling? </w:t>
      </w:r>
      <w:r w:rsidRPr="00EA56DD">
        <w:rPr>
          <w:rStyle w:val="Emphasis"/>
          <w:rFonts w:ascii="Times New Roman" w:hAnsi="Times New Roman" w:cs="Times New Roman"/>
          <w:sz w:val="24"/>
          <w:szCs w:val="24"/>
        </w:rPr>
        <w:t>Journal of Counseling Psychology, 64</w:t>
      </w:r>
      <w:r w:rsidRPr="00EA56DD">
        <w:rPr>
          <w:rFonts w:ascii="Times New Roman" w:hAnsi="Times New Roman" w:cs="Times New Roman"/>
          <w:sz w:val="24"/>
          <w:szCs w:val="24"/>
        </w:rPr>
        <w:t>(3), 261-268.</w:t>
      </w:r>
    </w:p>
    <w:p w14:paraId="3F05A4B2" w14:textId="0E0F3ACD" w:rsidR="00614321" w:rsidRPr="00EA56DD" w:rsidRDefault="00614321" w:rsidP="00614321">
      <w:pPr>
        <w:spacing w:after="0" w:line="480" w:lineRule="auto"/>
        <w:ind w:left="720" w:hanging="720"/>
        <w:contextualSpacing/>
        <w:rPr>
          <w:rFonts w:ascii="Times New Roman" w:hAnsi="Times New Roman" w:cs="Times New Roman"/>
          <w:sz w:val="24"/>
          <w:szCs w:val="24"/>
        </w:rPr>
      </w:pPr>
      <w:r w:rsidRPr="00EA56DD">
        <w:rPr>
          <w:rFonts w:ascii="Times New Roman" w:hAnsi="Times New Roman" w:cs="Times New Roman"/>
          <w:noProof/>
          <w:sz w:val="24"/>
          <w:szCs w:val="24"/>
        </w:rPr>
        <w:lastRenderedPageBreak/>
        <w:t xml:space="preserve">LeViness, P., Bershad, C., &amp; Gorman, K. (2017). </w:t>
      </w:r>
      <w:r w:rsidRPr="00EA56DD">
        <w:rPr>
          <w:rFonts w:ascii="Times New Roman" w:hAnsi="Times New Roman" w:cs="Times New Roman"/>
          <w:i/>
          <w:iCs/>
          <w:noProof/>
          <w:sz w:val="24"/>
          <w:szCs w:val="24"/>
        </w:rPr>
        <w:t>The Association for University and College Counseling Center Directors annual survey.</w:t>
      </w:r>
      <w:r w:rsidRPr="00EA56DD">
        <w:rPr>
          <w:rFonts w:ascii="Times New Roman" w:hAnsi="Times New Roman" w:cs="Times New Roman"/>
          <w:noProof/>
          <w:sz w:val="24"/>
          <w:szCs w:val="24"/>
        </w:rPr>
        <w:t xml:space="preserve"> Retrieved from https://www.aucccd.org/director-surveys-public</w:t>
      </w:r>
    </w:p>
    <w:p w14:paraId="7D9D981C" w14:textId="184F558E"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Locke, B.D., McAleavey, A.A., Zhao, Y., Lei, P.W., Hayes, J.A., Castonguay, L.G., . . . Lin, Y.C. (2012). Development and initial validation of the Counseling Center Assessment of Psychological Symptoms–34. </w:t>
      </w:r>
      <w:r w:rsidRPr="00EA56DD">
        <w:rPr>
          <w:rFonts w:ascii="Times New Roman" w:hAnsi="Times New Roman" w:cs="Times New Roman"/>
          <w:i/>
          <w:noProof/>
          <w:sz w:val="24"/>
          <w:szCs w:val="24"/>
        </w:rPr>
        <w:t>Measurement and Evaluation in Counseling and Development, 45</w:t>
      </w:r>
      <w:r w:rsidRPr="00EA56DD">
        <w:rPr>
          <w:rFonts w:ascii="Times New Roman" w:hAnsi="Times New Roman" w:cs="Times New Roman"/>
          <w:noProof/>
          <w:sz w:val="24"/>
          <w:szCs w:val="24"/>
        </w:rPr>
        <w:t xml:space="preserve">, 151-169. </w:t>
      </w:r>
    </w:p>
    <w:p w14:paraId="5ECDB0DA" w14:textId="11A00E8F" w:rsidR="00C23437" w:rsidRPr="00EA56DD" w:rsidRDefault="00C23437" w:rsidP="007B3F99">
      <w:pPr>
        <w:pStyle w:val="EndNoteBibliography"/>
        <w:spacing w:after="0" w:line="480" w:lineRule="auto"/>
        <w:ind w:left="720" w:hanging="720"/>
        <w:rPr>
          <w:rFonts w:ascii="Times New Roman" w:hAnsi="Times New Roman" w:cs="Times New Roman"/>
          <w:noProof/>
          <w:sz w:val="24"/>
          <w:szCs w:val="24"/>
        </w:rPr>
      </w:pPr>
      <w:r w:rsidRPr="005B4989">
        <w:rPr>
          <w:rFonts w:ascii="Times New Roman" w:hAnsi="Times New Roman" w:cs="Times New Roman"/>
          <w:sz w:val="24"/>
          <w:szCs w:val="24"/>
        </w:rPr>
        <w:t xml:space="preserve">Luoma, J.B., Kohlenberg, B.S., Hayes, S.C., &amp; Fletcher, L. (2012). Slow and steady wins the race: A randomized clinical trial of acceptance and commitment therapy targeting shame in substance use disorders. </w:t>
      </w:r>
      <w:r w:rsidRPr="005B4989">
        <w:rPr>
          <w:rFonts w:ascii="Times New Roman" w:hAnsi="Times New Roman" w:cs="Times New Roman"/>
          <w:i/>
          <w:sz w:val="24"/>
          <w:szCs w:val="24"/>
        </w:rPr>
        <w:t>Journal of Consulting and Clinical Psychology, 80</w:t>
      </w:r>
      <w:r w:rsidRPr="005B4989">
        <w:rPr>
          <w:rFonts w:ascii="Times New Roman" w:hAnsi="Times New Roman" w:cs="Times New Roman"/>
          <w:sz w:val="24"/>
          <w:szCs w:val="24"/>
        </w:rPr>
        <w:t>(1), 43-53.</w:t>
      </w:r>
    </w:p>
    <w:p w14:paraId="21E177DD" w14:textId="77777777"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McCracken, L., Chilcot, J., &amp; Norton, S. (2015). Further development in the assessment of psychological flexibility: A shortened Committed Action Questionnaire (CAQ‐8). </w:t>
      </w:r>
      <w:r w:rsidRPr="00EA56DD">
        <w:rPr>
          <w:rFonts w:ascii="Times New Roman" w:hAnsi="Times New Roman" w:cs="Times New Roman"/>
          <w:i/>
          <w:noProof/>
          <w:sz w:val="24"/>
          <w:szCs w:val="24"/>
        </w:rPr>
        <w:t>European Journal of Pain, 19</w:t>
      </w:r>
      <w:r w:rsidRPr="00EA56DD">
        <w:rPr>
          <w:rFonts w:ascii="Times New Roman" w:hAnsi="Times New Roman" w:cs="Times New Roman"/>
          <w:noProof/>
          <w:sz w:val="24"/>
          <w:szCs w:val="24"/>
        </w:rPr>
        <w:t xml:space="preserve">(5), 677-685. </w:t>
      </w:r>
    </w:p>
    <w:p w14:paraId="61C01F57" w14:textId="7B092781"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Mohr, D.C., Cuijpers, P., &amp; Lehman, K. (2011). Supportive accountability: A model for providing human support to enhance adherence to eHealth interventions. In </w:t>
      </w:r>
      <w:r w:rsidRPr="00EA56DD">
        <w:rPr>
          <w:rFonts w:ascii="Times New Roman" w:hAnsi="Times New Roman" w:cs="Times New Roman"/>
          <w:i/>
          <w:noProof/>
          <w:sz w:val="24"/>
          <w:szCs w:val="24"/>
        </w:rPr>
        <w:t>Journal of Medical Internet Research</w:t>
      </w:r>
      <w:r w:rsidRPr="00EA56DD">
        <w:rPr>
          <w:rFonts w:ascii="Times New Roman" w:hAnsi="Times New Roman" w:cs="Times New Roman"/>
          <w:noProof/>
          <w:sz w:val="24"/>
          <w:szCs w:val="24"/>
        </w:rPr>
        <w:t xml:space="preserve"> (Vol. 13, pp. 1-11).</w:t>
      </w:r>
    </w:p>
    <w:p w14:paraId="227F4671" w14:textId="4CFF65A4"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Mohr, D.C., Duffecy, J., Ho, J., Kwasny, M., Cai, X., Burns, M.N., &amp; Begale, M. (2013). A randomized controlled trial evaluating a manualized TeleCoaching protocol for improving adherence to a web-based intervention for the treatment of depression. </w:t>
      </w:r>
      <w:r w:rsidRPr="00EA56DD">
        <w:rPr>
          <w:rFonts w:ascii="Times New Roman" w:hAnsi="Times New Roman" w:cs="Times New Roman"/>
          <w:i/>
          <w:noProof/>
          <w:sz w:val="24"/>
          <w:szCs w:val="24"/>
        </w:rPr>
        <w:t>PloS one, 8</w:t>
      </w:r>
      <w:r w:rsidRPr="00EA56DD">
        <w:rPr>
          <w:rFonts w:ascii="Times New Roman" w:hAnsi="Times New Roman" w:cs="Times New Roman"/>
          <w:noProof/>
          <w:sz w:val="24"/>
          <w:szCs w:val="24"/>
        </w:rPr>
        <w:t xml:space="preserve">(8), e70086. </w:t>
      </w:r>
    </w:p>
    <w:p w14:paraId="07BE1DDE" w14:textId="35EE1CBE"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Newman, M.G., Szkodny, L.E., Llera, S.J., &amp; Przeworski, A. (2011). A review of technology-assisted self-help and minimal contact therapies for anxiety and depression: is human contact necessary for therapeutic efficacy? </w:t>
      </w:r>
      <w:r w:rsidRPr="00EA56DD">
        <w:rPr>
          <w:rFonts w:ascii="Times New Roman" w:hAnsi="Times New Roman" w:cs="Times New Roman"/>
          <w:i/>
          <w:noProof/>
          <w:sz w:val="24"/>
          <w:szCs w:val="24"/>
        </w:rPr>
        <w:t>Clinical Psychology Review, 31</w:t>
      </w:r>
      <w:r w:rsidRPr="00EA56DD">
        <w:rPr>
          <w:rFonts w:ascii="Times New Roman" w:hAnsi="Times New Roman" w:cs="Times New Roman"/>
          <w:noProof/>
          <w:sz w:val="24"/>
          <w:szCs w:val="24"/>
        </w:rPr>
        <w:t xml:space="preserve">(1), 89-103. </w:t>
      </w:r>
    </w:p>
    <w:p w14:paraId="45D4C02E" w14:textId="5D9326A6" w:rsidR="002549C4" w:rsidRDefault="002549C4"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lastRenderedPageBreak/>
        <w:t xml:space="preserve">Perski, O., Crane, D., Beard, E. &amp; Brown, J. (2019). Does the addition of a supportive chatbotpromote user engagement with a smokingcessation app? An experimental study. </w:t>
      </w:r>
      <w:r w:rsidRPr="005B4989">
        <w:rPr>
          <w:rFonts w:ascii="Times New Roman" w:hAnsi="Times New Roman" w:cs="Times New Roman"/>
          <w:i/>
          <w:iCs/>
          <w:noProof/>
          <w:sz w:val="24"/>
          <w:szCs w:val="24"/>
        </w:rPr>
        <w:t>Digital Health, 5</w:t>
      </w:r>
      <w:r w:rsidRPr="00EA56DD">
        <w:rPr>
          <w:rFonts w:ascii="Times New Roman" w:hAnsi="Times New Roman" w:cs="Times New Roman"/>
          <w:noProof/>
          <w:sz w:val="24"/>
          <w:szCs w:val="24"/>
        </w:rPr>
        <w:t>, 1–13.</w:t>
      </w:r>
    </w:p>
    <w:p w14:paraId="713E8F2F" w14:textId="0807F8F6" w:rsidR="00D972C2" w:rsidRPr="00D972C2" w:rsidRDefault="00D972C2" w:rsidP="007B3F99">
      <w:pPr>
        <w:pStyle w:val="EndNoteBibliography"/>
        <w:spacing w:after="0" w:line="480" w:lineRule="auto"/>
        <w:ind w:left="720" w:hanging="720"/>
        <w:rPr>
          <w:rFonts w:ascii="Times New Roman" w:hAnsi="Times New Roman" w:cs="Times New Roman"/>
          <w:noProof/>
          <w:sz w:val="24"/>
          <w:szCs w:val="24"/>
        </w:rPr>
      </w:pPr>
      <w:r w:rsidRPr="008C4B82">
        <w:rPr>
          <w:rFonts w:ascii="Times New Roman" w:hAnsi="Times New Roman" w:cs="Times New Roman"/>
          <w:sz w:val="24"/>
          <w:szCs w:val="24"/>
        </w:rPr>
        <w:t xml:space="preserve">Räsänen, P., Lappalainen, Muotka, J., Tolvanen, A. &amp; Lappalainen, R. (2016). An online guided ACT intervention for enhancing the psychological wellbeing of university students: A randomized controlled clinical trial. </w:t>
      </w:r>
      <w:r w:rsidRPr="008C4B82">
        <w:rPr>
          <w:rFonts w:ascii="Times New Roman" w:hAnsi="Times New Roman" w:cs="Times New Roman"/>
          <w:i/>
          <w:iCs/>
          <w:sz w:val="24"/>
          <w:szCs w:val="24"/>
        </w:rPr>
        <w:t>Behaviour Research and Therapy, 78</w:t>
      </w:r>
      <w:r w:rsidRPr="008C4B82">
        <w:rPr>
          <w:rFonts w:ascii="Times New Roman" w:hAnsi="Times New Roman" w:cs="Times New Roman"/>
          <w:sz w:val="24"/>
          <w:szCs w:val="24"/>
        </w:rPr>
        <w:t>, 30-42.</w:t>
      </w:r>
    </w:p>
    <w:p w14:paraId="238C85B2" w14:textId="32430870" w:rsidR="007B3F99" w:rsidRPr="00EA56DD" w:rsidRDefault="007B3F99" w:rsidP="007B3F99">
      <w:pPr>
        <w:pStyle w:val="EndNoteBibliography"/>
        <w:spacing w:after="0" w:line="480" w:lineRule="auto"/>
        <w:ind w:left="720" w:hanging="720"/>
        <w:rPr>
          <w:rFonts w:ascii="Times New Roman" w:hAnsi="Times New Roman" w:cs="Times New Roman"/>
          <w:noProof/>
          <w:sz w:val="24"/>
          <w:szCs w:val="24"/>
        </w:rPr>
      </w:pPr>
      <w:r w:rsidRPr="00EA56DD">
        <w:rPr>
          <w:rFonts w:ascii="Times New Roman" w:hAnsi="Times New Roman" w:cs="Times New Roman"/>
          <w:noProof/>
          <w:sz w:val="24"/>
          <w:szCs w:val="24"/>
        </w:rPr>
        <w:t xml:space="preserve">Richards, D., &amp; Richardson, T. (2012). Computer-based psychological treatments for depression: A systematic review and meta-analysis. </w:t>
      </w:r>
      <w:r w:rsidRPr="00EA56DD">
        <w:rPr>
          <w:rFonts w:ascii="Times New Roman" w:hAnsi="Times New Roman" w:cs="Times New Roman"/>
          <w:i/>
          <w:noProof/>
          <w:sz w:val="24"/>
          <w:szCs w:val="24"/>
        </w:rPr>
        <w:t>Clinical Psychology Review, 32</w:t>
      </w:r>
      <w:r w:rsidRPr="00EA56DD">
        <w:rPr>
          <w:rFonts w:ascii="Times New Roman" w:hAnsi="Times New Roman" w:cs="Times New Roman"/>
          <w:noProof/>
          <w:sz w:val="24"/>
          <w:szCs w:val="24"/>
        </w:rPr>
        <w:t>(4), 329-342. doi:https://doi.org/10.1016/j.cpr.2012.02.004</w:t>
      </w:r>
    </w:p>
    <w:p w14:paraId="2C9EF8E2" w14:textId="14F79B6A" w:rsidR="008F162F" w:rsidRPr="00EA56DD" w:rsidRDefault="008F162F" w:rsidP="00D07DA1">
      <w:pPr>
        <w:pStyle w:val="EndNoteBibliography"/>
        <w:spacing w:after="0" w:line="480" w:lineRule="auto"/>
        <w:ind w:left="720" w:hanging="720"/>
        <w:contextualSpacing/>
        <w:rPr>
          <w:rFonts w:ascii="Times New Roman" w:hAnsi="Times New Roman" w:cs="Times New Roman"/>
          <w:noProof/>
          <w:sz w:val="24"/>
          <w:szCs w:val="24"/>
        </w:rPr>
      </w:pPr>
      <w:bookmarkStart w:id="1" w:name="_Hlk46600344"/>
      <w:r w:rsidRPr="00EA56DD">
        <w:rPr>
          <w:rFonts w:ascii="Times New Roman" w:hAnsi="Times New Roman" w:cs="Times New Roman"/>
          <w:noProof/>
          <w:sz w:val="24"/>
          <w:szCs w:val="24"/>
        </w:rPr>
        <w:t xml:space="preserve">Shim, M., Mahaffey, B., Bleidistel, M. &amp; Gonzalez, A. (2017). A scoping review of human-support factors in the context of Internet-based psychological interventions (IPIs) for depression and anxiety disorders. </w:t>
      </w:r>
      <w:r w:rsidRPr="00EA56DD">
        <w:rPr>
          <w:rFonts w:ascii="Times New Roman" w:hAnsi="Times New Roman" w:cs="Times New Roman"/>
          <w:i/>
          <w:noProof/>
          <w:sz w:val="24"/>
          <w:szCs w:val="24"/>
        </w:rPr>
        <w:t>Clinical Psychology Review, 57</w:t>
      </w:r>
      <w:r w:rsidRPr="00EA56DD">
        <w:rPr>
          <w:rFonts w:ascii="Times New Roman" w:hAnsi="Times New Roman" w:cs="Times New Roman"/>
          <w:noProof/>
          <w:sz w:val="24"/>
          <w:szCs w:val="24"/>
        </w:rPr>
        <w:t>, 129-140.</w:t>
      </w:r>
    </w:p>
    <w:bookmarkEnd w:id="1"/>
    <w:p w14:paraId="792B0E5A" w14:textId="77777777" w:rsidR="00A3661A" w:rsidRPr="00EA56DD" w:rsidRDefault="00D07DA1" w:rsidP="00A3661A">
      <w:pPr>
        <w:pStyle w:val="EndNoteBibliography"/>
        <w:spacing w:after="0"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Spek, V., Cuijpers, P., Nyklícek, I., Riper, H., Keyzer, J. &amp; Pop, V. (2007). Internet-based cognitive behaviour therapy for symptoms of depression and anxiety: A meta-analysis. </w:t>
      </w:r>
      <w:r w:rsidRPr="00EA56DD">
        <w:rPr>
          <w:rFonts w:ascii="Times New Roman" w:hAnsi="Times New Roman" w:cs="Times New Roman"/>
          <w:i/>
          <w:sz w:val="24"/>
          <w:szCs w:val="24"/>
        </w:rPr>
        <w:t>Psychological Medicine, 37</w:t>
      </w:r>
      <w:r w:rsidRPr="00EA56DD">
        <w:rPr>
          <w:rFonts w:ascii="Times New Roman" w:hAnsi="Times New Roman" w:cs="Times New Roman"/>
          <w:sz w:val="24"/>
          <w:szCs w:val="24"/>
        </w:rPr>
        <w:t>, 319-328.</w:t>
      </w:r>
    </w:p>
    <w:p w14:paraId="30A6A8F4" w14:textId="4F97447B" w:rsidR="00A3661A" w:rsidRPr="00EA56DD" w:rsidRDefault="00A3661A" w:rsidP="00A3661A">
      <w:pPr>
        <w:pStyle w:val="EndNoteBibliography"/>
        <w:spacing w:after="0" w:line="480" w:lineRule="auto"/>
        <w:ind w:left="720" w:hanging="720"/>
        <w:rPr>
          <w:rFonts w:ascii="Times New Roman" w:hAnsi="Times New Roman" w:cs="Times New Roman"/>
          <w:sz w:val="24"/>
          <w:szCs w:val="24"/>
        </w:rPr>
      </w:pPr>
      <w:r w:rsidRPr="005B4989">
        <w:rPr>
          <w:rFonts w:ascii="Times New Roman" w:hAnsi="Times New Roman" w:cs="Times New Roman"/>
          <w:sz w:val="24"/>
          <w:szCs w:val="24"/>
        </w:rPr>
        <w:t xml:space="preserve">Thompson, E.M., Destree, L., Albertella, L. &amp; Fontenelle, L.F. (In Press). Internet-based acceptance and commitment therapy: A transdiagnostic systematic review and meta-analysis for mental health outcome. </w:t>
      </w:r>
      <w:r w:rsidRPr="005B4989">
        <w:rPr>
          <w:rFonts w:ascii="Times New Roman" w:hAnsi="Times New Roman" w:cs="Times New Roman"/>
          <w:i/>
          <w:iCs/>
          <w:sz w:val="24"/>
          <w:szCs w:val="24"/>
        </w:rPr>
        <w:t>Behavior Therapy.</w:t>
      </w:r>
    </w:p>
    <w:p w14:paraId="51FE84EC" w14:textId="6492CF84" w:rsidR="00D23528" w:rsidRPr="00EA56DD" w:rsidRDefault="00D23528" w:rsidP="00D23528">
      <w:pPr>
        <w:pStyle w:val="EndNoteBibliography"/>
        <w:spacing w:after="0"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Titov, N., Dear, B.F., Johnston, L., Lorian, C., Zou, J., Wootton, B., … Rapee, R.M. (2013). Improving adherence and clinical outcomes in self-guided internet treatment for anxiety and depression: randomised controlled trial. </w:t>
      </w:r>
      <w:r w:rsidRPr="00EA56DD">
        <w:rPr>
          <w:rFonts w:ascii="Times New Roman" w:hAnsi="Times New Roman" w:cs="Times New Roman"/>
          <w:i/>
          <w:sz w:val="24"/>
          <w:szCs w:val="24"/>
        </w:rPr>
        <w:t>PloS One</w:t>
      </w:r>
      <w:r w:rsidRPr="00EA56DD">
        <w:rPr>
          <w:rFonts w:ascii="Times New Roman" w:hAnsi="Times New Roman" w:cs="Times New Roman"/>
          <w:sz w:val="24"/>
          <w:szCs w:val="24"/>
        </w:rPr>
        <w:t xml:space="preserve">, </w:t>
      </w:r>
      <w:r w:rsidRPr="00EA56DD">
        <w:rPr>
          <w:rFonts w:ascii="Times New Roman" w:hAnsi="Times New Roman" w:cs="Times New Roman"/>
          <w:i/>
          <w:sz w:val="24"/>
          <w:szCs w:val="24"/>
        </w:rPr>
        <w:t>8</w:t>
      </w:r>
      <w:r w:rsidRPr="00EA56DD">
        <w:rPr>
          <w:rFonts w:ascii="Times New Roman" w:hAnsi="Times New Roman" w:cs="Times New Roman"/>
          <w:sz w:val="24"/>
          <w:szCs w:val="24"/>
        </w:rPr>
        <w:t>, e62873.</w:t>
      </w:r>
    </w:p>
    <w:p w14:paraId="6D375807" w14:textId="550A61A3" w:rsidR="00D07DA1" w:rsidRPr="00EA56DD" w:rsidRDefault="00D07DA1" w:rsidP="00D07DA1">
      <w:pPr>
        <w:pStyle w:val="EndNoteBibliography"/>
        <w:spacing w:line="480" w:lineRule="auto"/>
        <w:ind w:left="720" w:hanging="720"/>
        <w:rPr>
          <w:rFonts w:ascii="Times New Roman" w:hAnsi="Times New Roman" w:cs="Times New Roman"/>
          <w:sz w:val="24"/>
          <w:szCs w:val="24"/>
        </w:rPr>
      </w:pPr>
      <w:r w:rsidRPr="00EA56DD">
        <w:rPr>
          <w:rFonts w:ascii="Times New Roman" w:hAnsi="Times New Roman" w:cs="Times New Roman"/>
          <w:sz w:val="24"/>
          <w:szCs w:val="24"/>
        </w:rPr>
        <w:t xml:space="preserve">Titov, N., Fogliati, V.J., Staples, L.G., Gandy, M., Johnston, M., Wootton, B., … Dear, B.F. (2016). Treating anxiety and depression in older adults: Randomised controlled trial </w:t>
      </w:r>
      <w:r w:rsidRPr="00EA56DD">
        <w:rPr>
          <w:rFonts w:ascii="Times New Roman" w:hAnsi="Times New Roman" w:cs="Times New Roman"/>
          <w:sz w:val="24"/>
          <w:szCs w:val="24"/>
        </w:rPr>
        <w:lastRenderedPageBreak/>
        <w:t xml:space="preserve">comparing guided v. self-guided internet-delivered cognitive-behavioural therapy. </w:t>
      </w:r>
      <w:r w:rsidRPr="00EA56DD">
        <w:rPr>
          <w:rFonts w:ascii="Times New Roman" w:hAnsi="Times New Roman" w:cs="Times New Roman"/>
          <w:i/>
          <w:sz w:val="24"/>
          <w:szCs w:val="24"/>
        </w:rPr>
        <w:t>BJ Psych Open, 2</w:t>
      </w:r>
      <w:r w:rsidRPr="00EA56DD">
        <w:rPr>
          <w:rFonts w:ascii="Times New Roman" w:hAnsi="Times New Roman" w:cs="Times New Roman"/>
          <w:sz w:val="24"/>
          <w:szCs w:val="24"/>
        </w:rPr>
        <w:t>, 50-58.</w:t>
      </w:r>
    </w:p>
    <w:p w14:paraId="0A509AD6" w14:textId="49CC48D3" w:rsidR="00EB6033" w:rsidRPr="00EA56DD" w:rsidRDefault="00EB6033" w:rsidP="00D07DA1">
      <w:pPr>
        <w:pStyle w:val="EndNoteBibliography"/>
        <w:spacing w:line="480" w:lineRule="auto"/>
        <w:ind w:left="720" w:hanging="720"/>
        <w:rPr>
          <w:rFonts w:ascii="Times New Roman" w:hAnsi="Times New Roman" w:cs="Times New Roman"/>
          <w:noProof/>
          <w:sz w:val="24"/>
          <w:szCs w:val="24"/>
        </w:rPr>
      </w:pPr>
      <w:r w:rsidRPr="00EA56DD">
        <w:rPr>
          <w:rFonts w:ascii="Times New Roman" w:hAnsi="Times New Roman" w:cs="Times New Roman"/>
          <w:sz w:val="24"/>
          <w:szCs w:val="24"/>
          <w:shd w:val="clear" w:color="auto" w:fill="FFFFFF"/>
        </w:rPr>
        <w:t>Wojtowicz, M., Day, V., &amp; McGrath, P. J. (2013). Predictors of participant retention in a guided online self-help program for university students: prospective cohort study. </w:t>
      </w:r>
      <w:r w:rsidRPr="00EA56DD">
        <w:rPr>
          <w:rFonts w:ascii="Times New Roman" w:hAnsi="Times New Roman" w:cs="Times New Roman"/>
          <w:i/>
          <w:iCs/>
          <w:sz w:val="24"/>
          <w:szCs w:val="24"/>
          <w:shd w:val="clear" w:color="auto" w:fill="FFFFFF"/>
        </w:rPr>
        <w:t>Journal of Medical Internet Research</w:t>
      </w:r>
      <w:r w:rsidRPr="00EA56DD">
        <w:rPr>
          <w:rFonts w:ascii="Times New Roman" w:hAnsi="Times New Roman" w:cs="Times New Roman"/>
          <w:sz w:val="24"/>
          <w:szCs w:val="24"/>
          <w:shd w:val="clear" w:color="auto" w:fill="FFFFFF"/>
        </w:rPr>
        <w:t>, </w:t>
      </w:r>
      <w:r w:rsidRPr="00EA56DD">
        <w:rPr>
          <w:rFonts w:ascii="Times New Roman" w:hAnsi="Times New Roman" w:cs="Times New Roman"/>
          <w:i/>
          <w:iCs/>
          <w:sz w:val="24"/>
          <w:szCs w:val="24"/>
          <w:shd w:val="clear" w:color="auto" w:fill="FFFFFF"/>
        </w:rPr>
        <w:t>15</w:t>
      </w:r>
      <w:r w:rsidRPr="00EA56DD">
        <w:rPr>
          <w:rFonts w:ascii="Times New Roman" w:hAnsi="Times New Roman" w:cs="Times New Roman"/>
          <w:sz w:val="24"/>
          <w:szCs w:val="24"/>
          <w:shd w:val="clear" w:color="auto" w:fill="FFFFFF"/>
        </w:rPr>
        <w:t>(5), e96.</w:t>
      </w:r>
    </w:p>
    <w:p w14:paraId="3821CA55" w14:textId="77777777" w:rsidR="007B3F99" w:rsidRPr="007B3F99" w:rsidRDefault="007B3F99" w:rsidP="007B3F99">
      <w:pPr>
        <w:spacing w:after="0" w:line="480" w:lineRule="auto"/>
        <w:rPr>
          <w:rFonts w:ascii="Times New Roman" w:eastAsia="Times New Roman" w:hAnsi="Times New Roman" w:cs="Times New Roman"/>
          <w:sz w:val="24"/>
          <w:szCs w:val="24"/>
        </w:rPr>
      </w:pPr>
      <w:r w:rsidRPr="00EA56DD">
        <w:rPr>
          <w:rFonts w:ascii="Times New Roman" w:eastAsia="Times New Roman" w:hAnsi="Times New Roman" w:cs="Times New Roman"/>
          <w:sz w:val="24"/>
          <w:szCs w:val="24"/>
        </w:rPr>
        <w:fldChar w:fldCharType="end"/>
      </w:r>
    </w:p>
    <w:p w14:paraId="62AB7247" w14:textId="59A710DC" w:rsidR="00CA012C" w:rsidRPr="00296B78" w:rsidRDefault="00CA012C" w:rsidP="007B3F99">
      <w:r w:rsidRPr="00296B78">
        <w:br w:type="page"/>
      </w:r>
    </w:p>
    <w:p w14:paraId="664BEC20" w14:textId="15421146" w:rsidR="00CA012C" w:rsidRPr="00296B78" w:rsidRDefault="00D65BF3" w:rsidP="002E5A05">
      <w:pPr>
        <w:spacing w:after="0"/>
        <w:rPr>
          <w:rFonts w:ascii="Times New Roman" w:hAnsi="Times New Roman" w:cs="Times New Roman"/>
        </w:rPr>
      </w:pPr>
      <w:r w:rsidRPr="00296B78">
        <w:rPr>
          <w:rFonts w:ascii="Times New Roman" w:hAnsi="Times New Roman" w:cs="Times New Roman"/>
        </w:rPr>
        <w:lastRenderedPageBreak/>
        <w:t xml:space="preserve">Table 1. </w:t>
      </w:r>
      <w:r w:rsidR="00A03D4D">
        <w:rPr>
          <w:rFonts w:ascii="Times New Roman" w:hAnsi="Times New Roman" w:cs="Times New Roman"/>
        </w:rPr>
        <w:t>Estimated marginal means</w:t>
      </w:r>
      <w:r w:rsidR="003F2E25" w:rsidRPr="00296B78">
        <w:rPr>
          <w:rFonts w:ascii="Times New Roman" w:hAnsi="Times New Roman" w:cs="Times New Roman"/>
        </w:rPr>
        <w:t xml:space="preserve"> based on MMRM results with the full intent-to-treat sample.</w:t>
      </w:r>
    </w:p>
    <w:p w14:paraId="09AE7BC4" w14:textId="77777777" w:rsidR="00F3797A" w:rsidRPr="00296B78" w:rsidRDefault="00F3797A" w:rsidP="002E5A05">
      <w:pPr>
        <w:spacing w:after="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350"/>
        <w:gridCol w:w="1350"/>
        <w:gridCol w:w="1440"/>
        <w:gridCol w:w="1350"/>
        <w:gridCol w:w="1350"/>
        <w:gridCol w:w="1350"/>
        <w:gridCol w:w="90"/>
      </w:tblGrid>
      <w:tr w:rsidR="00356FA2" w:rsidRPr="00296B78" w14:paraId="1D7A3035" w14:textId="77777777" w:rsidTr="005B4989">
        <w:trPr>
          <w:gridAfter w:val="1"/>
          <w:wAfter w:w="90" w:type="dxa"/>
        </w:trPr>
        <w:tc>
          <w:tcPr>
            <w:tcW w:w="1080" w:type="dxa"/>
          </w:tcPr>
          <w:p w14:paraId="05CED683" w14:textId="77777777" w:rsidR="00356FA2" w:rsidRPr="00CC6882" w:rsidRDefault="00356FA2" w:rsidP="002E5A05">
            <w:pPr>
              <w:rPr>
                <w:rFonts w:ascii="Times New Roman" w:hAnsi="Times New Roman" w:cs="Times New Roman"/>
              </w:rPr>
            </w:pPr>
          </w:p>
        </w:tc>
        <w:tc>
          <w:tcPr>
            <w:tcW w:w="4140" w:type="dxa"/>
            <w:gridSpan w:val="3"/>
          </w:tcPr>
          <w:p w14:paraId="6B081DEE" w14:textId="77777777" w:rsidR="00356FA2" w:rsidRPr="00CC6882" w:rsidRDefault="00356FA2" w:rsidP="00CA012C">
            <w:pPr>
              <w:jc w:val="center"/>
              <w:rPr>
                <w:rFonts w:ascii="Times New Roman" w:hAnsi="Times New Roman" w:cs="Times New Roman"/>
              </w:rPr>
            </w:pPr>
            <w:r w:rsidRPr="00CC6882">
              <w:rPr>
                <w:rFonts w:ascii="Times New Roman" w:hAnsi="Times New Roman" w:cs="Times New Roman"/>
                <w:u w:val="single"/>
              </w:rPr>
              <w:t>Coaching (</w:t>
            </w:r>
            <w:r w:rsidRPr="00CC6882">
              <w:rPr>
                <w:rFonts w:ascii="Times New Roman" w:hAnsi="Times New Roman" w:cs="Times New Roman"/>
                <w:i/>
                <w:u w:val="single"/>
              </w:rPr>
              <w:t xml:space="preserve">n </w:t>
            </w:r>
            <w:r w:rsidRPr="00CC6882">
              <w:rPr>
                <w:rFonts w:ascii="Times New Roman" w:hAnsi="Times New Roman" w:cs="Times New Roman"/>
                <w:u w:val="single"/>
              </w:rPr>
              <w:t>= 68)</w:t>
            </w:r>
          </w:p>
        </w:tc>
        <w:tc>
          <w:tcPr>
            <w:tcW w:w="4050" w:type="dxa"/>
            <w:gridSpan w:val="3"/>
          </w:tcPr>
          <w:p w14:paraId="31711219" w14:textId="77777777" w:rsidR="00356FA2" w:rsidRPr="00CC6882" w:rsidRDefault="00356FA2" w:rsidP="00CA012C">
            <w:pPr>
              <w:jc w:val="center"/>
              <w:rPr>
                <w:rFonts w:ascii="Times New Roman" w:hAnsi="Times New Roman" w:cs="Times New Roman"/>
              </w:rPr>
            </w:pPr>
            <w:r w:rsidRPr="00CC6882">
              <w:rPr>
                <w:rFonts w:ascii="Times New Roman" w:hAnsi="Times New Roman" w:cs="Times New Roman"/>
                <w:u w:val="single"/>
              </w:rPr>
              <w:t>Non-Coaching (</w:t>
            </w:r>
            <w:r w:rsidRPr="00CC6882">
              <w:rPr>
                <w:rFonts w:ascii="Times New Roman" w:hAnsi="Times New Roman" w:cs="Times New Roman"/>
                <w:i/>
                <w:u w:val="single"/>
              </w:rPr>
              <w:t xml:space="preserve">n </w:t>
            </w:r>
            <w:r w:rsidRPr="00CC6882">
              <w:rPr>
                <w:rFonts w:ascii="Times New Roman" w:hAnsi="Times New Roman" w:cs="Times New Roman"/>
                <w:u w:val="single"/>
              </w:rPr>
              <w:t>= 68)</w:t>
            </w:r>
          </w:p>
        </w:tc>
      </w:tr>
      <w:tr w:rsidR="00356FA2" w:rsidRPr="00296B78" w14:paraId="75C98B35" w14:textId="77777777" w:rsidTr="005B4989">
        <w:trPr>
          <w:gridAfter w:val="1"/>
          <w:wAfter w:w="90" w:type="dxa"/>
        </w:trPr>
        <w:tc>
          <w:tcPr>
            <w:tcW w:w="1080" w:type="dxa"/>
            <w:tcBorders>
              <w:bottom w:val="single" w:sz="4" w:space="0" w:color="auto"/>
            </w:tcBorders>
          </w:tcPr>
          <w:p w14:paraId="73981CF8" w14:textId="77777777" w:rsidR="00356FA2" w:rsidRPr="00CC6882" w:rsidRDefault="00356FA2" w:rsidP="002E5A05">
            <w:pPr>
              <w:rPr>
                <w:rFonts w:ascii="Times New Roman" w:hAnsi="Times New Roman" w:cs="Times New Roman"/>
              </w:rPr>
            </w:pPr>
          </w:p>
        </w:tc>
        <w:tc>
          <w:tcPr>
            <w:tcW w:w="1350" w:type="dxa"/>
            <w:tcBorders>
              <w:bottom w:val="single" w:sz="4" w:space="0" w:color="auto"/>
            </w:tcBorders>
          </w:tcPr>
          <w:p w14:paraId="2D9C4D62" w14:textId="77777777" w:rsidR="00356FA2" w:rsidRPr="00CC6882" w:rsidRDefault="00356FA2" w:rsidP="002E5A05">
            <w:pPr>
              <w:rPr>
                <w:rFonts w:ascii="Times New Roman" w:hAnsi="Times New Roman" w:cs="Times New Roman"/>
              </w:rPr>
            </w:pPr>
            <w:proofErr w:type="gramStart"/>
            <w:r w:rsidRPr="00CC6882">
              <w:rPr>
                <w:rFonts w:ascii="Times New Roman" w:hAnsi="Times New Roman" w:cs="Times New Roman"/>
              </w:rPr>
              <w:t xml:space="preserve">Pre </w:t>
            </w:r>
            <w:r w:rsidRPr="00CC6882">
              <w:rPr>
                <w:rFonts w:ascii="Times New Roman" w:hAnsi="Times New Roman" w:cs="Times New Roman"/>
                <w:i/>
              </w:rPr>
              <w:t>M</w:t>
            </w:r>
            <w:proofErr w:type="gramEnd"/>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c>
          <w:tcPr>
            <w:tcW w:w="1350" w:type="dxa"/>
            <w:tcBorders>
              <w:bottom w:val="single" w:sz="4" w:space="0" w:color="auto"/>
            </w:tcBorders>
          </w:tcPr>
          <w:p w14:paraId="605162AB" w14:textId="77777777" w:rsidR="00356FA2" w:rsidRPr="00CC6882" w:rsidRDefault="00356FA2" w:rsidP="002E5A05">
            <w:pPr>
              <w:rPr>
                <w:rFonts w:ascii="Times New Roman" w:hAnsi="Times New Roman" w:cs="Times New Roman"/>
              </w:rPr>
            </w:pPr>
            <w:r w:rsidRPr="00CC6882">
              <w:rPr>
                <w:rFonts w:ascii="Times New Roman" w:hAnsi="Times New Roman" w:cs="Times New Roman"/>
              </w:rPr>
              <w:t xml:space="preserve">Post </w:t>
            </w:r>
            <w:r w:rsidRPr="00CC6882">
              <w:rPr>
                <w:rFonts w:ascii="Times New Roman" w:hAnsi="Times New Roman" w:cs="Times New Roman"/>
                <w:i/>
              </w:rPr>
              <w:t>M</w:t>
            </w:r>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c>
          <w:tcPr>
            <w:tcW w:w="1440" w:type="dxa"/>
            <w:tcBorders>
              <w:bottom w:val="single" w:sz="4" w:space="0" w:color="auto"/>
            </w:tcBorders>
          </w:tcPr>
          <w:p w14:paraId="2D43318F" w14:textId="77777777" w:rsidR="00356FA2" w:rsidRPr="00CC6882" w:rsidRDefault="00356FA2" w:rsidP="002E5A05">
            <w:pPr>
              <w:rPr>
                <w:rFonts w:ascii="Times New Roman" w:hAnsi="Times New Roman" w:cs="Times New Roman"/>
              </w:rPr>
            </w:pPr>
            <w:r w:rsidRPr="00CC6882">
              <w:rPr>
                <w:rFonts w:ascii="Times New Roman" w:hAnsi="Times New Roman" w:cs="Times New Roman"/>
              </w:rPr>
              <w:t xml:space="preserve">FU </w:t>
            </w:r>
            <w:r w:rsidRPr="00CC6882">
              <w:rPr>
                <w:rFonts w:ascii="Times New Roman" w:hAnsi="Times New Roman" w:cs="Times New Roman"/>
                <w:i/>
              </w:rPr>
              <w:t>M</w:t>
            </w:r>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c>
          <w:tcPr>
            <w:tcW w:w="1350" w:type="dxa"/>
            <w:tcBorders>
              <w:bottom w:val="single" w:sz="4" w:space="0" w:color="auto"/>
            </w:tcBorders>
          </w:tcPr>
          <w:p w14:paraId="05D102F6" w14:textId="77777777" w:rsidR="00356FA2" w:rsidRPr="00CC6882" w:rsidRDefault="00356FA2" w:rsidP="002E5A05">
            <w:pPr>
              <w:rPr>
                <w:rFonts w:ascii="Times New Roman" w:hAnsi="Times New Roman" w:cs="Times New Roman"/>
              </w:rPr>
            </w:pPr>
            <w:proofErr w:type="gramStart"/>
            <w:r w:rsidRPr="00CC6882">
              <w:rPr>
                <w:rFonts w:ascii="Times New Roman" w:hAnsi="Times New Roman" w:cs="Times New Roman"/>
              </w:rPr>
              <w:t xml:space="preserve">Pre </w:t>
            </w:r>
            <w:r w:rsidRPr="00CC6882">
              <w:rPr>
                <w:rFonts w:ascii="Times New Roman" w:hAnsi="Times New Roman" w:cs="Times New Roman"/>
                <w:i/>
              </w:rPr>
              <w:t>M</w:t>
            </w:r>
            <w:proofErr w:type="gramEnd"/>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c>
          <w:tcPr>
            <w:tcW w:w="1350" w:type="dxa"/>
            <w:tcBorders>
              <w:bottom w:val="single" w:sz="4" w:space="0" w:color="auto"/>
            </w:tcBorders>
          </w:tcPr>
          <w:p w14:paraId="3E6B39D6" w14:textId="77777777" w:rsidR="00356FA2" w:rsidRPr="00CC6882" w:rsidRDefault="00356FA2" w:rsidP="002E5A05">
            <w:pPr>
              <w:rPr>
                <w:rFonts w:ascii="Times New Roman" w:hAnsi="Times New Roman" w:cs="Times New Roman"/>
              </w:rPr>
            </w:pPr>
            <w:r w:rsidRPr="00CC6882">
              <w:rPr>
                <w:rFonts w:ascii="Times New Roman" w:hAnsi="Times New Roman" w:cs="Times New Roman"/>
              </w:rPr>
              <w:t xml:space="preserve">Post </w:t>
            </w:r>
            <w:r w:rsidRPr="00CC6882">
              <w:rPr>
                <w:rFonts w:ascii="Times New Roman" w:hAnsi="Times New Roman" w:cs="Times New Roman"/>
                <w:i/>
              </w:rPr>
              <w:t>M</w:t>
            </w:r>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c>
          <w:tcPr>
            <w:tcW w:w="1350" w:type="dxa"/>
            <w:tcBorders>
              <w:bottom w:val="single" w:sz="4" w:space="0" w:color="auto"/>
            </w:tcBorders>
          </w:tcPr>
          <w:p w14:paraId="32968F80" w14:textId="77777777" w:rsidR="00356FA2" w:rsidRPr="00CC6882" w:rsidRDefault="00356FA2" w:rsidP="002E5A05">
            <w:pPr>
              <w:rPr>
                <w:rFonts w:ascii="Times New Roman" w:hAnsi="Times New Roman" w:cs="Times New Roman"/>
              </w:rPr>
            </w:pPr>
            <w:r w:rsidRPr="00CC6882">
              <w:rPr>
                <w:rFonts w:ascii="Times New Roman" w:hAnsi="Times New Roman" w:cs="Times New Roman"/>
              </w:rPr>
              <w:t xml:space="preserve">FU </w:t>
            </w:r>
            <w:r w:rsidRPr="00CC6882">
              <w:rPr>
                <w:rFonts w:ascii="Times New Roman" w:hAnsi="Times New Roman" w:cs="Times New Roman"/>
                <w:i/>
              </w:rPr>
              <w:t>M</w:t>
            </w:r>
            <w:r w:rsidRPr="00CC6882">
              <w:rPr>
                <w:rFonts w:ascii="Times New Roman" w:hAnsi="Times New Roman" w:cs="Times New Roman"/>
              </w:rPr>
              <w:t>(</w:t>
            </w:r>
            <w:r w:rsidRPr="00CC6882">
              <w:rPr>
                <w:rFonts w:ascii="Times New Roman" w:hAnsi="Times New Roman" w:cs="Times New Roman"/>
                <w:i/>
              </w:rPr>
              <w:t>SE</w:t>
            </w:r>
            <w:r w:rsidRPr="00CC6882">
              <w:rPr>
                <w:rFonts w:ascii="Times New Roman" w:hAnsi="Times New Roman" w:cs="Times New Roman"/>
              </w:rPr>
              <w:t>)</w:t>
            </w:r>
          </w:p>
        </w:tc>
      </w:tr>
      <w:tr w:rsidR="00356FA2" w:rsidRPr="00296B78" w14:paraId="09EFA3BC" w14:textId="77777777" w:rsidTr="005B4989">
        <w:tc>
          <w:tcPr>
            <w:tcW w:w="9360" w:type="dxa"/>
            <w:gridSpan w:val="8"/>
            <w:tcBorders>
              <w:top w:val="single" w:sz="4" w:space="0" w:color="auto"/>
            </w:tcBorders>
          </w:tcPr>
          <w:p w14:paraId="4FEE7447" w14:textId="77777777" w:rsidR="00356FA2" w:rsidRPr="00CC6882" w:rsidRDefault="00356FA2" w:rsidP="002E5A05">
            <w:pPr>
              <w:rPr>
                <w:rFonts w:ascii="Times New Roman" w:hAnsi="Times New Roman" w:cs="Times New Roman"/>
                <w:i/>
              </w:rPr>
            </w:pPr>
            <w:r w:rsidRPr="00CC6882">
              <w:rPr>
                <w:rFonts w:ascii="Times New Roman" w:hAnsi="Times New Roman" w:cs="Times New Roman"/>
                <w:i/>
              </w:rPr>
              <w:t>Outcome Variables</w:t>
            </w:r>
          </w:p>
        </w:tc>
      </w:tr>
      <w:tr w:rsidR="00356FA2" w:rsidRPr="00296B78" w14:paraId="5D38698A" w14:textId="77777777" w:rsidTr="005B4989">
        <w:trPr>
          <w:gridAfter w:val="1"/>
          <w:wAfter w:w="90" w:type="dxa"/>
        </w:trPr>
        <w:tc>
          <w:tcPr>
            <w:tcW w:w="1080" w:type="dxa"/>
          </w:tcPr>
          <w:p w14:paraId="6BB4F92D" w14:textId="77777777" w:rsidR="00356FA2" w:rsidRDefault="00356FA2" w:rsidP="00CA012C">
            <w:pPr>
              <w:rPr>
                <w:rFonts w:ascii="Times New Roman" w:hAnsi="Times New Roman" w:cs="Times New Roman"/>
              </w:rPr>
            </w:pPr>
            <w:r w:rsidRPr="00CC6882">
              <w:rPr>
                <w:rFonts w:ascii="Times New Roman" w:hAnsi="Times New Roman" w:cs="Times New Roman"/>
              </w:rPr>
              <w:t>CCAPS</w:t>
            </w:r>
          </w:p>
          <w:p w14:paraId="496911E7" w14:textId="4FB84828" w:rsidR="00356FA2" w:rsidRPr="00CC6882" w:rsidRDefault="00356FA2" w:rsidP="00CA012C">
            <w:pPr>
              <w:rPr>
                <w:rFonts w:ascii="Times New Roman" w:hAnsi="Times New Roman" w:cs="Times New Roman"/>
              </w:rPr>
            </w:pPr>
          </w:p>
        </w:tc>
        <w:tc>
          <w:tcPr>
            <w:tcW w:w="1350" w:type="dxa"/>
          </w:tcPr>
          <w:p w14:paraId="5EE0A402"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1.74 (.08)</w:t>
            </w:r>
          </w:p>
        </w:tc>
        <w:tc>
          <w:tcPr>
            <w:tcW w:w="1350" w:type="dxa"/>
          </w:tcPr>
          <w:p w14:paraId="6B00B970"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1.07 (.08)</w:t>
            </w:r>
          </w:p>
        </w:tc>
        <w:tc>
          <w:tcPr>
            <w:tcW w:w="1440" w:type="dxa"/>
          </w:tcPr>
          <w:p w14:paraId="15D7004A"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.94 (.09)</w:t>
            </w:r>
          </w:p>
        </w:tc>
        <w:tc>
          <w:tcPr>
            <w:tcW w:w="1350" w:type="dxa"/>
          </w:tcPr>
          <w:p w14:paraId="7432E16F"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1.88 (.08)</w:t>
            </w:r>
          </w:p>
        </w:tc>
        <w:tc>
          <w:tcPr>
            <w:tcW w:w="1350" w:type="dxa"/>
          </w:tcPr>
          <w:p w14:paraId="5EFF5543"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1.29 (.08)</w:t>
            </w:r>
          </w:p>
        </w:tc>
        <w:tc>
          <w:tcPr>
            <w:tcW w:w="1350" w:type="dxa"/>
          </w:tcPr>
          <w:p w14:paraId="0476C196"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1.20 (.09)</w:t>
            </w:r>
          </w:p>
        </w:tc>
      </w:tr>
      <w:tr w:rsidR="00356FA2" w:rsidRPr="00296B78" w14:paraId="12F00FBF" w14:textId="77777777" w:rsidTr="005B4989">
        <w:trPr>
          <w:gridAfter w:val="1"/>
          <w:wAfter w:w="90" w:type="dxa"/>
        </w:trPr>
        <w:tc>
          <w:tcPr>
            <w:tcW w:w="1080" w:type="dxa"/>
          </w:tcPr>
          <w:p w14:paraId="4FB1451C" w14:textId="77777777" w:rsidR="00356FA2" w:rsidRDefault="00356FA2" w:rsidP="00CA012C">
            <w:pPr>
              <w:rPr>
                <w:rFonts w:ascii="Times New Roman" w:hAnsi="Times New Roman" w:cs="Times New Roman"/>
              </w:rPr>
            </w:pPr>
            <w:r w:rsidRPr="00CC6882">
              <w:rPr>
                <w:rFonts w:ascii="Times New Roman" w:hAnsi="Times New Roman" w:cs="Times New Roman"/>
              </w:rPr>
              <w:t>MHC</w:t>
            </w:r>
          </w:p>
          <w:p w14:paraId="5835BD15" w14:textId="18C81A9A" w:rsidR="00356FA2" w:rsidRPr="00CC6882" w:rsidRDefault="00356FA2" w:rsidP="00CA012C">
            <w:pPr>
              <w:rPr>
                <w:rFonts w:ascii="Times New Roman" w:hAnsi="Times New Roman" w:cs="Times New Roman"/>
              </w:rPr>
            </w:pPr>
          </w:p>
        </w:tc>
        <w:tc>
          <w:tcPr>
            <w:tcW w:w="1350" w:type="dxa"/>
          </w:tcPr>
          <w:p w14:paraId="20A3A253"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52.72 (1.60)</w:t>
            </w:r>
          </w:p>
        </w:tc>
        <w:tc>
          <w:tcPr>
            <w:tcW w:w="1350" w:type="dxa"/>
          </w:tcPr>
          <w:p w14:paraId="40971FDF"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60.97 (1.60)</w:t>
            </w:r>
          </w:p>
        </w:tc>
        <w:tc>
          <w:tcPr>
            <w:tcW w:w="1440" w:type="dxa"/>
          </w:tcPr>
          <w:p w14:paraId="00AE8010"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62.15 (1.72)</w:t>
            </w:r>
          </w:p>
        </w:tc>
        <w:tc>
          <w:tcPr>
            <w:tcW w:w="1350" w:type="dxa"/>
          </w:tcPr>
          <w:p w14:paraId="41739551"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49.00 (1.60)</w:t>
            </w:r>
          </w:p>
        </w:tc>
        <w:tc>
          <w:tcPr>
            <w:tcW w:w="1350" w:type="dxa"/>
          </w:tcPr>
          <w:p w14:paraId="0A34246A"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53.92 (1.62)</w:t>
            </w:r>
          </w:p>
        </w:tc>
        <w:tc>
          <w:tcPr>
            <w:tcW w:w="1350" w:type="dxa"/>
          </w:tcPr>
          <w:p w14:paraId="0D65A93D"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55.53 (1.76)</w:t>
            </w:r>
          </w:p>
        </w:tc>
      </w:tr>
      <w:tr w:rsidR="00CA012C" w:rsidRPr="00296B78" w14:paraId="65F9E04F" w14:textId="77777777" w:rsidTr="005B4989">
        <w:trPr>
          <w:trHeight w:val="54"/>
        </w:trPr>
        <w:tc>
          <w:tcPr>
            <w:tcW w:w="9360" w:type="dxa"/>
            <w:gridSpan w:val="8"/>
          </w:tcPr>
          <w:p w14:paraId="1E98C63D" w14:textId="77777777" w:rsidR="00CA012C" w:rsidRPr="00CC6882" w:rsidRDefault="00CA012C" w:rsidP="00CA012C">
            <w:pPr>
              <w:rPr>
                <w:rFonts w:ascii="Times New Roman" w:hAnsi="Times New Roman" w:cs="Times New Roman"/>
                <w:i/>
              </w:rPr>
            </w:pPr>
            <w:r w:rsidRPr="00CC6882">
              <w:rPr>
                <w:rFonts w:ascii="Times New Roman" w:hAnsi="Times New Roman" w:cs="Times New Roman"/>
                <w:i/>
              </w:rPr>
              <w:t>Process Variables</w:t>
            </w:r>
          </w:p>
        </w:tc>
      </w:tr>
      <w:tr w:rsidR="00356FA2" w:rsidRPr="00296B78" w14:paraId="2B5961DC" w14:textId="77777777" w:rsidTr="005B4989">
        <w:trPr>
          <w:gridAfter w:val="1"/>
          <w:wAfter w:w="90" w:type="dxa"/>
        </w:trPr>
        <w:tc>
          <w:tcPr>
            <w:tcW w:w="1080" w:type="dxa"/>
          </w:tcPr>
          <w:p w14:paraId="65DBE59D" w14:textId="77777777" w:rsidR="00356FA2" w:rsidRDefault="00356FA2" w:rsidP="00CA012C">
            <w:pPr>
              <w:rPr>
                <w:rFonts w:ascii="Times New Roman" w:hAnsi="Times New Roman" w:cs="Times New Roman"/>
              </w:rPr>
            </w:pPr>
            <w:r w:rsidRPr="00CC6882">
              <w:rPr>
                <w:rFonts w:ascii="Times New Roman" w:hAnsi="Times New Roman" w:cs="Times New Roman"/>
              </w:rPr>
              <w:t>AAQ</w:t>
            </w:r>
          </w:p>
          <w:p w14:paraId="3E1F21D9" w14:textId="5EB521BB" w:rsidR="00356FA2" w:rsidRPr="00CC6882" w:rsidRDefault="00356FA2" w:rsidP="00CA012C">
            <w:pPr>
              <w:rPr>
                <w:rFonts w:ascii="Times New Roman" w:hAnsi="Times New Roman" w:cs="Times New Roman"/>
              </w:rPr>
            </w:pPr>
          </w:p>
        </w:tc>
        <w:tc>
          <w:tcPr>
            <w:tcW w:w="1350" w:type="dxa"/>
          </w:tcPr>
          <w:p w14:paraId="4B6251EE"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29.40 (.96)</w:t>
            </w:r>
          </w:p>
        </w:tc>
        <w:tc>
          <w:tcPr>
            <w:tcW w:w="1350" w:type="dxa"/>
          </w:tcPr>
          <w:p w14:paraId="15EDF7F9"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22.26 (.98)</w:t>
            </w:r>
          </w:p>
        </w:tc>
        <w:tc>
          <w:tcPr>
            <w:tcW w:w="1440" w:type="dxa"/>
          </w:tcPr>
          <w:p w14:paraId="654EBD22"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21.63 (1.11)</w:t>
            </w:r>
          </w:p>
        </w:tc>
        <w:tc>
          <w:tcPr>
            <w:tcW w:w="1350" w:type="dxa"/>
          </w:tcPr>
          <w:p w14:paraId="18BAAB9A"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29.27 (.96)</w:t>
            </w:r>
          </w:p>
        </w:tc>
        <w:tc>
          <w:tcPr>
            <w:tcW w:w="1350" w:type="dxa"/>
          </w:tcPr>
          <w:p w14:paraId="4C55FC26"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25.56 (.99)</w:t>
            </w:r>
          </w:p>
        </w:tc>
        <w:tc>
          <w:tcPr>
            <w:tcW w:w="1350" w:type="dxa"/>
          </w:tcPr>
          <w:p w14:paraId="19B72968"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23.34 (1.14)</w:t>
            </w:r>
          </w:p>
        </w:tc>
      </w:tr>
      <w:tr w:rsidR="00356FA2" w:rsidRPr="00296B78" w14:paraId="4347EFF5" w14:textId="77777777" w:rsidTr="005B4989">
        <w:trPr>
          <w:gridAfter w:val="1"/>
          <w:wAfter w:w="90" w:type="dxa"/>
        </w:trPr>
        <w:tc>
          <w:tcPr>
            <w:tcW w:w="1080" w:type="dxa"/>
          </w:tcPr>
          <w:p w14:paraId="0BA1E170" w14:textId="77777777" w:rsidR="00356FA2" w:rsidRDefault="00356FA2" w:rsidP="00CA012C">
            <w:pPr>
              <w:rPr>
                <w:rFonts w:ascii="Times New Roman" w:hAnsi="Times New Roman" w:cs="Times New Roman"/>
              </w:rPr>
            </w:pPr>
            <w:r w:rsidRPr="00CC6882">
              <w:rPr>
                <w:rFonts w:ascii="Times New Roman" w:hAnsi="Times New Roman" w:cs="Times New Roman"/>
              </w:rPr>
              <w:t>CFQ</w:t>
            </w:r>
          </w:p>
          <w:p w14:paraId="1F0BF596" w14:textId="40049A57" w:rsidR="00356FA2" w:rsidRPr="00CC6882" w:rsidRDefault="00356FA2" w:rsidP="00CA012C">
            <w:pPr>
              <w:rPr>
                <w:rFonts w:ascii="Times New Roman" w:hAnsi="Times New Roman" w:cs="Times New Roman"/>
              </w:rPr>
            </w:pPr>
          </w:p>
        </w:tc>
        <w:tc>
          <w:tcPr>
            <w:tcW w:w="1350" w:type="dxa"/>
          </w:tcPr>
          <w:p w14:paraId="28D94BF8"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32.81 (1.06)</w:t>
            </w:r>
          </w:p>
        </w:tc>
        <w:tc>
          <w:tcPr>
            <w:tcW w:w="1350" w:type="dxa"/>
          </w:tcPr>
          <w:p w14:paraId="33441FB8"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24.47 (1.09)</w:t>
            </w:r>
          </w:p>
        </w:tc>
        <w:tc>
          <w:tcPr>
            <w:tcW w:w="1440" w:type="dxa"/>
          </w:tcPr>
          <w:p w14:paraId="57819947"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23.30 (1.19)</w:t>
            </w:r>
          </w:p>
        </w:tc>
        <w:tc>
          <w:tcPr>
            <w:tcW w:w="1350" w:type="dxa"/>
          </w:tcPr>
          <w:p w14:paraId="21E224EB"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34.24 (1.06)</w:t>
            </w:r>
          </w:p>
        </w:tc>
        <w:tc>
          <w:tcPr>
            <w:tcW w:w="1350" w:type="dxa"/>
          </w:tcPr>
          <w:p w14:paraId="7BAF02F7"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27.96 (1.10)</w:t>
            </w:r>
          </w:p>
        </w:tc>
        <w:tc>
          <w:tcPr>
            <w:tcW w:w="1350" w:type="dxa"/>
          </w:tcPr>
          <w:p w14:paraId="0411B565" w14:textId="77777777" w:rsidR="00356FA2" w:rsidRPr="00CC6882" w:rsidRDefault="00356FA2" w:rsidP="00CA012C">
            <w:pPr>
              <w:rPr>
                <w:rFonts w:ascii="Times New Roman" w:hAnsi="Times New Roman" w:cs="Times New Roman"/>
              </w:rPr>
            </w:pPr>
            <w:r w:rsidRPr="00CC6882">
              <w:rPr>
                <w:rFonts w:ascii="Times New Roman" w:hAnsi="Times New Roman" w:cs="Times New Roman"/>
              </w:rPr>
              <w:t>25.44 (1.22)</w:t>
            </w:r>
          </w:p>
        </w:tc>
      </w:tr>
      <w:tr w:rsidR="00356FA2" w:rsidRPr="00296B78" w14:paraId="117055BF" w14:textId="77777777" w:rsidTr="005B4989">
        <w:trPr>
          <w:gridAfter w:val="1"/>
          <w:wAfter w:w="90" w:type="dxa"/>
        </w:trPr>
        <w:tc>
          <w:tcPr>
            <w:tcW w:w="1080" w:type="dxa"/>
          </w:tcPr>
          <w:p w14:paraId="588A7BE3" w14:textId="77777777" w:rsidR="00356FA2" w:rsidRDefault="00356FA2" w:rsidP="00474296">
            <w:pPr>
              <w:rPr>
                <w:rFonts w:ascii="Times New Roman" w:hAnsi="Times New Roman" w:cs="Times New Roman"/>
              </w:rPr>
            </w:pPr>
            <w:r w:rsidRPr="00CC6882">
              <w:rPr>
                <w:rFonts w:ascii="Times New Roman" w:hAnsi="Times New Roman" w:cs="Times New Roman"/>
              </w:rPr>
              <w:t>PHLMS</w:t>
            </w:r>
          </w:p>
          <w:p w14:paraId="39CD5B74" w14:textId="5C523364" w:rsidR="00356FA2" w:rsidRPr="00CC6882" w:rsidRDefault="00356FA2" w:rsidP="00474296">
            <w:pPr>
              <w:rPr>
                <w:rFonts w:ascii="Times New Roman" w:hAnsi="Times New Roman" w:cs="Times New Roman"/>
              </w:rPr>
            </w:pPr>
          </w:p>
        </w:tc>
        <w:tc>
          <w:tcPr>
            <w:tcW w:w="1350" w:type="dxa"/>
          </w:tcPr>
          <w:p w14:paraId="163A35A1"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35.60 (.91)</w:t>
            </w:r>
          </w:p>
        </w:tc>
        <w:tc>
          <w:tcPr>
            <w:tcW w:w="1350" w:type="dxa"/>
          </w:tcPr>
          <w:p w14:paraId="522815B6"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27.12 (.98)</w:t>
            </w:r>
          </w:p>
        </w:tc>
        <w:tc>
          <w:tcPr>
            <w:tcW w:w="1440" w:type="dxa"/>
          </w:tcPr>
          <w:p w14:paraId="66D5D81B"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25.83 (1.07)</w:t>
            </w:r>
          </w:p>
        </w:tc>
        <w:tc>
          <w:tcPr>
            <w:tcW w:w="1350" w:type="dxa"/>
          </w:tcPr>
          <w:p w14:paraId="34D080B7"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35.79 (.91)</w:t>
            </w:r>
          </w:p>
        </w:tc>
        <w:tc>
          <w:tcPr>
            <w:tcW w:w="1350" w:type="dxa"/>
          </w:tcPr>
          <w:p w14:paraId="3DE6BE74"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30.24 (.99)</w:t>
            </w:r>
          </w:p>
        </w:tc>
        <w:tc>
          <w:tcPr>
            <w:tcW w:w="1350" w:type="dxa"/>
          </w:tcPr>
          <w:p w14:paraId="5825370A"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28.12 (1.10)</w:t>
            </w:r>
          </w:p>
        </w:tc>
      </w:tr>
      <w:tr w:rsidR="00356FA2" w:rsidRPr="00296B78" w14:paraId="70B5C5AA" w14:textId="77777777" w:rsidTr="005B4989">
        <w:trPr>
          <w:gridAfter w:val="1"/>
          <w:wAfter w:w="90" w:type="dxa"/>
        </w:trPr>
        <w:tc>
          <w:tcPr>
            <w:tcW w:w="1080" w:type="dxa"/>
          </w:tcPr>
          <w:p w14:paraId="781B09CE" w14:textId="77777777" w:rsidR="00356FA2" w:rsidRDefault="00356FA2" w:rsidP="00474296">
            <w:pPr>
              <w:rPr>
                <w:rFonts w:ascii="Times New Roman" w:hAnsi="Times New Roman" w:cs="Times New Roman"/>
              </w:rPr>
            </w:pPr>
            <w:r w:rsidRPr="00CC6882">
              <w:rPr>
                <w:rFonts w:ascii="Times New Roman" w:hAnsi="Times New Roman" w:cs="Times New Roman"/>
              </w:rPr>
              <w:t>VQ-</w:t>
            </w:r>
            <w:proofErr w:type="spellStart"/>
            <w:r w:rsidRPr="00CC6882">
              <w:rPr>
                <w:rFonts w:ascii="Times New Roman" w:hAnsi="Times New Roman" w:cs="Times New Roman"/>
              </w:rPr>
              <w:t>Obs</w:t>
            </w:r>
            <w:proofErr w:type="spellEnd"/>
          </w:p>
          <w:p w14:paraId="1D96361D" w14:textId="53BF9745" w:rsidR="00356FA2" w:rsidRPr="00CC6882" w:rsidRDefault="00356FA2" w:rsidP="00474296">
            <w:pPr>
              <w:rPr>
                <w:rFonts w:ascii="Times New Roman" w:hAnsi="Times New Roman" w:cs="Times New Roman"/>
              </w:rPr>
            </w:pPr>
          </w:p>
        </w:tc>
        <w:tc>
          <w:tcPr>
            <w:tcW w:w="1350" w:type="dxa"/>
          </w:tcPr>
          <w:p w14:paraId="26A6B314"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21.25 (.77)</w:t>
            </w:r>
          </w:p>
        </w:tc>
        <w:tc>
          <w:tcPr>
            <w:tcW w:w="1350" w:type="dxa"/>
          </w:tcPr>
          <w:p w14:paraId="6430D71D"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15.83 (.78)</w:t>
            </w:r>
          </w:p>
        </w:tc>
        <w:tc>
          <w:tcPr>
            <w:tcW w:w="1440" w:type="dxa"/>
          </w:tcPr>
          <w:p w14:paraId="40B94D00"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14.87 (.73)</w:t>
            </w:r>
          </w:p>
        </w:tc>
        <w:tc>
          <w:tcPr>
            <w:tcW w:w="1350" w:type="dxa"/>
          </w:tcPr>
          <w:p w14:paraId="1FCBCE32"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22.00 (.77)</w:t>
            </w:r>
          </w:p>
        </w:tc>
        <w:tc>
          <w:tcPr>
            <w:tcW w:w="1350" w:type="dxa"/>
          </w:tcPr>
          <w:p w14:paraId="68B21BCB"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18.05 (.79)</w:t>
            </w:r>
          </w:p>
        </w:tc>
        <w:tc>
          <w:tcPr>
            <w:tcW w:w="1350" w:type="dxa"/>
          </w:tcPr>
          <w:p w14:paraId="13E12D77"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16.90 (.75)</w:t>
            </w:r>
          </w:p>
        </w:tc>
      </w:tr>
      <w:tr w:rsidR="00356FA2" w:rsidRPr="00296B78" w14:paraId="24C40BC3" w14:textId="77777777" w:rsidTr="005B4989">
        <w:trPr>
          <w:gridAfter w:val="1"/>
          <w:wAfter w:w="90" w:type="dxa"/>
        </w:trPr>
        <w:tc>
          <w:tcPr>
            <w:tcW w:w="1080" w:type="dxa"/>
          </w:tcPr>
          <w:p w14:paraId="753F993D" w14:textId="77777777" w:rsidR="00356FA2" w:rsidRDefault="00356FA2" w:rsidP="00474296">
            <w:pPr>
              <w:rPr>
                <w:rFonts w:ascii="Times New Roman" w:hAnsi="Times New Roman" w:cs="Times New Roman"/>
              </w:rPr>
            </w:pPr>
            <w:r w:rsidRPr="00CC6882">
              <w:rPr>
                <w:rFonts w:ascii="Times New Roman" w:hAnsi="Times New Roman" w:cs="Times New Roman"/>
              </w:rPr>
              <w:t>VQ-Pro</w:t>
            </w:r>
          </w:p>
          <w:p w14:paraId="086CF0D0" w14:textId="40541893" w:rsidR="00356FA2" w:rsidRPr="00CC6882" w:rsidRDefault="00356FA2" w:rsidP="00474296">
            <w:pPr>
              <w:rPr>
                <w:rFonts w:ascii="Times New Roman" w:hAnsi="Times New Roman" w:cs="Times New Roman"/>
              </w:rPr>
            </w:pPr>
          </w:p>
        </w:tc>
        <w:tc>
          <w:tcPr>
            <w:tcW w:w="1350" w:type="dxa"/>
          </w:tcPr>
          <w:p w14:paraId="565F1E53"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22.18 (.70)</w:t>
            </w:r>
          </w:p>
        </w:tc>
        <w:tc>
          <w:tcPr>
            <w:tcW w:w="1350" w:type="dxa"/>
          </w:tcPr>
          <w:p w14:paraId="1A1B29ED"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25.22 (.72)</w:t>
            </w:r>
          </w:p>
        </w:tc>
        <w:tc>
          <w:tcPr>
            <w:tcW w:w="1440" w:type="dxa"/>
          </w:tcPr>
          <w:p w14:paraId="1F241F6C"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25.74 (.73)</w:t>
            </w:r>
          </w:p>
        </w:tc>
        <w:tc>
          <w:tcPr>
            <w:tcW w:w="1350" w:type="dxa"/>
          </w:tcPr>
          <w:p w14:paraId="47D64029"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20.18 (.70)</w:t>
            </w:r>
          </w:p>
        </w:tc>
        <w:tc>
          <w:tcPr>
            <w:tcW w:w="1350" w:type="dxa"/>
          </w:tcPr>
          <w:p w14:paraId="01683B24"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23.56 (.73)</w:t>
            </w:r>
          </w:p>
        </w:tc>
        <w:tc>
          <w:tcPr>
            <w:tcW w:w="1350" w:type="dxa"/>
          </w:tcPr>
          <w:p w14:paraId="16B18A2E"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23.80 (.75)</w:t>
            </w:r>
          </w:p>
        </w:tc>
      </w:tr>
      <w:tr w:rsidR="00356FA2" w:rsidRPr="00296B78" w14:paraId="2691E18D" w14:textId="77777777" w:rsidTr="005B4989">
        <w:trPr>
          <w:gridAfter w:val="1"/>
          <w:wAfter w:w="90" w:type="dxa"/>
        </w:trPr>
        <w:tc>
          <w:tcPr>
            <w:tcW w:w="1080" w:type="dxa"/>
            <w:tcBorders>
              <w:bottom w:val="single" w:sz="4" w:space="0" w:color="auto"/>
            </w:tcBorders>
          </w:tcPr>
          <w:p w14:paraId="1003F848"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CAQ</w:t>
            </w:r>
          </w:p>
        </w:tc>
        <w:tc>
          <w:tcPr>
            <w:tcW w:w="1350" w:type="dxa"/>
            <w:tcBorders>
              <w:bottom w:val="single" w:sz="4" w:space="0" w:color="auto"/>
            </w:tcBorders>
          </w:tcPr>
          <w:p w14:paraId="03589DBA"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35.66 (.87)</w:t>
            </w:r>
          </w:p>
        </w:tc>
        <w:tc>
          <w:tcPr>
            <w:tcW w:w="1350" w:type="dxa"/>
            <w:tcBorders>
              <w:bottom w:val="single" w:sz="4" w:space="0" w:color="auto"/>
            </w:tcBorders>
          </w:tcPr>
          <w:p w14:paraId="79A7AB8E"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39.49 (.81)</w:t>
            </w:r>
          </w:p>
        </w:tc>
        <w:tc>
          <w:tcPr>
            <w:tcW w:w="1440" w:type="dxa"/>
            <w:tcBorders>
              <w:bottom w:val="single" w:sz="4" w:space="0" w:color="auto"/>
            </w:tcBorders>
          </w:tcPr>
          <w:p w14:paraId="306D4F43"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39.66 (.87)</w:t>
            </w:r>
          </w:p>
        </w:tc>
        <w:tc>
          <w:tcPr>
            <w:tcW w:w="1350" w:type="dxa"/>
            <w:tcBorders>
              <w:bottom w:val="single" w:sz="4" w:space="0" w:color="auto"/>
            </w:tcBorders>
          </w:tcPr>
          <w:p w14:paraId="6C868DBC"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33.96 (.87)</w:t>
            </w:r>
          </w:p>
        </w:tc>
        <w:tc>
          <w:tcPr>
            <w:tcW w:w="1350" w:type="dxa"/>
            <w:tcBorders>
              <w:bottom w:val="single" w:sz="4" w:space="0" w:color="auto"/>
            </w:tcBorders>
          </w:tcPr>
          <w:p w14:paraId="00F861AF"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38.10 (.82)</w:t>
            </w:r>
          </w:p>
        </w:tc>
        <w:tc>
          <w:tcPr>
            <w:tcW w:w="1350" w:type="dxa"/>
            <w:tcBorders>
              <w:bottom w:val="single" w:sz="4" w:space="0" w:color="auto"/>
            </w:tcBorders>
          </w:tcPr>
          <w:p w14:paraId="53C817C4" w14:textId="77777777" w:rsidR="00356FA2" w:rsidRPr="00CC6882" w:rsidRDefault="00356FA2" w:rsidP="00474296">
            <w:pPr>
              <w:rPr>
                <w:rFonts w:ascii="Times New Roman" w:hAnsi="Times New Roman" w:cs="Times New Roman"/>
              </w:rPr>
            </w:pPr>
            <w:r w:rsidRPr="00CC6882">
              <w:rPr>
                <w:rFonts w:ascii="Times New Roman" w:hAnsi="Times New Roman" w:cs="Times New Roman"/>
              </w:rPr>
              <w:t>38.58 (.89)</w:t>
            </w:r>
          </w:p>
        </w:tc>
      </w:tr>
    </w:tbl>
    <w:p w14:paraId="458698E4" w14:textId="77777777" w:rsidR="00CA012C" w:rsidRPr="00296B78" w:rsidRDefault="00CA012C" w:rsidP="002E5A05">
      <w:pPr>
        <w:spacing w:after="0"/>
      </w:pPr>
    </w:p>
    <w:p w14:paraId="57A44548" w14:textId="77777777" w:rsidR="00D65BF3" w:rsidRPr="00296B78" w:rsidRDefault="00D65BF3">
      <w:r w:rsidRPr="00296B78">
        <w:br w:type="page"/>
      </w:r>
    </w:p>
    <w:p w14:paraId="5402CEEB" w14:textId="77777777" w:rsidR="000327A8" w:rsidRPr="00296B78" w:rsidRDefault="000327A8" w:rsidP="002E5A05">
      <w:pPr>
        <w:spacing w:after="0"/>
        <w:sectPr w:rsidR="000327A8" w:rsidRPr="00296B78">
          <w:headerReference w:type="default" r:id="rId9"/>
          <w:pgSz w:w="12240" w:h="15840"/>
          <w:pgMar w:top="1440" w:right="1440" w:bottom="1440" w:left="1440" w:header="720" w:footer="720" w:gutter="0"/>
          <w:cols w:space="720"/>
          <w:docGrid w:linePitch="360"/>
        </w:sectPr>
      </w:pPr>
    </w:p>
    <w:p w14:paraId="0AC8FF91" w14:textId="1CE3D959" w:rsidR="00D65BF3" w:rsidRPr="005B4989" w:rsidRDefault="00D65BF3" w:rsidP="002E5A05">
      <w:pPr>
        <w:spacing w:after="0"/>
        <w:rPr>
          <w:rFonts w:ascii="Times New Roman" w:hAnsi="Times New Roman" w:cs="Times New Roman"/>
          <w:sz w:val="24"/>
          <w:szCs w:val="24"/>
        </w:rPr>
      </w:pPr>
      <w:r w:rsidRPr="005B4989">
        <w:rPr>
          <w:rFonts w:ascii="Times New Roman" w:hAnsi="Times New Roman" w:cs="Times New Roman"/>
          <w:sz w:val="24"/>
          <w:szCs w:val="24"/>
        </w:rPr>
        <w:lastRenderedPageBreak/>
        <w:t xml:space="preserve">Table 2. MMRM </w:t>
      </w:r>
      <w:r w:rsidR="009008A0" w:rsidRPr="005B4989">
        <w:rPr>
          <w:rFonts w:ascii="Times New Roman" w:hAnsi="Times New Roman" w:cs="Times New Roman"/>
          <w:sz w:val="24"/>
          <w:szCs w:val="24"/>
        </w:rPr>
        <w:t>r</w:t>
      </w:r>
      <w:r w:rsidRPr="005B4989">
        <w:rPr>
          <w:rFonts w:ascii="Times New Roman" w:hAnsi="Times New Roman" w:cs="Times New Roman"/>
          <w:sz w:val="24"/>
          <w:szCs w:val="24"/>
        </w:rPr>
        <w:t xml:space="preserve">esults for </w:t>
      </w:r>
      <w:r w:rsidR="004042D5">
        <w:rPr>
          <w:rFonts w:ascii="Times New Roman" w:hAnsi="Times New Roman" w:cs="Times New Roman"/>
          <w:sz w:val="24"/>
          <w:szCs w:val="24"/>
        </w:rPr>
        <w:t>interaction</w:t>
      </w:r>
      <w:r w:rsidR="009008A0" w:rsidRPr="005B4989">
        <w:rPr>
          <w:rFonts w:ascii="Times New Roman" w:hAnsi="Times New Roman" w:cs="Times New Roman"/>
          <w:sz w:val="24"/>
          <w:szCs w:val="24"/>
        </w:rPr>
        <w:t xml:space="preserve"> </w:t>
      </w:r>
      <w:r w:rsidRPr="005B4989">
        <w:rPr>
          <w:rFonts w:ascii="Times New Roman" w:hAnsi="Times New Roman" w:cs="Times New Roman"/>
          <w:sz w:val="24"/>
          <w:szCs w:val="24"/>
        </w:rPr>
        <w:t>effects.</w:t>
      </w:r>
    </w:p>
    <w:p w14:paraId="63353018" w14:textId="457F9FA2" w:rsidR="00356FA2" w:rsidRDefault="00356FA2" w:rsidP="002E5A05">
      <w:pPr>
        <w:spacing w:after="0"/>
        <w:rPr>
          <w:rFonts w:ascii="Times New Roman" w:eastAsia="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90"/>
        <w:gridCol w:w="1620"/>
        <w:gridCol w:w="1530"/>
        <w:gridCol w:w="2960"/>
      </w:tblGrid>
      <w:tr w:rsidR="00274BF0" w14:paraId="6400EC7D" w14:textId="77777777" w:rsidTr="005B4989">
        <w:tc>
          <w:tcPr>
            <w:tcW w:w="1350" w:type="dxa"/>
          </w:tcPr>
          <w:p w14:paraId="1A21D214" w14:textId="77777777" w:rsidR="00274BF0" w:rsidRDefault="00274BF0" w:rsidP="002E5A05">
            <w:pPr>
              <w:rPr>
                <w:rFonts w:ascii="Times New Roman" w:hAnsi="Times New Roman" w:cs="Times New Roman"/>
              </w:rPr>
            </w:pPr>
          </w:p>
        </w:tc>
        <w:tc>
          <w:tcPr>
            <w:tcW w:w="1890" w:type="dxa"/>
          </w:tcPr>
          <w:p w14:paraId="1E850882" w14:textId="77777777" w:rsidR="00274BF0" w:rsidRPr="00296B78" w:rsidRDefault="00274BF0" w:rsidP="002E5A05">
            <w:pPr>
              <w:rPr>
                <w:rFonts w:ascii="Times New Roman" w:eastAsia="Times New Roman" w:hAnsi="Times New Roman" w:cs="Times New Roman"/>
              </w:rPr>
            </w:pPr>
          </w:p>
        </w:tc>
        <w:tc>
          <w:tcPr>
            <w:tcW w:w="3150" w:type="dxa"/>
            <w:gridSpan w:val="2"/>
          </w:tcPr>
          <w:p w14:paraId="63C834E3" w14:textId="1DF3D30B" w:rsidR="00274BF0" w:rsidRPr="005B4989" w:rsidRDefault="00274BF0" w:rsidP="005B4989">
            <w:pPr>
              <w:jc w:val="center"/>
              <w:rPr>
                <w:rFonts w:ascii="Times New Roman" w:hAnsi="Times New Roman" w:cs="Times New Roman"/>
                <w:u w:val="single"/>
              </w:rPr>
            </w:pPr>
            <w:r w:rsidRPr="005B4989">
              <w:rPr>
                <w:rFonts w:ascii="Times New Roman" w:hAnsi="Times New Roman" w:cs="Times New Roman"/>
                <w:u w:val="single"/>
              </w:rPr>
              <w:t>Between Condition Effect Sizes</w:t>
            </w:r>
          </w:p>
        </w:tc>
        <w:tc>
          <w:tcPr>
            <w:tcW w:w="2960" w:type="dxa"/>
          </w:tcPr>
          <w:p w14:paraId="12A1CB4C" w14:textId="77777777" w:rsidR="00274BF0" w:rsidRPr="00296B78" w:rsidRDefault="00274BF0" w:rsidP="002E5A05">
            <w:pPr>
              <w:rPr>
                <w:rFonts w:ascii="Times New Roman" w:eastAsia="Times New Roman" w:hAnsi="Times New Roman" w:cs="Times New Roman"/>
              </w:rPr>
            </w:pPr>
          </w:p>
        </w:tc>
      </w:tr>
      <w:tr w:rsidR="00C803C2" w14:paraId="3A2ABBE8" w14:textId="77777777" w:rsidTr="005B4989">
        <w:tc>
          <w:tcPr>
            <w:tcW w:w="1350" w:type="dxa"/>
            <w:tcBorders>
              <w:bottom w:val="single" w:sz="4" w:space="0" w:color="auto"/>
            </w:tcBorders>
          </w:tcPr>
          <w:p w14:paraId="06111257" w14:textId="77777777" w:rsidR="00C6422F" w:rsidRDefault="00C6422F" w:rsidP="002E5A05">
            <w:pPr>
              <w:rPr>
                <w:rFonts w:ascii="Times New Roman" w:hAnsi="Times New Roman" w:cs="Times New Roman"/>
              </w:rPr>
            </w:pPr>
          </w:p>
        </w:tc>
        <w:tc>
          <w:tcPr>
            <w:tcW w:w="1890" w:type="dxa"/>
            <w:tcBorders>
              <w:bottom w:val="single" w:sz="4" w:space="0" w:color="auto"/>
            </w:tcBorders>
          </w:tcPr>
          <w:p w14:paraId="57F947D4" w14:textId="167767D3" w:rsidR="00C6422F" w:rsidRDefault="00C6422F" w:rsidP="002E5A05">
            <w:pPr>
              <w:rPr>
                <w:rFonts w:ascii="Times New Roman" w:hAnsi="Times New Roman" w:cs="Times New Roman"/>
              </w:rPr>
            </w:pPr>
            <w:r w:rsidRPr="00296B78">
              <w:rPr>
                <w:rFonts w:ascii="Times New Roman" w:eastAsia="Times New Roman" w:hAnsi="Times New Roman" w:cs="Times New Roman"/>
              </w:rPr>
              <w:t>Time*</w:t>
            </w:r>
            <w:r w:rsidR="009008A0">
              <w:rPr>
                <w:rFonts w:ascii="Times New Roman" w:eastAsia="Times New Roman" w:hAnsi="Times New Roman" w:cs="Times New Roman"/>
              </w:rPr>
              <w:t>Coaching</w:t>
            </w:r>
            <w:r w:rsidRPr="00296B78">
              <w:rPr>
                <w:rFonts w:ascii="Times New Roman" w:eastAsia="Times New Roman" w:hAnsi="Times New Roman" w:cs="Times New Roman"/>
              </w:rPr>
              <w:t xml:space="preserve"> </w:t>
            </w:r>
            <w:r w:rsidRPr="00296B78">
              <w:rPr>
                <w:rFonts w:ascii="Times New Roman" w:eastAsia="Times New Roman" w:hAnsi="Times New Roman" w:cs="Times New Roman"/>
                <w:i/>
              </w:rPr>
              <w:t>F</w:t>
            </w:r>
          </w:p>
        </w:tc>
        <w:tc>
          <w:tcPr>
            <w:tcW w:w="1620" w:type="dxa"/>
            <w:tcBorders>
              <w:bottom w:val="single" w:sz="4" w:space="0" w:color="auto"/>
            </w:tcBorders>
          </w:tcPr>
          <w:p w14:paraId="3A22F41F" w14:textId="77777777" w:rsidR="004E63C0" w:rsidRDefault="00274BF0" w:rsidP="002E5A05">
            <w:pPr>
              <w:rPr>
                <w:rFonts w:ascii="Times New Roman" w:hAnsi="Times New Roman" w:cs="Times New Roman"/>
              </w:rPr>
            </w:pPr>
            <w:r w:rsidRPr="005B4989">
              <w:rPr>
                <w:rFonts w:ascii="Times New Roman" w:hAnsi="Times New Roman" w:cs="Times New Roman"/>
              </w:rPr>
              <w:t xml:space="preserve">Pre-Post </w:t>
            </w:r>
          </w:p>
          <w:p w14:paraId="11458103" w14:textId="06B84766" w:rsidR="00C6422F" w:rsidRPr="00C803C2" w:rsidRDefault="00C6422F" w:rsidP="004E63C0">
            <w:pPr>
              <w:rPr>
                <w:rFonts w:ascii="Times New Roman" w:hAnsi="Times New Roman" w:cs="Times New Roman"/>
              </w:rPr>
            </w:pPr>
            <w:r>
              <w:rPr>
                <w:rFonts w:ascii="Times New Roman" w:hAnsi="Times New Roman" w:cs="Times New Roman"/>
                <w:i/>
                <w:iCs/>
              </w:rPr>
              <w:t>d</w:t>
            </w:r>
            <w:r w:rsidR="00B961CE">
              <w:rPr>
                <w:rFonts w:ascii="Times New Roman" w:hAnsi="Times New Roman" w:cs="Times New Roman"/>
                <w:i/>
                <w:iCs/>
              </w:rPr>
              <w:t xml:space="preserve"> </w:t>
            </w:r>
            <w:r w:rsidR="00B961CE">
              <w:rPr>
                <w:rFonts w:ascii="Times New Roman" w:hAnsi="Times New Roman" w:cs="Times New Roman"/>
              </w:rPr>
              <w:t>(95% CI)</w:t>
            </w:r>
          </w:p>
        </w:tc>
        <w:tc>
          <w:tcPr>
            <w:tcW w:w="1530" w:type="dxa"/>
            <w:tcBorders>
              <w:bottom w:val="single" w:sz="4" w:space="0" w:color="auto"/>
            </w:tcBorders>
          </w:tcPr>
          <w:p w14:paraId="32730045" w14:textId="754AB2CF" w:rsidR="00C6422F" w:rsidRDefault="00C6422F" w:rsidP="004E63C0">
            <w:pPr>
              <w:rPr>
                <w:rFonts w:ascii="Times New Roman" w:hAnsi="Times New Roman" w:cs="Times New Roman"/>
              </w:rPr>
            </w:pPr>
            <w:r>
              <w:rPr>
                <w:rFonts w:ascii="Times New Roman" w:hAnsi="Times New Roman" w:cs="Times New Roman"/>
              </w:rPr>
              <w:t xml:space="preserve">Pre-Follow Up </w:t>
            </w:r>
            <w:r>
              <w:rPr>
                <w:rFonts w:ascii="Times New Roman" w:hAnsi="Times New Roman" w:cs="Times New Roman"/>
                <w:i/>
                <w:iCs/>
              </w:rPr>
              <w:t>d</w:t>
            </w:r>
            <w:r w:rsidR="004E63C0">
              <w:rPr>
                <w:rFonts w:ascii="Times New Roman" w:hAnsi="Times New Roman" w:cs="Times New Roman"/>
                <w:i/>
                <w:iCs/>
              </w:rPr>
              <w:t xml:space="preserve"> </w:t>
            </w:r>
            <w:r w:rsidR="00B961CE">
              <w:rPr>
                <w:rFonts w:ascii="Times New Roman" w:hAnsi="Times New Roman" w:cs="Times New Roman"/>
              </w:rPr>
              <w:t>(95% CI)</w:t>
            </w:r>
          </w:p>
        </w:tc>
        <w:tc>
          <w:tcPr>
            <w:tcW w:w="2960" w:type="dxa"/>
            <w:tcBorders>
              <w:bottom w:val="single" w:sz="4" w:space="0" w:color="auto"/>
            </w:tcBorders>
          </w:tcPr>
          <w:p w14:paraId="00DE290B" w14:textId="0B0DA029" w:rsidR="00C6422F" w:rsidRDefault="00C6422F" w:rsidP="002E5A05">
            <w:pPr>
              <w:rPr>
                <w:rFonts w:ascii="Times New Roman" w:hAnsi="Times New Roman" w:cs="Times New Roman"/>
              </w:rPr>
            </w:pPr>
            <w:r w:rsidRPr="00296B78">
              <w:rPr>
                <w:rFonts w:ascii="Times New Roman" w:eastAsia="Times New Roman" w:hAnsi="Times New Roman" w:cs="Times New Roman"/>
              </w:rPr>
              <w:t>Time*</w:t>
            </w:r>
            <w:r w:rsidR="009008A0">
              <w:rPr>
                <w:rFonts w:ascii="Times New Roman" w:eastAsia="Times New Roman" w:hAnsi="Times New Roman" w:cs="Times New Roman"/>
              </w:rPr>
              <w:t>Coaching</w:t>
            </w:r>
            <w:r>
              <w:rPr>
                <w:rFonts w:ascii="Times New Roman" w:eastAsia="Times New Roman" w:hAnsi="Times New Roman" w:cs="Times New Roman"/>
              </w:rPr>
              <w:t xml:space="preserve">*Component </w:t>
            </w:r>
            <w:r w:rsidRPr="00296B78">
              <w:rPr>
                <w:rFonts w:ascii="Times New Roman" w:eastAsia="Times New Roman" w:hAnsi="Times New Roman" w:cs="Times New Roman"/>
                <w:i/>
              </w:rPr>
              <w:t>F</w:t>
            </w:r>
          </w:p>
        </w:tc>
      </w:tr>
      <w:tr w:rsidR="009008A0" w14:paraId="0E2FB919" w14:textId="77777777" w:rsidTr="009D683D">
        <w:tc>
          <w:tcPr>
            <w:tcW w:w="9350" w:type="dxa"/>
            <w:gridSpan w:val="5"/>
            <w:tcBorders>
              <w:top w:val="single" w:sz="4" w:space="0" w:color="auto"/>
            </w:tcBorders>
          </w:tcPr>
          <w:p w14:paraId="0EE36DB6" w14:textId="68E7048E" w:rsidR="009008A0" w:rsidRDefault="009008A0" w:rsidP="002E5A05">
            <w:pPr>
              <w:rPr>
                <w:rFonts w:ascii="Times New Roman" w:hAnsi="Times New Roman" w:cs="Times New Roman"/>
              </w:rPr>
            </w:pPr>
            <w:r w:rsidRPr="00296B78">
              <w:rPr>
                <w:rFonts w:ascii="Times New Roman" w:eastAsia="Times New Roman" w:hAnsi="Times New Roman" w:cs="Times New Roman"/>
                <w:i/>
              </w:rPr>
              <w:t>Outcome Measures</w:t>
            </w:r>
          </w:p>
        </w:tc>
      </w:tr>
      <w:tr w:rsidR="00274BF0" w14:paraId="683099DC" w14:textId="77777777" w:rsidTr="005B4989">
        <w:tc>
          <w:tcPr>
            <w:tcW w:w="1350" w:type="dxa"/>
          </w:tcPr>
          <w:p w14:paraId="0A9510E9"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CCAPS</w:t>
            </w:r>
          </w:p>
          <w:p w14:paraId="52B7023E" w14:textId="1C086EF3" w:rsidR="009008A0" w:rsidRDefault="009008A0" w:rsidP="00343447">
            <w:pPr>
              <w:rPr>
                <w:rFonts w:ascii="Times New Roman" w:hAnsi="Times New Roman" w:cs="Times New Roman"/>
              </w:rPr>
            </w:pPr>
          </w:p>
        </w:tc>
        <w:tc>
          <w:tcPr>
            <w:tcW w:w="1890" w:type="dxa"/>
          </w:tcPr>
          <w:p w14:paraId="51DDEFAC" w14:textId="1B9467A1" w:rsidR="00343447" w:rsidRDefault="00343447" w:rsidP="00343447">
            <w:pPr>
              <w:rPr>
                <w:rFonts w:ascii="Times New Roman" w:hAnsi="Times New Roman" w:cs="Times New Roman"/>
              </w:rPr>
            </w:pPr>
            <w:r>
              <w:rPr>
                <w:rFonts w:ascii="Times New Roman" w:hAnsi="Times New Roman" w:cs="Times New Roman"/>
              </w:rPr>
              <w:t>.61</w:t>
            </w:r>
          </w:p>
        </w:tc>
        <w:tc>
          <w:tcPr>
            <w:tcW w:w="1620" w:type="dxa"/>
          </w:tcPr>
          <w:p w14:paraId="4A406995" w14:textId="50C0487A" w:rsidR="00343447" w:rsidRDefault="00274BF0" w:rsidP="00343447">
            <w:pPr>
              <w:rPr>
                <w:rFonts w:ascii="Times New Roman" w:hAnsi="Times New Roman" w:cs="Times New Roman"/>
              </w:rPr>
            </w:pPr>
            <w:r>
              <w:rPr>
                <w:rFonts w:ascii="Times New Roman" w:hAnsi="Times New Roman" w:cs="Times New Roman"/>
              </w:rPr>
              <w:t>.1</w:t>
            </w:r>
            <w:r w:rsidR="007B576F">
              <w:rPr>
                <w:rFonts w:ascii="Times New Roman" w:hAnsi="Times New Roman" w:cs="Times New Roman"/>
              </w:rPr>
              <w:t>5</w:t>
            </w:r>
            <w:r w:rsidR="0090368A">
              <w:rPr>
                <w:rFonts w:ascii="Times New Roman" w:hAnsi="Times New Roman" w:cs="Times New Roman"/>
              </w:rPr>
              <w:t xml:space="preserve"> (-.21, .50)</w:t>
            </w:r>
          </w:p>
        </w:tc>
        <w:tc>
          <w:tcPr>
            <w:tcW w:w="1530" w:type="dxa"/>
          </w:tcPr>
          <w:p w14:paraId="241F59A3" w14:textId="3F230A85" w:rsidR="00343447" w:rsidRDefault="00343447" w:rsidP="00343447">
            <w:pPr>
              <w:rPr>
                <w:rFonts w:ascii="Times New Roman" w:hAnsi="Times New Roman" w:cs="Times New Roman"/>
              </w:rPr>
            </w:pPr>
            <w:r>
              <w:rPr>
                <w:rFonts w:ascii="Times New Roman" w:hAnsi="Times New Roman" w:cs="Times New Roman"/>
              </w:rPr>
              <w:t>.</w:t>
            </w:r>
            <w:r w:rsidR="0090368A">
              <w:rPr>
                <w:rFonts w:ascii="Times New Roman" w:hAnsi="Times New Roman" w:cs="Times New Roman"/>
              </w:rPr>
              <w:t>20 (-.16, .56)</w:t>
            </w:r>
          </w:p>
        </w:tc>
        <w:tc>
          <w:tcPr>
            <w:tcW w:w="2960" w:type="dxa"/>
          </w:tcPr>
          <w:p w14:paraId="61BE9A41" w14:textId="3E61307F" w:rsidR="00343447" w:rsidRDefault="00056A17" w:rsidP="00343447">
            <w:pPr>
              <w:rPr>
                <w:rFonts w:ascii="Times New Roman" w:hAnsi="Times New Roman" w:cs="Times New Roman"/>
              </w:rPr>
            </w:pPr>
            <w:r>
              <w:rPr>
                <w:rFonts w:ascii="Times New Roman" w:hAnsi="Times New Roman" w:cs="Times New Roman"/>
              </w:rPr>
              <w:t>.89</w:t>
            </w:r>
          </w:p>
        </w:tc>
      </w:tr>
      <w:tr w:rsidR="00274BF0" w14:paraId="6C431666" w14:textId="77777777" w:rsidTr="005B4989">
        <w:tc>
          <w:tcPr>
            <w:tcW w:w="1350" w:type="dxa"/>
          </w:tcPr>
          <w:p w14:paraId="3AEBF3DB"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MHC</w:t>
            </w:r>
          </w:p>
          <w:p w14:paraId="2B8B7C7E" w14:textId="48E95844" w:rsidR="009008A0" w:rsidRDefault="009008A0" w:rsidP="00343447">
            <w:pPr>
              <w:rPr>
                <w:rFonts w:ascii="Times New Roman" w:hAnsi="Times New Roman" w:cs="Times New Roman"/>
              </w:rPr>
            </w:pPr>
          </w:p>
        </w:tc>
        <w:tc>
          <w:tcPr>
            <w:tcW w:w="1890" w:type="dxa"/>
          </w:tcPr>
          <w:p w14:paraId="2133B302" w14:textId="466242BD" w:rsidR="00343447" w:rsidRDefault="00343447" w:rsidP="00343447">
            <w:pPr>
              <w:rPr>
                <w:rFonts w:ascii="Times New Roman" w:hAnsi="Times New Roman" w:cs="Times New Roman"/>
              </w:rPr>
            </w:pPr>
            <w:r>
              <w:rPr>
                <w:rFonts w:ascii="Times New Roman" w:hAnsi="Times New Roman" w:cs="Times New Roman"/>
              </w:rPr>
              <w:t>1.70</w:t>
            </w:r>
          </w:p>
        </w:tc>
        <w:tc>
          <w:tcPr>
            <w:tcW w:w="1620" w:type="dxa"/>
          </w:tcPr>
          <w:p w14:paraId="57672745" w14:textId="3BC1B546" w:rsidR="00343447" w:rsidRDefault="00274BF0" w:rsidP="00343447">
            <w:pPr>
              <w:rPr>
                <w:rFonts w:ascii="Times New Roman" w:hAnsi="Times New Roman" w:cs="Times New Roman"/>
              </w:rPr>
            </w:pPr>
            <w:r>
              <w:rPr>
                <w:rFonts w:ascii="Times New Roman" w:hAnsi="Times New Roman" w:cs="Times New Roman"/>
              </w:rPr>
              <w:t>.33</w:t>
            </w:r>
            <w:r w:rsidR="0090368A">
              <w:rPr>
                <w:rFonts w:ascii="Times New Roman" w:hAnsi="Times New Roman" w:cs="Times New Roman"/>
              </w:rPr>
              <w:t xml:space="preserve"> (-.03, .68)</w:t>
            </w:r>
          </w:p>
        </w:tc>
        <w:tc>
          <w:tcPr>
            <w:tcW w:w="1530" w:type="dxa"/>
          </w:tcPr>
          <w:p w14:paraId="2B5A7036" w14:textId="051CB87F" w:rsidR="00343447" w:rsidRDefault="00343447" w:rsidP="00343447">
            <w:pPr>
              <w:rPr>
                <w:rFonts w:ascii="Times New Roman" w:hAnsi="Times New Roman" w:cs="Times New Roman"/>
              </w:rPr>
            </w:pPr>
            <w:r>
              <w:rPr>
                <w:rFonts w:ascii="Times New Roman" w:hAnsi="Times New Roman" w:cs="Times New Roman"/>
              </w:rPr>
              <w:t>.2</w:t>
            </w:r>
            <w:r w:rsidR="0090368A">
              <w:rPr>
                <w:rFonts w:ascii="Times New Roman" w:hAnsi="Times New Roman" w:cs="Times New Roman"/>
              </w:rPr>
              <w:t>7 (-.09, .64)</w:t>
            </w:r>
          </w:p>
        </w:tc>
        <w:tc>
          <w:tcPr>
            <w:tcW w:w="2960" w:type="dxa"/>
          </w:tcPr>
          <w:p w14:paraId="478FA1E8" w14:textId="479AAD3A" w:rsidR="00343447" w:rsidRDefault="00056A17" w:rsidP="00343447">
            <w:pPr>
              <w:rPr>
                <w:rFonts w:ascii="Times New Roman" w:hAnsi="Times New Roman" w:cs="Times New Roman"/>
              </w:rPr>
            </w:pPr>
            <w:r>
              <w:rPr>
                <w:rFonts w:ascii="Times New Roman" w:hAnsi="Times New Roman" w:cs="Times New Roman"/>
              </w:rPr>
              <w:t>.75</w:t>
            </w:r>
          </w:p>
        </w:tc>
      </w:tr>
      <w:tr w:rsidR="009008A0" w14:paraId="4C0A6BE9" w14:textId="77777777" w:rsidTr="009D683D">
        <w:tc>
          <w:tcPr>
            <w:tcW w:w="9350" w:type="dxa"/>
            <w:gridSpan w:val="5"/>
          </w:tcPr>
          <w:p w14:paraId="5F9AADCD" w14:textId="177C8EEF" w:rsidR="009008A0" w:rsidRDefault="009008A0" w:rsidP="00343447">
            <w:pPr>
              <w:rPr>
                <w:rFonts w:ascii="Times New Roman" w:hAnsi="Times New Roman" w:cs="Times New Roman"/>
              </w:rPr>
            </w:pPr>
            <w:r w:rsidRPr="00296B78">
              <w:rPr>
                <w:rFonts w:ascii="Times New Roman" w:eastAsia="Times New Roman" w:hAnsi="Times New Roman" w:cs="Times New Roman"/>
                <w:i/>
              </w:rPr>
              <w:t>Process Measure</w:t>
            </w:r>
            <w:r>
              <w:rPr>
                <w:rFonts w:ascii="Times New Roman" w:eastAsia="Times New Roman" w:hAnsi="Times New Roman" w:cs="Times New Roman"/>
                <w:i/>
              </w:rPr>
              <w:t>s</w:t>
            </w:r>
          </w:p>
        </w:tc>
      </w:tr>
      <w:tr w:rsidR="00274BF0" w14:paraId="693E844B" w14:textId="77777777" w:rsidTr="005B4989">
        <w:tc>
          <w:tcPr>
            <w:tcW w:w="1350" w:type="dxa"/>
          </w:tcPr>
          <w:p w14:paraId="0AEB4451"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AAQ-II</w:t>
            </w:r>
          </w:p>
          <w:p w14:paraId="46DAACB3" w14:textId="2A57F1FD" w:rsidR="009008A0" w:rsidRDefault="009008A0" w:rsidP="00343447">
            <w:pPr>
              <w:rPr>
                <w:rFonts w:ascii="Times New Roman" w:hAnsi="Times New Roman" w:cs="Times New Roman"/>
              </w:rPr>
            </w:pPr>
          </w:p>
        </w:tc>
        <w:tc>
          <w:tcPr>
            <w:tcW w:w="1890" w:type="dxa"/>
          </w:tcPr>
          <w:p w14:paraId="4E202DD0" w14:textId="11BD27DD" w:rsidR="00343447" w:rsidRDefault="00343447" w:rsidP="00343447">
            <w:pPr>
              <w:rPr>
                <w:rFonts w:ascii="Times New Roman" w:hAnsi="Times New Roman" w:cs="Times New Roman"/>
              </w:rPr>
            </w:pPr>
            <w:r>
              <w:rPr>
                <w:rFonts w:ascii="Times New Roman" w:hAnsi="Times New Roman" w:cs="Times New Roman"/>
              </w:rPr>
              <w:t>5.70**</w:t>
            </w:r>
          </w:p>
        </w:tc>
        <w:tc>
          <w:tcPr>
            <w:tcW w:w="1620" w:type="dxa"/>
          </w:tcPr>
          <w:p w14:paraId="438A55C9" w14:textId="271A4AFC" w:rsidR="00343447" w:rsidRDefault="00274BF0" w:rsidP="00343447">
            <w:pPr>
              <w:rPr>
                <w:rFonts w:ascii="Times New Roman" w:hAnsi="Times New Roman" w:cs="Times New Roman"/>
              </w:rPr>
            </w:pPr>
            <w:r>
              <w:rPr>
                <w:rFonts w:ascii="Times New Roman" w:hAnsi="Times New Roman" w:cs="Times New Roman"/>
              </w:rPr>
              <w:t>.5</w:t>
            </w:r>
            <w:r w:rsidR="0090368A">
              <w:rPr>
                <w:rFonts w:ascii="Times New Roman" w:hAnsi="Times New Roman" w:cs="Times New Roman"/>
              </w:rPr>
              <w:t>9 (.23, .94)</w:t>
            </w:r>
          </w:p>
        </w:tc>
        <w:tc>
          <w:tcPr>
            <w:tcW w:w="1530" w:type="dxa"/>
          </w:tcPr>
          <w:p w14:paraId="2D09D5F7" w14:textId="305AD140" w:rsidR="00343447" w:rsidRDefault="00343447" w:rsidP="00343447">
            <w:pPr>
              <w:rPr>
                <w:rFonts w:ascii="Times New Roman" w:hAnsi="Times New Roman" w:cs="Times New Roman"/>
              </w:rPr>
            </w:pPr>
            <w:r>
              <w:rPr>
                <w:rFonts w:ascii="Times New Roman" w:hAnsi="Times New Roman" w:cs="Times New Roman"/>
              </w:rPr>
              <w:t>.2</w:t>
            </w:r>
            <w:r w:rsidR="0090368A">
              <w:rPr>
                <w:rFonts w:ascii="Times New Roman" w:hAnsi="Times New Roman" w:cs="Times New Roman"/>
              </w:rPr>
              <w:t>7 (-.10, .63)</w:t>
            </w:r>
          </w:p>
        </w:tc>
        <w:tc>
          <w:tcPr>
            <w:tcW w:w="2960" w:type="dxa"/>
          </w:tcPr>
          <w:p w14:paraId="6D622551" w14:textId="44433119" w:rsidR="00343447" w:rsidRDefault="00056A17" w:rsidP="00343447">
            <w:pPr>
              <w:rPr>
                <w:rFonts w:ascii="Times New Roman" w:hAnsi="Times New Roman" w:cs="Times New Roman"/>
              </w:rPr>
            </w:pPr>
            <w:r>
              <w:rPr>
                <w:rFonts w:ascii="Times New Roman" w:hAnsi="Times New Roman" w:cs="Times New Roman"/>
              </w:rPr>
              <w:t>2.49*</w:t>
            </w:r>
          </w:p>
        </w:tc>
      </w:tr>
      <w:tr w:rsidR="00274BF0" w14:paraId="4817BCF2" w14:textId="77777777" w:rsidTr="005B4989">
        <w:tc>
          <w:tcPr>
            <w:tcW w:w="1350" w:type="dxa"/>
          </w:tcPr>
          <w:p w14:paraId="43A37D95"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CFQ</w:t>
            </w:r>
          </w:p>
          <w:p w14:paraId="1E66126E" w14:textId="71181326" w:rsidR="009008A0" w:rsidRDefault="009008A0" w:rsidP="00343447">
            <w:pPr>
              <w:rPr>
                <w:rFonts w:ascii="Times New Roman" w:hAnsi="Times New Roman" w:cs="Times New Roman"/>
              </w:rPr>
            </w:pPr>
          </w:p>
        </w:tc>
        <w:tc>
          <w:tcPr>
            <w:tcW w:w="1890" w:type="dxa"/>
          </w:tcPr>
          <w:p w14:paraId="4CDDCFFD" w14:textId="720DD714" w:rsidR="00343447" w:rsidRDefault="00343447" w:rsidP="00343447">
            <w:pPr>
              <w:rPr>
                <w:rFonts w:ascii="Times New Roman" w:hAnsi="Times New Roman" w:cs="Times New Roman"/>
              </w:rPr>
            </w:pPr>
            <w:r>
              <w:rPr>
                <w:rFonts w:ascii="Times New Roman" w:hAnsi="Times New Roman" w:cs="Times New Roman"/>
              </w:rPr>
              <w:t>1.24</w:t>
            </w:r>
          </w:p>
        </w:tc>
        <w:tc>
          <w:tcPr>
            <w:tcW w:w="1620" w:type="dxa"/>
          </w:tcPr>
          <w:p w14:paraId="7481086E" w14:textId="4D3BE888" w:rsidR="00343447" w:rsidRDefault="00274BF0" w:rsidP="00343447">
            <w:pPr>
              <w:rPr>
                <w:rFonts w:ascii="Times New Roman" w:hAnsi="Times New Roman" w:cs="Times New Roman"/>
              </w:rPr>
            </w:pPr>
            <w:r>
              <w:rPr>
                <w:rFonts w:ascii="Times New Roman" w:hAnsi="Times New Roman" w:cs="Times New Roman"/>
              </w:rPr>
              <w:t>.</w:t>
            </w:r>
            <w:r w:rsidR="0090368A">
              <w:rPr>
                <w:rFonts w:ascii="Times New Roman" w:hAnsi="Times New Roman" w:cs="Times New Roman"/>
              </w:rPr>
              <w:t>26 (-.10, .62)</w:t>
            </w:r>
          </w:p>
        </w:tc>
        <w:tc>
          <w:tcPr>
            <w:tcW w:w="1530" w:type="dxa"/>
          </w:tcPr>
          <w:p w14:paraId="152D56E7" w14:textId="4CB7981F" w:rsidR="00343447" w:rsidRDefault="00343447" w:rsidP="00343447">
            <w:pPr>
              <w:rPr>
                <w:rFonts w:ascii="Times New Roman" w:hAnsi="Times New Roman" w:cs="Times New Roman"/>
              </w:rPr>
            </w:pPr>
            <w:r>
              <w:rPr>
                <w:rFonts w:ascii="Times New Roman" w:hAnsi="Times New Roman" w:cs="Times New Roman"/>
              </w:rPr>
              <w:t>.0</w:t>
            </w:r>
            <w:r w:rsidR="0090368A">
              <w:rPr>
                <w:rFonts w:ascii="Times New Roman" w:hAnsi="Times New Roman" w:cs="Times New Roman"/>
              </w:rPr>
              <w:t>9 (-.28, .45)</w:t>
            </w:r>
          </w:p>
        </w:tc>
        <w:tc>
          <w:tcPr>
            <w:tcW w:w="2960" w:type="dxa"/>
          </w:tcPr>
          <w:p w14:paraId="076BA7F9" w14:textId="7A6667BB" w:rsidR="00343447" w:rsidRDefault="00056A17" w:rsidP="00343447">
            <w:pPr>
              <w:rPr>
                <w:rFonts w:ascii="Times New Roman" w:hAnsi="Times New Roman" w:cs="Times New Roman"/>
              </w:rPr>
            </w:pPr>
            <w:r>
              <w:rPr>
                <w:rFonts w:ascii="Times New Roman" w:hAnsi="Times New Roman" w:cs="Times New Roman"/>
              </w:rPr>
              <w:t>.97</w:t>
            </w:r>
          </w:p>
        </w:tc>
      </w:tr>
      <w:tr w:rsidR="009008A0" w14:paraId="4A98F87A" w14:textId="77777777" w:rsidTr="005B4989">
        <w:tc>
          <w:tcPr>
            <w:tcW w:w="1350" w:type="dxa"/>
          </w:tcPr>
          <w:p w14:paraId="1D886DFB"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PHLMS</w:t>
            </w:r>
          </w:p>
          <w:p w14:paraId="298B820E" w14:textId="32C7294E" w:rsidR="009008A0" w:rsidRDefault="009008A0" w:rsidP="00343447">
            <w:pPr>
              <w:rPr>
                <w:rFonts w:ascii="Times New Roman" w:hAnsi="Times New Roman" w:cs="Times New Roman"/>
              </w:rPr>
            </w:pPr>
          </w:p>
        </w:tc>
        <w:tc>
          <w:tcPr>
            <w:tcW w:w="1890" w:type="dxa"/>
          </w:tcPr>
          <w:p w14:paraId="68091505" w14:textId="726EC702" w:rsidR="00343447" w:rsidRDefault="00343447" w:rsidP="00343447">
            <w:pPr>
              <w:rPr>
                <w:rFonts w:ascii="Times New Roman" w:hAnsi="Times New Roman" w:cs="Times New Roman"/>
              </w:rPr>
            </w:pPr>
            <w:r>
              <w:rPr>
                <w:rFonts w:ascii="Times New Roman" w:hAnsi="Times New Roman" w:cs="Times New Roman"/>
              </w:rPr>
              <w:t>2.40</w:t>
            </w:r>
          </w:p>
        </w:tc>
        <w:tc>
          <w:tcPr>
            <w:tcW w:w="1620" w:type="dxa"/>
          </w:tcPr>
          <w:p w14:paraId="3F785B06" w14:textId="7AF6EEF3" w:rsidR="00343447" w:rsidRDefault="00274BF0" w:rsidP="00343447">
            <w:pPr>
              <w:rPr>
                <w:rFonts w:ascii="Times New Roman" w:hAnsi="Times New Roman" w:cs="Times New Roman"/>
              </w:rPr>
            </w:pPr>
            <w:r>
              <w:rPr>
                <w:rFonts w:ascii="Times New Roman" w:hAnsi="Times New Roman" w:cs="Times New Roman"/>
              </w:rPr>
              <w:t>.39</w:t>
            </w:r>
            <w:r w:rsidR="00B961CE">
              <w:rPr>
                <w:rFonts w:ascii="Times New Roman" w:hAnsi="Times New Roman" w:cs="Times New Roman"/>
              </w:rPr>
              <w:t xml:space="preserve"> (-.03, .74)</w:t>
            </w:r>
          </w:p>
        </w:tc>
        <w:tc>
          <w:tcPr>
            <w:tcW w:w="1530" w:type="dxa"/>
          </w:tcPr>
          <w:p w14:paraId="0748D8D7" w14:textId="1AB61722" w:rsidR="00343447" w:rsidRDefault="00343447" w:rsidP="00343447">
            <w:pPr>
              <w:rPr>
                <w:rFonts w:ascii="Times New Roman" w:hAnsi="Times New Roman" w:cs="Times New Roman"/>
              </w:rPr>
            </w:pPr>
            <w:r>
              <w:rPr>
                <w:rFonts w:ascii="Times New Roman" w:hAnsi="Times New Roman" w:cs="Times New Roman"/>
              </w:rPr>
              <w:t>.2</w:t>
            </w:r>
            <w:r w:rsidR="00B961CE">
              <w:rPr>
                <w:rFonts w:ascii="Times New Roman" w:hAnsi="Times New Roman" w:cs="Times New Roman"/>
              </w:rPr>
              <w:t>6 (-.11, .62)</w:t>
            </w:r>
          </w:p>
        </w:tc>
        <w:tc>
          <w:tcPr>
            <w:tcW w:w="2960" w:type="dxa"/>
          </w:tcPr>
          <w:p w14:paraId="10B3538D" w14:textId="75016D75" w:rsidR="00343447" w:rsidRDefault="00056A17" w:rsidP="00343447">
            <w:pPr>
              <w:rPr>
                <w:rFonts w:ascii="Times New Roman" w:hAnsi="Times New Roman" w:cs="Times New Roman"/>
              </w:rPr>
            </w:pPr>
            <w:r>
              <w:rPr>
                <w:rFonts w:ascii="Times New Roman" w:hAnsi="Times New Roman" w:cs="Times New Roman"/>
              </w:rPr>
              <w:t>.63</w:t>
            </w:r>
          </w:p>
        </w:tc>
      </w:tr>
      <w:tr w:rsidR="009008A0" w14:paraId="7CC7C615" w14:textId="77777777" w:rsidTr="005B4989">
        <w:tc>
          <w:tcPr>
            <w:tcW w:w="1350" w:type="dxa"/>
          </w:tcPr>
          <w:p w14:paraId="42F8D968"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VQ-</w:t>
            </w:r>
            <w:proofErr w:type="spellStart"/>
            <w:r w:rsidRPr="00296B78">
              <w:rPr>
                <w:rFonts w:ascii="Times New Roman" w:eastAsia="Times New Roman" w:hAnsi="Times New Roman" w:cs="Times New Roman"/>
              </w:rPr>
              <w:t>Obs</w:t>
            </w:r>
            <w:proofErr w:type="spellEnd"/>
          </w:p>
          <w:p w14:paraId="69813942" w14:textId="11D567B9" w:rsidR="009008A0" w:rsidRDefault="009008A0" w:rsidP="00343447">
            <w:pPr>
              <w:rPr>
                <w:rFonts w:ascii="Times New Roman" w:hAnsi="Times New Roman" w:cs="Times New Roman"/>
              </w:rPr>
            </w:pPr>
          </w:p>
        </w:tc>
        <w:tc>
          <w:tcPr>
            <w:tcW w:w="1890" w:type="dxa"/>
          </w:tcPr>
          <w:p w14:paraId="1D7E8A1F" w14:textId="1ED58905" w:rsidR="00343447" w:rsidRDefault="00343447" w:rsidP="00343447">
            <w:pPr>
              <w:rPr>
                <w:rFonts w:ascii="Times New Roman" w:hAnsi="Times New Roman" w:cs="Times New Roman"/>
              </w:rPr>
            </w:pPr>
            <w:r>
              <w:rPr>
                <w:rFonts w:ascii="Times New Roman" w:hAnsi="Times New Roman" w:cs="Times New Roman"/>
              </w:rPr>
              <w:t>1.13</w:t>
            </w:r>
          </w:p>
        </w:tc>
        <w:tc>
          <w:tcPr>
            <w:tcW w:w="1620" w:type="dxa"/>
          </w:tcPr>
          <w:p w14:paraId="1A858561" w14:textId="65B3E372" w:rsidR="00274BF0" w:rsidRDefault="00274BF0" w:rsidP="00343447">
            <w:pPr>
              <w:rPr>
                <w:rFonts w:ascii="Times New Roman" w:hAnsi="Times New Roman" w:cs="Times New Roman"/>
              </w:rPr>
            </w:pPr>
            <w:r>
              <w:rPr>
                <w:rFonts w:ascii="Times New Roman" w:hAnsi="Times New Roman" w:cs="Times New Roman"/>
              </w:rPr>
              <w:t>.25</w:t>
            </w:r>
            <w:r w:rsidR="00B961CE">
              <w:rPr>
                <w:rFonts w:ascii="Times New Roman" w:hAnsi="Times New Roman" w:cs="Times New Roman"/>
              </w:rPr>
              <w:t xml:space="preserve"> (-.11, .60)</w:t>
            </w:r>
          </w:p>
        </w:tc>
        <w:tc>
          <w:tcPr>
            <w:tcW w:w="1530" w:type="dxa"/>
          </w:tcPr>
          <w:p w14:paraId="0F5AA3F9" w14:textId="7B3FB625" w:rsidR="00343447" w:rsidRDefault="00343447" w:rsidP="00343447">
            <w:pPr>
              <w:rPr>
                <w:rFonts w:ascii="Times New Roman" w:hAnsi="Times New Roman" w:cs="Times New Roman"/>
              </w:rPr>
            </w:pPr>
            <w:r>
              <w:rPr>
                <w:rFonts w:ascii="Times New Roman" w:hAnsi="Times New Roman" w:cs="Times New Roman"/>
              </w:rPr>
              <w:t>.2</w:t>
            </w:r>
            <w:r w:rsidR="00B961CE">
              <w:rPr>
                <w:rFonts w:ascii="Times New Roman" w:hAnsi="Times New Roman" w:cs="Times New Roman"/>
              </w:rPr>
              <w:t>4 (-.12, .60)</w:t>
            </w:r>
          </w:p>
        </w:tc>
        <w:tc>
          <w:tcPr>
            <w:tcW w:w="2960" w:type="dxa"/>
          </w:tcPr>
          <w:p w14:paraId="235130BF" w14:textId="49E79F75" w:rsidR="00343447" w:rsidRDefault="00056A17" w:rsidP="00343447">
            <w:pPr>
              <w:rPr>
                <w:rFonts w:ascii="Times New Roman" w:hAnsi="Times New Roman" w:cs="Times New Roman"/>
              </w:rPr>
            </w:pPr>
            <w:r>
              <w:rPr>
                <w:rFonts w:ascii="Times New Roman" w:hAnsi="Times New Roman" w:cs="Times New Roman"/>
              </w:rPr>
              <w:t>2.12</w:t>
            </w:r>
          </w:p>
        </w:tc>
      </w:tr>
      <w:tr w:rsidR="009008A0" w14:paraId="39093636" w14:textId="77777777" w:rsidTr="005B4989">
        <w:tc>
          <w:tcPr>
            <w:tcW w:w="1350" w:type="dxa"/>
          </w:tcPr>
          <w:p w14:paraId="79D2234E" w14:textId="77777777" w:rsidR="00343447" w:rsidRDefault="00343447" w:rsidP="00343447">
            <w:pPr>
              <w:rPr>
                <w:rFonts w:ascii="Times New Roman" w:eastAsia="Times New Roman" w:hAnsi="Times New Roman" w:cs="Times New Roman"/>
              </w:rPr>
            </w:pPr>
            <w:r w:rsidRPr="00296B78">
              <w:rPr>
                <w:rFonts w:ascii="Times New Roman" w:eastAsia="Times New Roman" w:hAnsi="Times New Roman" w:cs="Times New Roman"/>
              </w:rPr>
              <w:t>VQ-Pro</w:t>
            </w:r>
          </w:p>
          <w:p w14:paraId="17070466" w14:textId="14075EF2" w:rsidR="009008A0" w:rsidRDefault="009008A0" w:rsidP="00343447">
            <w:pPr>
              <w:rPr>
                <w:rFonts w:ascii="Times New Roman" w:hAnsi="Times New Roman" w:cs="Times New Roman"/>
              </w:rPr>
            </w:pPr>
          </w:p>
        </w:tc>
        <w:tc>
          <w:tcPr>
            <w:tcW w:w="1890" w:type="dxa"/>
          </w:tcPr>
          <w:p w14:paraId="03407EC5" w14:textId="1FE2CAE7" w:rsidR="00343447" w:rsidRDefault="00343447" w:rsidP="00343447">
            <w:pPr>
              <w:rPr>
                <w:rFonts w:ascii="Times New Roman" w:hAnsi="Times New Roman" w:cs="Times New Roman"/>
              </w:rPr>
            </w:pPr>
            <w:r>
              <w:rPr>
                <w:rFonts w:ascii="Times New Roman" w:hAnsi="Times New Roman" w:cs="Times New Roman"/>
              </w:rPr>
              <w:t>.10</w:t>
            </w:r>
          </w:p>
        </w:tc>
        <w:tc>
          <w:tcPr>
            <w:tcW w:w="1620" w:type="dxa"/>
          </w:tcPr>
          <w:p w14:paraId="5C4C0A81" w14:textId="62970CF1" w:rsidR="00343447" w:rsidRDefault="00274BF0" w:rsidP="00343447">
            <w:pPr>
              <w:rPr>
                <w:rFonts w:ascii="Times New Roman" w:hAnsi="Times New Roman" w:cs="Times New Roman"/>
              </w:rPr>
            </w:pPr>
            <w:r>
              <w:rPr>
                <w:rFonts w:ascii="Times New Roman" w:hAnsi="Times New Roman" w:cs="Times New Roman"/>
              </w:rPr>
              <w:t>.0</w:t>
            </w:r>
            <w:r w:rsidR="00B961CE">
              <w:rPr>
                <w:rFonts w:ascii="Times New Roman" w:hAnsi="Times New Roman" w:cs="Times New Roman"/>
              </w:rPr>
              <w:t>7 (-.29, .42)</w:t>
            </w:r>
          </w:p>
        </w:tc>
        <w:tc>
          <w:tcPr>
            <w:tcW w:w="1530" w:type="dxa"/>
          </w:tcPr>
          <w:p w14:paraId="6C3BE6E2" w14:textId="211C775F" w:rsidR="00343447" w:rsidRDefault="00343447" w:rsidP="00343447">
            <w:pPr>
              <w:rPr>
                <w:rFonts w:ascii="Times New Roman" w:hAnsi="Times New Roman" w:cs="Times New Roman"/>
              </w:rPr>
            </w:pPr>
            <w:r>
              <w:rPr>
                <w:rFonts w:ascii="Times New Roman" w:hAnsi="Times New Roman" w:cs="Times New Roman"/>
              </w:rPr>
              <w:t>.0</w:t>
            </w:r>
            <w:r w:rsidR="00B961CE">
              <w:rPr>
                <w:rFonts w:ascii="Times New Roman" w:hAnsi="Times New Roman" w:cs="Times New Roman"/>
              </w:rPr>
              <w:t>1 (-.35, .37)</w:t>
            </w:r>
          </w:p>
        </w:tc>
        <w:tc>
          <w:tcPr>
            <w:tcW w:w="2960" w:type="dxa"/>
          </w:tcPr>
          <w:p w14:paraId="51154BC9" w14:textId="216EB06A" w:rsidR="00343447" w:rsidRDefault="00056A17" w:rsidP="00343447">
            <w:pPr>
              <w:rPr>
                <w:rFonts w:ascii="Times New Roman" w:hAnsi="Times New Roman" w:cs="Times New Roman"/>
              </w:rPr>
            </w:pPr>
            <w:r>
              <w:rPr>
                <w:rFonts w:ascii="Times New Roman" w:hAnsi="Times New Roman" w:cs="Times New Roman"/>
              </w:rPr>
              <w:t>.05</w:t>
            </w:r>
          </w:p>
        </w:tc>
      </w:tr>
      <w:tr w:rsidR="009008A0" w14:paraId="592C8D1D" w14:textId="77777777" w:rsidTr="005B4989">
        <w:tc>
          <w:tcPr>
            <w:tcW w:w="1350" w:type="dxa"/>
            <w:tcBorders>
              <w:bottom w:val="single" w:sz="4" w:space="0" w:color="auto"/>
            </w:tcBorders>
          </w:tcPr>
          <w:p w14:paraId="31718771" w14:textId="59C58BC6" w:rsidR="00343447" w:rsidRDefault="00343447" w:rsidP="00343447">
            <w:pPr>
              <w:rPr>
                <w:rFonts w:ascii="Times New Roman" w:hAnsi="Times New Roman" w:cs="Times New Roman"/>
              </w:rPr>
            </w:pPr>
            <w:r w:rsidRPr="00296B78">
              <w:rPr>
                <w:rFonts w:ascii="Times New Roman" w:eastAsia="Times New Roman" w:hAnsi="Times New Roman" w:cs="Times New Roman"/>
              </w:rPr>
              <w:t>CAQ</w:t>
            </w:r>
          </w:p>
        </w:tc>
        <w:tc>
          <w:tcPr>
            <w:tcW w:w="1890" w:type="dxa"/>
            <w:tcBorders>
              <w:bottom w:val="single" w:sz="4" w:space="0" w:color="auto"/>
            </w:tcBorders>
          </w:tcPr>
          <w:p w14:paraId="6B65BB03" w14:textId="3BF86D69" w:rsidR="00343447" w:rsidRDefault="00343447" w:rsidP="00343447">
            <w:pPr>
              <w:rPr>
                <w:rFonts w:ascii="Times New Roman" w:hAnsi="Times New Roman" w:cs="Times New Roman"/>
              </w:rPr>
            </w:pPr>
            <w:r>
              <w:rPr>
                <w:rFonts w:ascii="Times New Roman" w:hAnsi="Times New Roman" w:cs="Times New Roman"/>
              </w:rPr>
              <w:t>.12</w:t>
            </w:r>
          </w:p>
        </w:tc>
        <w:tc>
          <w:tcPr>
            <w:tcW w:w="1620" w:type="dxa"/>
            <w:tcBorders>
              <w:bottom w:val="single" w:sz="4" w:space="0" w:color="auto"/>
            </w:tcBorders>
          </w:tcPr>
          <w:p w14:paraId="38C44E70" w14:textId="74E4E009" w:rsidR="00343447" w:rsidRDefault="00274BF0" w:rsidP="00343447">
            <w:pPr>
              <w:rPr>
                <w:rFonts w:ascii="Times New Roman" w:hAnsi="Times New Roman" w:cs="Times New Roman"/>
              </w:rPr>
            </w:pPr>
            <w:r>
              <w:rPr>
                <w:rFonts w:ascii="Times New Roman" w:hAnsi="Times New Roman" w:cs="Times New Roman"/>
              </w:rPr>
              <w:t>.04</w:t>
            </w:r>
            <w:r w:rsidR="00B961CE">
              <w:rPr>
                <w:rFonts w:ascii="Times New Roman" w:hAnsi="Times New Roman" w:cs="Times New Roman"/>
              </w:rPr>
              <w:t xml:space="preserve"> (-.31, .40)</w:t>
            </w:r>
          </w:p>
        </w:tc>
        <w:tc>
          <w:tcPr>
            <w:tcW w:w="1530" w:type="dxa"/>
            <w:tcBorders>
              <w:bottom w:val="single" w:sz="4" w:space="0" w:color="auto"/>
            </w:tcBorders>
          </w:tcPr>
          <w:p w14:paraId="5E01EB56" w14:textId="0723D2AA" w:rsidR="00343447" w:rsidRDefault="00343447" w:rsidP="00343447">
            <w:pPr>
              <w:rPr>
                <w:rFonts w:ascii="Times New Roman" w:hAnsi="Times New Roman" w:cs="Times New Roman"/>
              </w:rPr>
            </w:pPr>
            <w:r>
              <w:rPr>
                <w:rFonts w:ascii="Times New Roman" w:hAnsi="Times New Roman" w:cs="Times New Roman"/>
              </w:rPr>
              <w:t>.</w:t>
            </w:r>
            <w:r w:rsidR="00B961CE">
              <w:rPr>
                <w:rFonts w:ascii="Times New Roman" w:hAnsi="Times New Roman" w:cs="Times New Roman"/>
              </w:rPr>
              <w:t>08 (-.28, .44)</w:t>
            </w:r>
          </w:p>
        </w:tc>
        <w:tc>
          <w:tcPr>
            <w:tcW w:w="2960" w:type="dxa"/>
            <w:tcBorders>
              <w:bottom w:val="single" w:sz="4" w:space="0" w:color="auto"/>
            </w:tcBorders>
          </w:tcPr>
          <w:p w14:paraId="0AAE3B7B" w14:textId="0ECA8054" w:rsidR="00343447" w:rsidRDefault="00056A17" w:rsidP="00343447">
            <w:pPr>
              <w:rPr>
                <w:rFonts w:ascii="Times New Roman" w:hAnsi="Times New Roman" w:cs="Times New Roman"/>
              </w:rPr>
            </w:pPr>
            <w:r>
              <w:rPr>
                <w:rFonts w:ascii="Times New Roman" w:hAnsi="Times New Roman" w:cs="Times New Roman"/>
              </w:rPr>
              <w:t>.38</w:t>
            </w:r>
          </w:p>
        </w:tc>
      </w:tr>
    </w:tbl>
    <w:p w14:paraId="1E6A38B6" w14:textId="4C4414D2" w:rsidR="00D91B12" w:rsidRDefault="00A041D5" w:rsidP="007B3F99">
      <w:pPr>
        <w:spacing w:after="0"/>
        <w:rPr>
          <w:rFonts w:ascii="Times New Roman" w:eastAsia="Times New Roman" w:hAnsi="Times New Roman" w:cs="Times New Roman"/>
        </w:rPr>
      </w:pPr>
      <w:r w:rsidRPr="00296B78">
        <w:rPr>
          <w:rFonts w:ascii="Times New Roman" w:hAnsi="Times New Roman" w:cs="Times New Roman"/>
        </w:rPr>
        <w:t>Notes: *</w:t>
      </w:r>
      <w:r w:rsidRPr="00296B78">
        <w:rPr>
          <w:rFonts w:ascii="Times New Roman" w:hAnsi="Times New Roman" w:cs="Times New Roman"/>
          <w:i/>
          <w:iCs/>
        </w:rPr>
        <w:t xml:space="preserve">p </w:t>
      </w:r>
      <w:r w:rsidRPr="00296B78">
        <w:rPr>
          <w:rFonts w:ascii="Times New Roman" w:hAnsi="Times New Roman" w:cs="Times New Roman"/>
        </w:rPr>
        <w:t>&lt; .05; **</w:t>
      </w:r>
      <w:r w:rsidRPr="00296B78">
        <w:rPr>
          <w:rFonts w:ascii="Times New Roman" w:hAnsi="Times New Roman" w:cs="Times New Roman"/>
          <w:i/>
          <w:iCs/>
        </w:rPr>
        <w:t xml:space="preserve">p </w:t>
      </w:r>
      <w:r w:rsidRPr="00296B78">
        <w:rPr>
          <w:rFonts w:ascii="Times New Roman" w:hAnsi="Times New Roman" w:cs="Times New Roman"/>
        </w:rPr>
        <w:t xml:space="preserve">&lt; .01. </w:t>
      </w:r>
      <w:r w:rsidR="00D76EBB">
        <w:rPr>
          <w:rFonts w:ascii="Times New Roman" w:hAnsi="Times New Roman" w:cs="Times New Roman"/>
        </w:rPr>
        <w:t xml:space="preserve">Component = </w:t>
      </w:r>
      <w:r w:rsidR="004042D5">
        <w:rPr>
          <w:rFonts w:ascii="Times New Roman" w:hAnsi="Times New Roman" w:cs="Times New Roman"/>
        </w:rPr>
        <w:t>Full, Engaged, or Open ACT condition</w:t>
      </w:r>
      <w:r w:rsidR="00D76EBB">
        <w:rPr>
          <w:rFonts w:ascii="Times New Roman" w:hAnsi="Times New Roman" w:cs="Times New Roman"/>
        </w:rPr>
        <w:t xml:space="preserve">. </w:t>
      </w:r>
      <w:r w:rsidR="007B576F">
        <w:rPr>
          <w:rFonts w:ascii="Times New Roman" w:eastAsia="Times New Roman" w:hAnsi="Times New Roman" w:cs="Times New Roman"/>
        </w:rPr>
        <w:t>Positive effect sizes are scored such that</w:t>
      </w:r>
      <w:r w:rsidR="000327A8" w:rsidRPr="00296B78">
        <w:rPr>
          <w:rFonts w:ascii="Times New Roman" w:eastAsia="Times New Roman" w:hAnsi="Times New Roman" w:cs="Times New Roman"/>
        </w:rPr>
        <w:t xml:space="preserve"> </w:t>
      </w:r>
      <w:r w:rsidR="007F7545" w:rsidRPr="00296B78">
        <w:rPr>
          <w:rFonts w:ascii="Times New Roman" w:eastAsia="Times New Roman" w:hAnsi="Times New Roman" w:cs="Times New Roman"/>
        </w:rPr>
        <w:t xml:space="preserve">Coaching </w:t>
      </w:r>
      <w:r w:rsidR="007B576F">
        <w:rPr>
          <w:rFonts w:ascii="Times New Roman" w:eastAsia="Times New Roman" w:hAnsi="Times New Roman" w:cs="Times New Roman"/>
        </w:rPr>
        <w:t>improved more than</w:t>
      </w:r>
      <w:r w:rsidR="007F7545" w:rsidRPr="00296B78">
        <w:rPr>
          <w:rFonts w:ascii="Times New Roman" w:eastAsia="Times New Roman" w:hAnsi="Times New Roman" w:cs="Times New Roman"/>
        </w:rPr>
        <w:t xml:space="preserve"> Non-Coaching.</w:t>
      </w:r>
    </w:p>
    <w:p w14:paraId="5A6244C2" w14:textId="033A3DA1" w:rsidR="006478B1" w:rsidRDefault="006478B1" w:rsidP="00F27D08"/>
    <w:p w14:paraId="26BB716C" w14:textId="2687088B" w:rsidR="00F27D08" w:rsidRDefault="00F27D08" w:rsidP="00F27D08">
      <w:pPr>
        <w:rPr>
          <w:rFonts w:ascii="Arial" w:hAnsi="Arial" w:cs="Arial"/>
          <w:sz w:val="25"/>
          <w:szCs w:val="25"/>
        </w:rPr>
      </w:pPr>
    </w:p>
    <w:p w14:paraId="255F852E" w14:textId="4311D99D" w:rsidR="00F462CA" w:rsidRDefault="00F462CA" w:rsidP="00F27D08">
      <w:pPr>
        <w:rPr>
          <w:rFonts w:ascii="Arial" w:hAnsi="Arial" w:cs="Arial"/>
          <w:sz w:val="25"/>
          <w:szCs w:val="25"/>
        </w:rPr>
      </w:pPr>
    </w:p>
    <w:p w14:paraId="1ED641B7" w14:textId="49A8D3B9" w:rsidR="00F462CA" w:rsidRDefault="00F462CA" w:rsidP="00F27D08">
      <w:pPr>
        <w:rPr>
          <w:rFonts w:ascii="Arial" w:hAnsi="Arial" w:cs="Arial"/>
          <w:sz w:val="25"/>
          <w:szCs w:val="25"/>
        </w:rPr>
      </w:pPr>
    </w:p>
    <w:p w14:paraId="6CCF44AF" w14:textId="70C8D31A" w:rsidR="00C61D2C" w:rsidRDefault="00C61D2C">
      <w:pPr>
        <w:rPr>
          <w:rFonts w:ascii="Arial" w:hAnsi="Arial" w:cs="Arial"/>
          <w:sz w:val="25"/>
          <w:szCs w:val="25"/>
        </w:rPr>
      </w:pPr>
      <w:r>
        <w:rPr>
          <w:rFonts w:ascii="Arial" w:hAnsi="Arial" w:cs="Arial"/>
          <w:sz w:val="25"/>
          <w:szCs w:val="25"/>
        </w:rPr>
        <w:br w:type="page"/>
      </w:r>
    </w:p>
    <w:p w14:paraId="735DDD9D" w14:textId="77777777" w:rsidR="004E63C0" w:rsidRDefault="004E63C0" w:rsidP="00F27D08">
      <w:pPr>
        <w:rPr>
          <w:rFonts w:ascii="Arial" w:hAnsi="Arial" w:cs="Arial"/>
          <w:sz w:val="25"/>
          <w:szCs w:val="25"/>
        </w:rPr>
        <w:sectPr w:rsidR="004E63C0" w:rsidSect="00CF64F1">
          <w:pgSz w:w="12240" w:h="15840"/>
          <w:pgMar w:top="1440" w:right="1440" w:bottom="1440" w:left="1440" w:header="720" w:footer="720" w:gutter="0"/>
          <w:cols w:space="720"/>
          <w:docGrid w:linePitch="360"/>
        </w:sectPr>
      </w:pPr>
    </w:p>
    <w:p w14:paraId="2CF1B3E4" w14:textId="4F573563" w:rsidR="004E63C0" w:rsidRPr="005B4989" w:rsidRDefault="004E63C0" w:rsidP="00F27D08">
      <w:pPr>
        <w:rPr>
          <w:rFonts w:ascii="Times New Roman" w:hAnsi="Times New Roman" w:cs="Times New Roman"/>
          <w:sz w:val="24"/>
          <w:szCs w:val="24"/>
        </w:rPr>
      </w:pPr>
      <w:r w:rsidRPr="003F3CBB">
        <w:rPr>
          <w:rFonts w:ascii="Times New Roman" w:hAnsi="Times New Roman" w:cs="Times New Roman"/>
          <w:sz w:val="24"/>
          <w:szCs w:val="24"/>
        </w:rPr>
        <w:lastRenderedPageBreak/>
        <w:t xml:space="preserve">Figure 1. </w:t>
      </w:r>
      <w:r>
        <w:rPr>
          <w:rFonts w:ascii="Times New Roman" w:hAnsi="Times New Roman" w:cs="Times New Roman"/>
          <w:sz w:val="24"/>
          <w:szCs w:val="24"/>
        </w:rPr>
        <w:t>Changes in mental health symptoms between coaching and non-coaching conditions by ACT component condition.</w:t>
      </w:r>
    </w:p>
    <w:p w14:paraId="7D360ECD" w14:textId="0A381D04" w:rsidR="004E63C0" w:rsidRDefault="00C61D2C" w:rsidP="00CF5FB3">
      <w:pPr>
        <w:rPr>
          <w:rFonts w:ascii="Arial" w:hAnsi="Arial" w:cs="Arial"/>
          <w:sz w:val="25"/>
          <w:szCs w:val="25"/>
        </w:rPr>
      </w:pPr>
      <w:r>
        <w:rPr>
          <w:noProof/>
        </w:rPr>
        <w:drawing>
          <wp:inline distT="0" distB="0" distL="0" distR="0" wp14:anchorId="5C180093" wp14:editId="45E1D1D9">
            <wp:extent cx="8196765" cy="3051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1487" cy="3078831"/>
                    </a:xfrm>
                    <a:prstGeom prst="rect">
                      <a:avLst/>
                    </a:prstGeom>
                    <a:noFill/>
                    <a:ln>
                      <a:noFill/>
                    </a:ln>
                  </pic:spPr>
                </pic:pic>
              </a:graphicData>
            </a:graphic>
          </wp:inline>
        </w:drawing>
      </w:r>
    </w:p>
    <w:sectPr w:rsidR="004E63C0" w:rsidSect="00CF5F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6BD0" w14:textId="77777777" w:rsidR="004F2835" w:rsidRDefault="004F2835" w:rsidP="00B239BE">
      <w:pPr>
        <w:spacing w:after="0" w:line="240" w:lineRule="auto"/>
      </w:pPr>
      <w:r>
        <w:separator/>
      </w:r>
    </w:p>
  </w:endnote>
  <w:endnote w:type="continuationSeparator" w:id="0">
    <w:p w14:paraId="3FBDE045" w14:textId="77777777" w:rsidR="004F2835" w:rsidRDefault="004F2835" w:rsidP="00B2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DC89" w14:textId="77777777" w:rsidR="004F2835" w:rsidRDefault="004F2835" w:rsidP="00B239BE">
      <w:pPr>
        <w:spacing w:after="0" w:line="240" w:lineRule="auto"/>
      </w:pPr>
      <w:r>
        <w:separator/>
      </w:r>
    </w:p>
  </w:footnote>
  <w:footnote w:type="continuationSeparator" w:id="0">
    <w:p w14:paraId="6BDE4C73" w14:textId="77777777" w:rsidR="004F2835" w:rsidRDefault="004F2835" w:rsidP="00B2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42A9" w14:textId="0450C067" w:rsidR="00197174" w:rsidRDefault="00197174" w:rsidP="002D0F93">
    <w:pPr>
      <w:pStyle w:val="Header"/>
    </w:pPr>
    <w:r>
      <w:t>Evaluating Coaching Calls for Online ACT</w:t>
    </w:r>
    <w:r>
      <w:tab/>
    </w:r>
    <w:r>
      <w:tab/>
    </w:r>
    <w:sdt>
      <w:sdtPr>
        <w:id w:val="6201913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7AC5CDFF" w14:textId="4EE5D2F1" w:rsidR="00197174" w:rsidRDefault="0019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204AB"/>
    <w:multiLevelType w:val="hybridMultilevel"/>
    <w:tmpl w:val="B986C6C6"/>
    <w:lvl w:ilvl="0" w:tplc="A9C474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xdd20v1afdwtepwxcvxd2ydtwra2eztaee&quot;&gt;ACT Research Center EndNote Library-Saved&lt;record-ids&gt;&lt;item&gt;2727&lt;/item&gt;&lt;item&gt;2794&lt;/item&gt;&lt;item&gt;2799&lt;/item&gt;&lt;item&gt;3206&lt;/item&gt;&lt;item&gt;3339&lt;/item&gt;&lt;item&gt;4011&lt;/item&gt;&lt;item&gt;4645&lt;/item&gt;&lt;item&gt;4646&lt;/item&gt;&lt;item&gt;4648&lt;/item&gt;&lt;/record-ids&gt;&lt;/item&gt;&lt;/Libraries&gt;"/>
  </w:docVars>
  <w:rsids>
    <w:rsidRoot w:val="001E3A6E"/>
    <w:rsid w:val="00000D85"/>
    <w:rsid w:val="00004673"/>
    <w:rsid w:val="00005403"/>
    <w:rsid w:val="000119B2"/>
    <w:rsid w:val="0001710B"/>
    <w:rsid w:val="000321FA"/>
    <w:rsid w:val="000327A8"/>
    <w:rsid w:val="000456B4"/>
    <w:rsid w:val="00046C2A"/>
    <w:rsid w:val="000470BD"/>
    <w:rsid w:val="000472F7"/>
    <w:rsid w:val="000501DD"/>
    <w:rsid w:val="000517A0"/>
    <w:rsid w:val="00056A17"/>
    <w:rsid w:val="00060379"/>
    <w:rsid w:val="000622F8"/>
    <w:rsid w:val="00083FDD"/>
    <w:rsid w:val="00093076"/>
    <w:rsid w:val="000939E7"/>
    <w:rsid w:val="00094682"/>
    <w:rsid w:val="000A7F32"/>
    <w:rsid w:val="000B1B3D"/>
    <w:rsid w:val="000B285F"/>
    <w:rsid w:val="000B6B84"/>
    <w:rsid w:val="000C1F44"/>
    <w:rsid w:val="000C22B7"/>
    <w:rsid w:val="000C51D7"/>
    <w:rsid w:val="000D0B7F"/>
    <w:rsid w:val="000D4723"/>
    <w:rsid w:val="000E4AA4"/>
    <w:rsid w:val="001010B4"/>
    <w:rsid w:val="00115014"/>
    <w:rsid w:val="00124B66"/>
    <w:rsid w:val="001436E3"/>
    <w:rsid w:val="00165157"/>
    <w:rsid w:val="00181C30"/>
    <w:rsid w:val="00183B30"/>
    <w:rsid w:val="001865DB"/>
    <w:rsid w:val="001958C6"/>
    <w:rsid w:val="00197174"/>
    <w:rsid w:val="001C6773"/>
    <w:rsid w:val="001C7C5D"/>
    <w:rsid w:val="001D4416"/>
    <w:rsid w:val="001E3A6E"/>
    <w:rsid w:val="001F1FC5"/>
    <w:rsid w:val="001F5EF7"/>
    <w:rsid w:val="001F75B0"/>
    <w:rsid w:val="00202D9E"/>
    <w:rsid w:val="002038B1"/>
    <w:rsid w:val="002231D2"/>
    <w:rsid w:val="0022599A"/>
    <w:rsid w:val="002303B5"/>
    <w:rsid w:val="00231E62"/>
    <w:rsid w:val="002331B2"/>
    <w:rsid w:val="00237844"/>
    <w:rsid w:val="00241144"/>
    <w:rsid w:val="002417B3"/>
    <w:rsid w:val="00244AA0"/>
    <w:rsid w:val="002549C4"/>
    <w:rsid w:val="0027148B"/>
    <w:rsid w:val="00274BF0"/>
    <w:rsid w:val="00276B9F"/>
    <w:rsid w:val="002808F7"/>
    <w:rsid w:val="00296B78"/>
    <w:rsid w:val="002B148F"/>
    <w:rsid w:val="002D0F93"/>
    <w:rsid w:val="002D4EC9"/>
    <w:rsid w:val="002D5D5E"/>
    <w:rsid w:val="002E1FC4"/>
    <w:rsid w:val="002E5A05"/>
    <w:rsid w:val="002E70B5"/>
    <w:rsid w:val="002F2CD0"/>
    <w:rsid w:val="002F7748"/>
    <w:rsid w:val="00302D0E"/>
    <w:rsid w:val="003033A5"/>
    <w:rsid w:val="00306D6C"/>
    <w:rsid w:val="00307752"/>
    <w:rsid w:val="00313400"/>
    <w:rsid w:val="00315BA6"/>
    <w:rsid w:val="00327E9D"/>
    <w:rsid w:val="0033128E"/>
    <w:rsid w:val="00343447"/>
    <w:rsid w:val="00343CB7"/>
    <w:rsid w:val="003528C4"/>
    <w:rsid w:val="00354544"/>
    <w:rsid w:val="003545A6"/>
    <w:rsid w:val="00356278"/>
    <w:rsid w:val="00356FA2"/>
    <w:rsid w:val="0036397D"/>
    <w:rsid w:val="0036462C"/>
    <w:rsid w:val="00366662"/>
    <w:rsid w:val="00370419"/>
    <w:rsid w:val="003752AA"/>
    <w:rsid w:val="00382048"/>
    <w:rsid w:val="00382797"/>
    <w:rsid w:val="003A2CD3"/>
    <w:rsid w:val="003A41C4"/>
    <w:rsid w:val="003A4F5F"/>
    <w:rsid w:val="003A7807"/>
    <w:rsid w:val="003B156D"/>
    <w:rsid w:val="003B1A6A"/>
    <w:rsid w:val="003B7A7B"/>
    <w:rsid w:val="003C48A6"/>
    <w:rsid w:val="003D1550"/>
    <w:rsid w:val="003D6A69"/>
    <w:rsid w:val="003E1ABF"/>
    <w:rsid w:val="003E4580"/>
    <w:rsid w:val="003F2E25"/>
    <w:rsid w:val="003F4123"/>
    <w:rsid w:val="003F61F4"/>
    <w:rsid w:val="003F6269"/>
    <w:rsid w:val="004042D5"/>
    <w:rsid w:val="00404549"/>
    <w:rsid w:val="00413DD2"/>
    <w:rsid w:val="00415A55"/>
    <w:rsid w:val="0041753E"/>
    <w:rsid w:val="00421E4E"/>
    <w:rsid w:val="004255B3"/>
    <w:rsid w:val="00430B40"/>
    <w:rsid w:val="004468FD"/>
    <w:rsid w:val="00452E7B"/>
    <w:rsid w:val="00455649"/>
    <w:rsid w:val="00474296"/>
    <w:rsid w:val="00475FE3"/>
    <w:rsid w:val="0048173C"/>
    <w:rsid w:val="00482FE5"/>
    <w:rsid w:val="00484E33"/>
    <w:rsid w:val="004931AC"/>
    <w:rsid w:val="00497EBF"/>
    <w:rsid w:val="004B400F"/>
    <w:rsid w:val="004B5CE9"/>
    <w:rsid w:val="004C0D0F"/>
    <w:rsid w:val="004C6CF8"/>
    <w:rsid w:val="004D4486"/>
    <w:rsid w:val="004D6C4B"/>
    <w:rsid w:val="004E57F0"/>
    <w:rsid w:val="004E63C0"/>
    <w:rsid w:val="004F2649"/>
    <w:rsid w:val="004F2835"/>
    <w:rsid w:val="00502257"/>
    <w:rsid w:val="00511C42"/>
    <w:rsid w:val="0051358D"/>
    <w:rsid w:val="00517E6D"/>
    <w:rsid w:val="0052059B"/>
    <w:rsid w:val="00527AEA"/>
    <w:rsid w:val="005313EB"/>
    <w:rsid w:val="00540095"/>
    <w:rsid w:val="005419B3"/>
    <w:rsid w:val="00543A68"/>
    <w:rsid w:val="005503B8"/>
    <w:rsid w:val="00553102"/>
    <w:rsid w:val="00556DFE"/>
    <w:rsid w:val="0056294A"/>
    <w:rsid w:val="00572AF9"/>
    <w:rsid w:val="00582BC6"/>
    <w:rsid w:val="005833D5"/>
    <w:rsid w:val="005A22BE"/>
    <w:rsid w:val="005A470C"/>
    <w:rsid w:val="005B2271"/>
    <w:rsid w:val="005B4989"/>
    <w:rsid w:val="005C44A4"/>
    <w:rsid w:val="005C678C"/>
    <w:rsid w:val="005D6689"/>
    <w:rsid w:val="005E6A63"/>
    <w:rsid w:val="005F4AE2"/>
    <w:rsid w:val="005F6D03"/>
    <w:rsid w:val="0060382F"/>
    <w:rsid w:val="006071FF"/>
    <w:rsid w:val="006138F6"/>
    <w:rsid w:val="00614321"/>
    <w:rsid w:val="00617E9D"/>
    <w:rsid w:val="00620857"/>
    <w:rsid w:val="0064526F"/>
    <w:rsid w:val="006478B1"/>
    <w:rsid w:val="006508DC"/>
    <w:rsid w:val="00657CE2"/>
    <w:rsid w:val="006609C9"/>
    <w:rsid w:val="00666EC5"/>
    <w:rsid w:val="0066751D"/>
    <w:rsid w:val="00672EAC"/>
    <w:rsid w:val="00682483"/>
    <w:rsid w:val="0069033D"/>
    <w:rsid w:val="00696D88"/>
    <w:rsid w:val="006A1CBD"/>
    <w:rsid w:val="006D3D1E"/>
    <w:rsid w:val="006E09A2"/>
    <w:rsid w:val="006E677C"/>
    <w:rsid w:val="00703587"/>
    <w:rsid w:val="00703F47"/>
    <w:rsid w:val="00715146"/>
    <w:rsid w:val="0072239D"/>
    <w:rsid w:val="00727EAC"/>
    <w:rsid w:val="00730706"/>
    <w:rsid w:val="00733F1A"/>
    <w:rsid w:val="00771C2A"/>
    <w:rsid w:val="00772C20"/>
    <w:rsid w:val="007742DC"/>
    <w:rsid w:val="00785E48"/>
    <w:rsid w:val="007916C0"/>
    <w:rsid w:val="007A6058"/>
    <w:rsid w:val="007A621D"/>
    <w:rsid w:val="007A63C2"/>
    <w:rsid w:val="007B0B0B"/>
    <w:rsid w:val="007B2811"/>
    <w:rsid w:val="007B3F99"/>
    <w:rsid w:val="007B4FE5"/>
    <w:rsid w:val="007B576F"/>
    <w:rsid w:val="007B5F82"/>
    <w:rsid w:val="007B7346"/>
    <w:rsid w:val="007C1379"/>
    <w:rsid w:val="007C25DB"/>
    <w:rsid w:val="007C3811"/>
    <w:rsid w:val="007C4F04"/>
    <w:rsid w:val="007D1CC9"/>
    <w:rsid w:val="007D3587"/>
    <w:rsid w:val="007F7545"/>
    <w:rsid w:val="0081470D"/>
    <w:rsid w:val="008318DB"/>
    <w:rsid w:val="0083270B"/>
    <w:rsid w:val="00854F5F"/>
    <w:rsid w:val="00857DE2"/>
    <w:rsid w:val="008634A5"/>
    <w:rsid w:val="00870C02"/>
    <w:rsid w:val="00884A84"/>
    <w:rsid w:val="008871A2"/>
    <w:rsid w:val="008920E1"/>
    <w:rsid w:val="00893CA5"/>
    <w:rsid w:val="008A0F02"/>
    <w:rsid w:val="008B0396"/>
    <w:rsid w:val="008B0D12"/>
    <w:rsid w:val="008C09EF"/>
    <w:rsid w:val="008C4B82"/>
    <w:rsid w:val="008C4D1C"/>
    <w:rsid w:val="008D568E"/>
    <w:rsid w:val="008E50E7"/>
    <w:rsid w:val="008F162F"/>
    <w:rsid w:val="008F3274"/>
    <w:rsid w:val="008F551B"/>
    <w:rsid w:val="008F598C"/>
    <w:rsid w:val="009008A0"/>
    <w:rsid w:val="00901DD1"/>
    <w:rsid w:val="0090368A"/>
    <w:rsid w:val="00907D5C"/>
    <w:rsid w:val="00914083"/>
    <w:rsid w:val="0093138E"/>
    <w:rsid w:val="00936714"/>
    <w:rsid w:val="00946C18"/>
    <w:rsid w:val="009474E5"/>
    <w:rsid w:val="009513EF"/>
    <w:rsid w:val="00952459"/>
    <w:rsid w:val="00956828"/>
    <w:rsid w:val="00960001"/>
    <w:rsid w:val="00972352"/>
    <w:rsid w:val="0097332C"/>
    <w:rsid w:val="00973DB4"/>
    <w:rsid w:val="009853E7"/>
    <w:rsid w:val="00991130"/>
    <w:rsid w:val="009A1CCA"/>
    <w:rsid w:val="009A1DA3"/>
    <w:rsid w:val="009A60B2"/>
    <w:rsid w:val="009B10B7"/>
    <w:rsid w:val="009B1B20"/>
    <w:rsid w:val="009B26B3"/>
    <w:rsid w:val="009C1144"/>
    <w:rsid w:val="009C50E4"/>
    <w:rsid w:val="009D4A45"/>
    <w:rsid w:val="009D683D"/>
    <w:rsid w:val="009E3939"/>
    <w:rsid w:val="009E64D3"/>
    <w:rsid w:val="009F602E"/>
    <w:rsid w:val="00A00389"/>
    <w:rsid w:val="00A02AE2"/>
    <w:rsid w:val="00A03D4D"/>
    <w:rsid w:val="00A041D5"/>
    <w:rsid w:val="00A06E72"/>
    <w:rsid w:val="00A10CC1"/>
    <w:rsid w:val="00A2039E"/>
    <w:rsid w:val="00A31E79"/>
    <w:rsid w:val="00A34597"/>
    <w:rsid w:val="00A346F5"/>
    <w:rsid w:val="00A3661A"/>
    <w:rsid w:val="00A43BAA"/>
    <w:rsid w:val="00A45D36"/>
    <w:rsid w:val="00A50C35"/>
    <w:rsid w:val="00A56C35"/>
    <w:rsid w:val="00A57366"/>
    <w:rsid w:val="00A65AB0"/>
    <w:rsid w:val="00A77265"/>
    <w:rsid w:val="00A90937"/>
    <w:rsid w:val="00A95F77"/>
    <w:rsid w:val="00AA657D"/>
    <w:rsid w:val="00AB3874"/>
    <w:rsid w:val="00AB6E7F"/>
    <w:rsid w:val="00AC4B7E"/>
    <w:rsid w:val="00AF5B0D"/>
    <w:rsid w:val="00B01366"/>
    <w:rsid w:val="00B043C5"/>
    <w:rsid w:val="00B1254A"/>
    <w:rsid w:val="00B21A95"/>
    <w:rsid w:val="00B239BE"/>
    <w:rsid w:val="00B361AE"/>
    <w:rsid w:val="00B37752"/>
    <w:rsid w:val="00B529F9"/>
    <w:rsid w:val="00B535B8"/>
    <w:rsid w:val="00B64813"/>
    <w:rsid w:val="00B91D4A"/>
    <w:rsid w:val="00B961CE"/>
    <w:rsid w:val="00BA6441"/>
    <w:rsid w:val="00BB1137"/>
    <w:rsid w:val="00BC0D87"/>
    <w:rsid w:val="00BD1FDB"/>
    <w:rsid w:val="00BE39AA"/>
    <w:rsid w:val="00BE7D47"/>
    <w:rsid w:val="00BF71F1"/>
    <w:rsid w:val="00C22E97"/>
    <w:rsid w:val="00C23437"/>
    <w:rsid w:val="00C30FEB"/>
    <w:rsid w:val="00C36CAB"/>
    <w:rsid w:val="00C36CD1"/>
    <w:rsid w:val="00C41C77"/>
    <w:rsid w:val="00C44DD1"/>
    <w:rsid w:val="00C45BA5"/>
    <w:rsid w:val="00C50503"/>
    <w:rsid w:val="00C61D2C"/>
    <w:rsid w:val="00C62395"/>
    <w:rsid w:val="00C6422F"/>
    <w:rsid w:val="00C64AE1"/>
    <w:rsid w:val="00C70A1E"/>
    <w:rsid w:val="00C803C2"/>
    <w:rsid w:val="00C821C3"/>
    <w:rsid w:val="00C90412"/>
    <w:rsid w:val="00C94480"/>
    <w:rsid w:val="00C97973"/>
    <w:rsid w:val="00CA012C"/>
    <w:rsid w:val="00CB1148"/>
    <w:rsid w:val="00CB155D"/>
    <w:rsid w:val="00CC2F88"/>
    <w:rsid w:val="00CC6528"/>
    <w:rsid w:val="00CC6882"/>
    <w:rsid w:val="00CD3CAD"/>
    <w:rsid w:val="00CD40DB"/>
    <w:rsid w:val="00CE4AD4"/>
    <w:rsid w:val="00CE4FDE"/>
    <w:rsid w:val="00CF5FB3"/>
    <w:rsid w:val="00CF64F1"/>
    <w:rsid w:val="00D00069"/>
    <w:rsid w:val="00D03977"/>
    <w:rsid w:val="00D07DA1"/>
    <w:rsid w:val="00D23528"/>
    <w:rsid w:val="00D24C73"/>
    <w:rsid w:val="00D27285"/>
    <w:rsid w:val="00D3455F"/>
    <w:rsid w:val="00D42F85"/>
    <w:rsid w:val="00D600DA"/>
    <w:rsid w:val="00D60101"/>
    <w:rsid w:val="00D65BF3"/>
    <w:rsid w:val="00D70E37"/>
    <w:rsid w:val="00D7506D"/>
    <w:rsid w:val="00D76EBB"/>
    <w:rsid w:val="00D90FF3"/>
    <w:rsid w:val="00D91B12"/>
    <w:rsid w:val="00D9380F"/>
    <w:rsid w:val="00D96A42"/>
    <w:rsid w:val="00D972C2"/>
    <w:rsid w:val="00DB3D69"/>
    <w:rsid w:val="00DC1EAB"/>
    <w:rsid w:val="00DC57AB"/>
    <w:rsid w:val="00DD65A9"/>
    <w:rsid w:val="00DD7AC8"/>
    <w:rsid w:val="00DE378A"/>
    <w:rsid w:val="00DF4072"/>
    <w:rsid w:val="00DF5B01"/>
    <w:rsid w:val="00E01B1D"/>
    <w:rsid w:val="00E05663"/>
    <w:rsid w:val="00E1199C"/>
    <w:rsid w:val="00E17F5E"/>
    <w:rsid w:val="00E26216"/>
    <w:rsid w:val="00E41EB2"/>
    <w:rsid w:val="00E430E8"/>
    <w:rsid w:val="00E47932"/>
    <w:rsid w:val="00E47F03"/>
    <w:rsid w:val="00E531D8"/>
    <w:rsid w:val="00E612C8"/>
    <w:rsid w:val="00E66B98"/>
    <w:rsid w:val="00E704D5"/>
    <w:rsid w:val="00E743A9"/>
    <w:rsid w:val="00E75577"/>
    <w:rsid w:val="00E757EB"/>
    <w:rsid w:val="00E77B30"/>
    <w:rsid w:val="00E8178F"/>
    <w:rsid w:val="00E83C7B"/>
    <w:rsid w:val="00E867C9"/>
    <w:rsid w:val="00E93980"/>
    <w:rsid w:val="00E9686E"/>
    <w:rsid w:val="00E968D1"/>
    <w:rsid w:val="00EA56DD"/>
    <w:rsid w:val="00EB6033"/>
    <w:rsid w:val="00EC545E"/>
    <w:rsid w:val="00ED1E73"/>
    <w:rsid w:val="00EE21E2"/>
    <w:rsid w:val="00F01E8B"/>
    <w:rsid w:val="00F2286B"/>
    <w:rsid w:val="00F25F79"/>
    <w:rsid w:val="00F27D08"/>
    <w:rsid w:val="00F30374"/>
    <w:rsid w:val="00F35918"/>
    <w:rsid w:val="00F3797A"/>
    <w:rsid w:val="00F462CA"/>
    <w:rsid w:val="00F76916"/>
    <w:rsid w:val="00F84881"/>
    <w:rsid w:val="00F94CE4"/>
    <w:rsid w:val="00FA18ED"/>
    <w:rsid w:val="00FA3D07"/>
    <w:rsid w:val="00FA4CC5"/>
    <w:rsid w:val="00FA5A2D"/>
    <w:rsid w:val="00FA6C1D"/>
    <w:rsid w:val="00FB1488"/>
    <w:rsid w:val="00FB2666"/>
    <w:rsid w:val="00FB376B"/>
    <w:rsid w:val="00FC2623"/>
    <w:rsid w:val="00FC47BA"/>
    <w:rsid w:val="00FC584F"/>
    <w:rsid w:val="00FD1CDF"/>
    <w:rsid w:val="00FD5995"/>
    <w:rsid w:val="00FD7EBC"/>
    <w:rsid w:val="00FE1603"/>
    <w:rsid w:val="00FE580D"/>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C59D"/>
  <w15:chartTrackingRefBased/>
  <w15:docId w15:val="{FAB708A6-A0D1-4FC2-8915-33B7B07F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E1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380F"/>
    <w:rPr>
      <w:sz w:val="16"/>
      <w:szCs w:val="16"/>
    </w:rPr>
  </w:style>
  <w:style w:type="paragraph" w:styleId="CommentText">
    <w:name w:val="annotation text"/>
    <w:basedOn w:val="Normal"/>
    <w:link w:val="CommentTextChar"/>
    <w:uiPriority w:val="99"/>
    <w:unhideWhenUsed/>
    <w:rsid w:val="00D9380F"/>
    <w:pPr>
      <w:spacing w:line="240" w:lineRule="auto"/>
    </w:pPr>
    <w:rPr>
      <w:sz w:val="20"/>
      <w:szCs w:val="20"/>
    </w:rPr>
  </w:style>
  <w:style w:type="character" w:customStyle="1" w:styleId="CommentTextChar">
    <w:name w:val="Comment Text Char"/>
    <w:basedOn w:val="DefaultParagraphFont"/>
    <w:link w:val="CommentText"/>
    <w:uiPriority w:val="99"/>
    <w:rsid w:val="00D9380F"/>
    <w:rPr>
      <w:sz w:val="20"/>
      <w:szCs w:val="20"/>
    </w:rPr>
  </w:style>
  <w:style w:type="paragraph" w:styleId="CommentSubject">
    <w:name w:val="annotation subject"/>
    <w:basedOn w:val="CommentText"/>
    <w:next w:val="CommentText"/>
    <w:link w:val="CommentSubjectChar"/>
    <w:uiPriority w:val="99"/>
    <w:semiHidden/>
    <w:unhideWhenUsed/>
    <w:rsid w:val="00D9380F"/>
    <w:rPr>
      <w:b/>
      <w:bCs/>
    </w:rPr>
  </w:style>
  <w:style w:type="character" w:customStyle="1" w:styleId="CommentSubjectChar">
    <w:name w:val="Comment Subject Char"/>
    <w:basedOn w:val="CommentTextChar"/>
    <w:link w:val="CommentSubject"/>
    <w:uiPriority w:val="99"/>
    <w:semiHidden/>
    <w:rsid w:val="00D9380F"/>
    <w:rPr>
      <w:b/>
      <w:bCs/>
      <w:sz w:val="20"/>
      <w:szCs w:val="20"/>
    </w:rPr>
  </w:style>
  <w:style w:type="paragraph" w:styleId="BalloonText">
    <w:name w:val="Balloon Text"/>
    <w:basedOn w:val="Normal"/>
    <w:link w:val="BalloonTextChar"/>
    <w:uiPriority w:val="99"/>
    <w:semiHidden/>
    <w:unhideWhenUsed/>
    <w:rsid w:val="00D9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0F"/>
    <w:rPr>
      <w:rFonts w:ascii="Segoe UI" w:hAnsi="Segoe UI" w:cs="Segoe UI"/>
      <w:sz w:val="18"/>
      <w:szCs w:val="18"/>
    </w:rPr>
  </w:style>
  <w:style w:type="table" w:styleId="TableGrid">
    <w:name w:val="Table Grid"/>
    <w:basedOn w:val="TableNormal"/>
    <w:uiPriority w:val="39"/>
    <w:rsid w:val="00CA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597"/>
    <w:pPr>
      <w:ind w:left="720"/>
      <w:contextualSpacing/>
    </w:pPr>
  </w:style>
  <w:style w:type="paragraph" w:customStyle="1" w:styleId="EndNoteBibliographyTitle">
    <w:name w:val="EndNote Bibliography Title"/>
    <w:basedOn w:val="Normal"/>
    <w:link w:val="EndNoteBibliographyTitleChar"/>
    <w:rsid w:val="004C0D0F"/>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C0D0F"/>
    <w:rPr>
      <w:rFonts w:ascii="Calibri" w:hAnsi="Calibri" w:cs="Calibri"/>
    </w:rPr>
  </w:style>
  <w:style w:type="paragraph" w:customStyle="1" w:styleId="EndNoteBibliography">
    <w:name w:val="EndNote Bibliography"/>
    <w:basedOn w:val="Normal"/>
    <w:link w:val="EndNoteBibliographyChar"/>
    <w:rsid w:val="004C0D0F"/>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4C0D0F"/>
    <w:rPr>
      <w:rFonts w:ascii="Calibri" w:hAnsi="Calibri" w:cs="Calibri"/>
    </w:rPr>
  </w:style>
  <w:style w:type="character" w:styleId="Hyperlink">
    <w:name w:val="Hyperlink"/>
    <w:basedOn w:val="DefaultParagraphFont"/>
    <w:uiPriority w:val="99"/>
    <w:unhideWhenUsed/>
    <w:rsid w:val="004C0D0F"/>
    <w:rPr>
      <w:color w:val="0563C1" w:themeColor="hyperlink"/>
      <w:u w:val="single"/>
    </w:rPr>
  </w:style>
  <w:style w:type="character" w:customStyle="1" w:styleId="UnresolvedMention1">
    <w:name w:val="Unresolved Mention1"/>
    <w:basedOn w:val="DefaultParagraphFont"/>
    <w:uiPriority w:val="99"/>
    <w:rsid w:val="004C0D0F"/>
    <w:rPr>
      <w:color w:val="605E5C"/>
      <w:shd w:val="clear" w:color="auto" w:fill="E1DFDD"/>
    </w:rPr>
  </w:style>
  <w:style w:type="character" w:styleId="Emphasis">
    <w:name w:val="Emphasis"/>
    <w:basedOn w:val="DefaultParagraphFont"/>
    <w:uiPriority w:val="20"/>
    <w:qFormat/>
    <w:rsid w:val="008F598C"/>
    <w:rPr>
      <w:i/>
      <w:iCs/>
    </w:rPr>
  </w:style>
  <w:style w:type="paragraph" w:styleId="Header">
    <w:name w:val="header"/>
    <w:basedOn w:val="Normal"/>
    <w:link w:val="HeaderChar"/>
    <w:uiPriority w:val="99"/>
    <w:unhideWhenUsed/>
    <w:rsid w:val="00B2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BE"/>
  </w:style>
  <w:style w:type="paragraph" w:styleId="Footer">
    <w:name w:val="footer"/>
    <w:basedOn w:val="Normal"/>
    <w:link w:val="FooterChar"/>
    <w:uiPriority w:val="99"/>
    <w:unhideWhenUsed/>
    <w:rsid w:val="00B2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BE"/>
  </w:style>
  <w:style w:type="character" w:customStyle="1" w:styleId="Heading3Char">
    <w:name w:val="Heading 3 Char"/>
    <w:basedOn w:val="DefaultParagraphFont"/>
    <w:link w:val="Heading3"/>
    <w:uiPriority w:val="9"/>
    <w:rsid w:val="00FE160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57DE2"/>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614321"/>
  </w:style>
  <w:style w:type="character" w:customStyle="1" w:styleId="personname">
    <w:name w:val="person_name"/>
    <w:basedOn w:val="DefaultParagraphFont"/>
    <w:rsid w:val="00614321"/>
  </w:style>
  <w:style w:type="paragraph" w:styleId="NormalWeb">
    <w:name w:val="Normal (Web)"/>
    <w:basedOn w:val="Normal"/>
    <w:uiPriority w:val="99"/>
    <w:semiHidden/>
    <w:unhideWhenUsed/>
    <w:rsid w:val="003A780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F75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75B0"/>
    <w:rPr>
      <w:rFonts w:ascii="Calibri" w:hAnsi="Calibri"/>
      <w:szCs w:val="21"/>
    </w:rPr>
  </w:style>
  <w:style w:type="paragraph" w:styleId="Revision">
    <w:name w:val="Revision"/>
    <w:hidden/>
    <w:uiPriority w:val="99"/>
    <w:semiHidden/>
    <w:rsid w:val="00C80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8122">
      <w:bodyDiv w:val="1"/>
      <w:marLeft w:val="0"/>
      <w:marRight w:val="0"/>
      <w:marTop w:val="0"/>
      <w:marBottom w:val="0"/>
      <w:divBdr>
        <w:top w:val="none" w:sz="0" w:space="0" w:color="auto"/>
        <w:left w:val="none" w:sz="0" w:space="0" w:color="auto"/>
        <w:bottom w:val="none" w:sz="0" w:space="0" w:color="auto"/>
        <w:right w:val="none" w:sz="0" w:space="0" w:color="auto"/>
      </w:divBdr>
    </w:div>
    <w:div w:id="693075627">
      <w:bodyDiv w:val="1"/>
      <w:marLeft w:val="0"/>
      <w:marRight w:val="0"/>
      <w:marTop w:val="0"/>
      <w:marBottom w:val="0"/>
      <w:divBdr>
        <w:top w:val="none" w:sz="0" w:space="0" w:color="auto"/>
        <w:left w:val="none" w:sz="0" w:space="0" w:color="auto"/>
        <w:bottom w:val="none" w:sz="0" w:space="0" w:color="auto"/>
        <w:right w:val="none" w:sz="0" w:space="0" w:color="auto"/>
      </w:divBdr>
    </w:div>
    <w:div w:id="712079766">
      <w:bodyDiv w:val="1"/>
      <w:marLeft w:val="0"/>
      <w:marRight w:val="0"/>
      <w:marTop w:val="0"/>
      <w:marBottom w:val="0"/>
      <w:divBdr>
        <w:top w:val="none" w:sz="0" w:space="0" w:color="auto"/>
        <w:left w:val="none" w:sz="0" w:space="0" w:color="auto"/>
        <w:bottom w:val="none" w:sz="0" w:space="0" w:color="auto"/>
        <w:right w:val="none" w:sz="0" w:space="0" w:color="auto"/>
      </w:divBdr>
    </w:div>
    <w:div w:id="879322317">
      <w:bodyDiv w:val="1"/>
      <w:marLeft w:val="0"/>
      <w:marRight w:val="0"/>
      <w:marTop w:val="0"/>
      <w:marBottom w:val="0"/>
      <w:divBdr>
        <w:top w:val="none" w:sz="0" w:space="0" w:color="auto"/>
        <w:left w:val="none" w:sz="0" w:space="0" w:color="auto"/>
        <w:bottom w:val="none" w:sz="0" w:space="0" w:color="auto"/>
        <w:right w:val="none" w:sz="0" w:space="0" w:color="auto"/>
      </w:divBdr>
    </w:div>
    <w:div w:id="950865465">
      <w:bodyDiv w:val="1"/>
      <w:marLeft w:val="0"/>
      <w:marRight w:val="0"/>
      <w:marTop w:val="0"/>
      <w:marBottom w:val="0"/>
      <w:divBdr>
        <w:top w:val="none" w:sz="0" w:space="0" w:color="auto"/>
        <w:left w:val="none" w:sz="0" w:space="0" w:color="auto"/>
        <w:bottom w:val="none" w:sz="0" w:space="0" w:color="auto"/>
        <w:right w:val="none" w:sz="0" w:space="0" w:color="auto"/>
      </w:divBdr>
    </w:div>
    <w:div w:id="1105686877">
      <w:bodyDiv w:val="1"/>
      <w:marLeft w:val="0"/>
      <w:marRight w:val="0"/>
      <w:marTop w:val="0"/>
      <w:marBottom w:val="0"/>
      <w:divBdr>
        <w:top w:val="none" w:sz="0" w:space="0" w:color="auto"/>
        <w:left w:val="none" w:sz="0" w:space="0" w:color="auto"/>
        <w:bottom w:val="none" w:sz="0" w:space="0" w:color="auto"/>
        <w:right w:val="none" w:sz="0" w:space="0" w:color="auto"/>
      </w:divBdr>
      <w:divsChild>
        <w:div w:id="710570764">
          <w:marLeft w:val="0"/>
          <w:marRight w:val="0"/>
          <w:marTop w:val="0"/>
          <w:marBottom w:val="0"/>
          <w:divBdr>
            <w:top w:val="none" w:sz="0" w:space="0" w:color="auto"/>
            <w:left w:val="none" w:sz="0" w:space="0" w:color="auto"/>
            <w:bottom w:val="none" w:sz="0" w:space="0" w:color="auto"/>
            <w:right w:val="none" w:sz="0" w:space="0" w:color="auto"/>
          </w:divBdr>
        </w:div>
      </w:divsChild>
    </w:div>
    <w:div w:id="1184129326">
      <w:bodyDiv w:val="1"/>
      <w:marLeft w:val="0"/>
      <w:marRight w:val="0"/>
      <w:marTop w:val="0"/>
      <w:marBottom w:val="0"/>
      <w:divBdr>
        <w:top w:val="none" w:sz="0" w:space="0" w:color="auto"/>
        <w:left w:val="none" w:sz="0" w:space="0" w:color="auto"/>
        <w:bottom w:val="none" w:sz="0" w:space="0" w:color="auto"/>
        <w:right w:val="none" w:sz="0" w:space="0" w:color="auto"/>
      </w:divBdr>
    </w:div>
    <w:div w:id="1377192520">
      <w:bodyDiv w:val="1"/>
      <w:marLeft w:val="0"/>
      <w:marRight w:val="0"/>
      <w:marTop w:val="0"/>
      <w:marBottom w:val="0"/>
      <w:divBdr>
        <w:top w:val="none" w:sz="0" w:space="0" w:color="auto"/>
        <w:left w:val="none" w:sz="0" w:space="0" w:color="auto"/>
        <w:bottom w:val="none" w:sz="0" w:space="0" w:color="auto"/>
        <w:right w:val="none" w:sz="0" w:space="0" w:color="auto"/>
      </w:divBdr>
    </w:div>
    <w:div w:id="1589803141">
      <w:bodyDiv w:val="1"/>
      <w:marLeft w:val="0"/>
      <w:marRight w:val="0"/>
      <w:marTop w:val="0"/>
      <w:marBottom w:val="0"/>
      <w:divBdr>
        <w:top w:val="none" w:sz="0" w:space="0" w:color="auto"/>
        <w:left w:val="none" w:sz="0" w:space="0" w:color="auto"/>
        <w:bottom w:val="none" w:sz="0" w:space="0" w:color="auto"/>
        <w:right w:val="none" w:sz="0" w:space="0" w:color="auto"/>
      </w:divBdr>
    </w:div>
    <w:div w:id="1677658372">
      <w:bodyDiv w:val="1"/>
      <w:marLeft w:val="0"/>
      <w:marRight w:val="0"/>
      <w:marTop w:val="0"/>
      <w:marBottom w:val="0"/>
      <w:divBdr>
        <w:top w:val="none" w:sz="0" w:space="0" w:color="auto"/>
        <w:left w:val="none" w:sz="0" w:space="0" w:color="auto"/>
        <w:bottom w:val="none" w:sz="0" w:space="0" w:color="auto"/>
        <w:right w:val="none" w:sz="0" w:space="0" w:color="auto"/>
      </w:divBdr>
    </w:div>
    <w:div w:id="19355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FCDE-7368-4FAB-B693-A329AB7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2020-11-02T20:13:00Z</dcterms:created>
  <dcterms:modified xsi:type="dcterms:W3CDTF">2020-11-02T20:13:00Z</dcterms:modified>
</cp:coreProperties>
</file>